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42FB4" w:rsidRDefault="001C33BE">
      <w:pPr>
        <w:jc w:val="both"/>
      </w:pPr>
      <w:r>
        <w:rPr>
          <w:noProof/>
          <w:lang w:val="en-US" w:eastAsia="en-US"/>
        </w:rPr>
        <w:drawing>
          <wp:inline distT="0" distB="0" distL="0" distR="0" wp14:anchorId="32AC1935" wp14:editId="0F4FCCC4">
            <wp:extent cx="6424930" cy="9883775"/>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6424930" cy="9883775"/>
                    </a:xfrm>
                    <a:prstGeom prst="rect">
                      <a:avLst/>
                    </a:prstGeom>
                    <a:noFill/>
                    <a:ln w="9525">
                      <a:noFill/>
                      <a:miter lim="800000"/>
                      <a:headEnd/>
                      <a:tailEnd/>
                    </a:ln>
                  </pic:spPr>
                </pic:pic>
              </a:graphicData>
            </a:graphic>
          </wp:inline>
        </w:drawing>
      </w:r>
    </w:p>
    <w:p w:rsidR="00642FB4" w:rsidRDefault="00642FB4">
      <w:r>
        <w:rPr>
          <w:rFonts w:ascii="Arial Unicode MS" w:eastAsia="Arial Unicode MS" w:hAnsi="Arial Unicode MS" w:cs="Arial Unicode MS"/>
        </w:rPr>
        <w:lastRenderedPageBreak/>
        <w:br w:type="page"/>
      </w:r>
    </w:p>
    <w:p w:rsidR="00642FB4" w:rsidRDefault="00642FB4" w:rsidP="00530F2E">
      <w:pPr>
        <w:pStyle w:val="Bodytext70"/>
        <w:framePr w:wrap="none" w:vAnchor="page" w:hAnchor="page" w:x="1146" w:y="412"/>
        <w:shd w:val="clear" w:color="auto" w:fill="auto"/>
        <w:spacing w:after="0" w:line="1540" w:lineRule="exact"/>
        <w:rPr>
          <w:rFonts w:ascii="Calibri" w:hAnsi="Calibri"/>
          <w:b/>
          <w:sz w:val="40"/>
          <w:szCs w:val="40"/>
          <w:lang w:val="ro-RO"/>
        </w:rPr>
      </w:pPr>
    </w:p>
    <w:p w:rsidR="00642FB4" w:rsidRDefault="00642FB4" w:rsidP="00530F2E">
      <w:pPr>
        <w:framePr w:w="7058" w:h="358" w:hRule="exact" w:wrap="none" w:vAnchor="page" w:hAnchor="page" w:x="1146" w:y="6119"/>
        <w:spacing w:line="170" w:lineRule="exact"/>
        <w:ind w:right="160"/>
        <w:jc w:val="center"/>
        <w:rPr>
          <w:sz w:val="20"/>
          <w:szCs w:val="20"/>
        </w:rPr>
      </w:pPr>
      <w:r>
        <w:rPr>
          <w:b/>
          <w:bCs/>
          <w:color w:val="000000"/>
          <w:sz w:val="20"/>
          <w:szCs w:val="20"/>
        </w:rPr>
        <w:t xml:space="preserve">АО Проектно-Дослідницький </w:t>
      </w:r>
      <w:r>
        <w:rPr>
          <w:color w:val="000000"/>
          <w:sz w:val="20"/>
          <w:szCs w:val="20"/>
        </w:rPr>
        <w:t>інститут в галузі Енергетики</w:t>
      </w:r>
    </w:p>
    <w:p w:rsidR="00642FB4" w:rsidRDefault="00642FB4" w:rsidP="00530F2E">
      <w:pPr>
        <w:pStyle w:val="Bodytext20"/>
        <w:framePr w:w="7058" w:h="835" w:hRule="exact" w:wrap="none" w:vAnchor="page" w:hAnchor="page" w:x="1146" w:y="6676"/>
        <w:shd w:val="clear" w:color="auto" w:fill="auto"/>
        <w:spacing w:before="0" w:line="240" w:lineRule="auto"/>
        <w:jc w:val="center"/>
        <w:rPr>
          <w:rStyle w:val="Bodytext2MicrosoftSansSerif"/>
        </w:rPr>
      </w:pPr>
      <w:r>
        <w:rPr>
          <w:rStyle w:val="Bodytext2MicrosoftSansSerif"/>
        </w:rPr>
        <w:t>податок реєстраційний код  RO8630885</w:t>
      </w:r>
    </w:p>
    <w:p w:rsidR="00642FB4" w:rsidRDefault="00642FB4" w:rsidP="00530F2E">
      <w:pPr>
        <w:pStyle w:val="Bodytext20"/>
        <w:framePr w:w="7058" w:h="835" w:hRule="exact" w:wrap="none" w:vAnchor="page" w:hAnchor="page" w:x="1146" w:y="6676"/>
        <w:shd w:val="clear" w:color="auto" w:fill="auto"/>
        <w:spacing w:before="0" w:line="240" w:lineRule="auto"/>
        <w:jc w:val="center"/>
        <w:rPr>
          <w:rStyle w:val="Bodytext2Calibri65ptBold"/>
        </w:rPr>
      </w:pPr>
      <w:r>
        <w:rPr>
          <w:rStyle w:val="Bodytext2MicrosoftSansSerif"/>
        </w:rPr>
        <w:t>бульвар Лаку Тей, № 1-3 , П.І. --,Бухарест 020371, Румунія</w:t>
      </w:r>
    </w:p>
    <w:p w:rsidR="00642FB4" w:rsidRDefault="00642FB4" w:rsidP="00530F2E">
      <w:pPr>
        <w:pStyle w:val="Bodytext20"/>
        <w:framePr w:w="7058" w:h="835" w:hRule="exact" w:wrap="none" w:vAnchor="page" w:hAnchor="page" w:x="1146" w:y="6676"/>
        <w:shd w:val="clear" w:color="auto" w:fill="auto"/>
        <w:spacing w:before="0" w:line="240" w:lineRule="auto"/>
        <w:jc w:val="center"/>
        <w:rPr>
          <w:lang w:val="uk-UA"/>
        </w:rPr>
      </w:pPr>
      <w:r>
        <w:rPr>
          <w:rStyle w:val="Bodytext2Calibri65ptBold"/>
        </w:rPr>
        <w:t>тел. 0372821076, факс 0212102334</w:t>
      </w:r>
    </w:p>
    <w:p w:rsidR="00642FB4" w:rsidRDefault="00642FB4" w:rsidP="00530F2E">
      <w:pPr>
        <w:pStyle w:val="Bodytext20"/>
        <w:framePr w:w="7058" w:h="835" w:hRule="exact" w:wrap="none" w:vAnchor="page" w:hAnchor="page" w:x="1146" w:y="6676"/>
        <w:shd w:val="clear" w:color="auto" w:fill="auto"/>
        <w:spacing w:before="0" w:line="240" w:lineRule="auto"/>
        <w:jc w:val="center"/>
        <w:rPr>
          <w:lang w:val="uk-UA"/>
        </w:rPr>
      </w:pPr>
      <w:r>
        <w:rPr>
          <w:lang w:val="uk-UA"/>
        </w:rPr>
        <w:t>адреса електронної пошти ---</w:t>
      </w:r>
    </w:p>
    <w:p w:rsidR="00642FB4" w:rsidRDefault="00642FB4" w:rsidP="00530F2E">
      <w:pPr>
        <w:pStyle w:val="Bodytext90"/>
        <w:framePr w:w="7058" w:h="906" w:hRule="exact" w:wrap="none" w:vAnchor="page" w:hAnchor="page" w:x="1146" w:y="7568"/>
        <w:shd w:val="clear" w:color="auto" w:fill="auto"/>
        <w:spacing w:before="0" w:after="0"/>
        <w:ind w:left="60"/>
        <w:rPr>
          <w:lang w:val="uk-UA"/>
        </w:rPr>
      </w:pPr>
      <w:r>
        <w:rPr>
          <w:lang w:val="uk-UA"/>
        </w:rPr>
        <w:t xml:space="preserve">Спільна операційна програма Румунія - Україна </w:t>
      </w:r>
      <w:r>
        <w:rPr>
          <w:lang w:val="uk-UA"/>
        </w:rPr>
        <w:br/>
      </w:r>
      <w:r>
        <w:rPr>
          <w:rStyle w:val="Bodytext9TimesNewRoman14pt"/>
          <w:rFonts w:eastAsia="Microsoft Sans Serif"/>
        </w:rPr>
        <w:t>2014</w:t>
      </w:r>
      <w:r>
        <w:rPr>
          <w:rStyle w:val="Bodytext9FrankRuehl12pt"/>
        </w:rPr>
        <w:t xml:space="preserve"> - </w:t>
      </w:r>
      <w:r>
        <w:rPr>
          <w:rStyle w:val="Bodytext9TimesNewRoman14pt"/>
          <w:rFonts w:eastAsia="Microsoft Sans Serif"/>
        </w:rPr>
        <w:t>2020</w:t>
      </w:r>
    </w:p>
    <w:p w:rsidR="00642FB4" w:rsidRDefault="00642FB4" w:rsidP="00530F2E">
      <w:pPr>
        <w:pStyle w:val="Bodytext90"/>
        <w:framePr w:w="7058" w:h="337" w:hRule="exact" w:wrap="none" w:vAnchor="page" w:hAnchor="page" w:x="1146" w:y="8963"/>
        <w:shd w:val="clear" w:color="auto" w:fill="auto"/>
        <w:spacing w:before="0" w:after="0" w:line="260" w:lineRule="exact"/>
        <w:ind w:left="60"/>
        <w:rPr>
          <w:lang w:val="uk-UA"/>
        </w:rPr>
      </w:pPr>
      <w:r>
        <w:rPr>
          <w:lang w:val="uk-UA"/>
        </w:rPr>
        <w:t>Стратегічна Екологічна Оцінка</w:t>
      </w:r>
    </w:p>
    <w:p w:rsidR="00642FB4" w:rsidRDefault="00642FB4" w:rsidP="00530F2E">
      <w:pPr>
        <w:pStyle w:val="Bodytext90"/>
        <w:framePr w:w="7058" w:h="922" w:hRule="exact" w:wrap="none" w:vAnchor="page" w:hAnchor="page" w:x="1146" w:y="9184"/>
        <w:shd w:val="clear" w:color="auto" w:fill="auto"/>
        <w:spacing w:before="0" w:after="0" w:line="428" w:lineRule="exact"/>
        <w:ind w:left="60"/>
        <w:rPr>
          <w:lang w:val="uk-UA"/>
        </w:rPr>
      </w:pPr>
      <w:r>
        <w:rPr>
          <w:lang w:val="uk-UA"/>
        </w:rPr>
        <w:t>ЕКОЛОГІЧНИЙ ЗВІТ</w:t>
      </w:r>
      <w:r>
        <w:rPr>
          <w:lang w:val="uk-UA"/>
        </w:rPr>
        <w:br/>
        <w:t>ПІДСУМКОВИЙ</w:t>
      </w:r>
    </w:p>
    <w:p w:rsidR="00642FB4" w:rsidRDefault="00642FB4" w:rsidP="00530F2E">
      <w:pPr>
        <w:jc w:val="center"/>
      </w:pPr>
    </w:p>
    <w:p w:rsidR="00642FB4" w:rsidRDefault="00642FB4" w:rsidP="00530F2E">
      <w:pPr>
        <w:tabs>
          <w:tab w:val="left" w:pos="4121"/>
        </w:tabs>
        <w:jc w:val="center"/>
      </w:pPr>
      <w:r>
        <w:br w:type="page"/>
      </w:r>
    </w:p>
    <w:p w:rsidR="00642FB4" w:rsidRDefault="00642FB4">
      <w:pPr>
        <w:tabs>
          <w:tab w:val="left" w:pos="9356"/>
        </w:tabs>
        <w:ind w:left="851" w:hanging="851"/>
        <w:jc w:val="both"/>
        <w:rPr>
          <w:rFonts w:cs="Arial"/>
          <w:b/>
          <w:snapToGrid w:val="0"/>
        </w:rPr>
      </w:pPr>
    </w:p>
    <w:p w:rsidR="00B521A8" w:rsidRPr="00E6438D" w:rsidRDefault="006174A9">
      <w:pPr>
        <w:pStyle w:val="TOC1"/>
        <w:tabs>
          <w:tab w:val="left" w:pos="440"/>
        </w:tabs>
        <w:rPr>
          <w:rFonts w:ascii="Calibri" w:hAnsi="Calibri"/>
          <w:noProof/>
          <w:sz w:val="22"/>
          <w:szCs w:val="22"/>
        </w:rPr>
      </w:pPr>
      <w:r>
        <w:fldChar w:fldCharType="begin"/>
      </w:r>
      <w:r w:rsidR="00642FB4">
        <w:instrText xml:space="preserve"> TOC \o "1-3" \h \z \u </w:instrText>
      </w:r>
      <w:r>
        <w:fldChar w:fldCharType="separate"/>
      </w:r>
      <w:hyperlink w:anchor="_Toc419199653" w:history="1">
        <w:r w:rsidR="00B521A8" w:rsidRPr="006109E6">
          <w:rPr>
            <w:rStyle w:val="Hyperlink"/>
            <w:rFonts w:cs="Arial"/>
            <w:noProof/>
            <w:lang w:val="uk-UA"/>
          </w:rPr>
          <w:t>1.</w:t>
        </w:r>
        <w:r w:rsidR="00B521A8" w:rsidRPr="00E6438D">
          <w:rPr>
            <w:rFonts w:ascii="Calibri" w:hAnsi="Calibri"/>
            <w:noProof/>
            <w:sz w:val="22"/>
            <w:szCs w:val="22"/>
          </w:rPr>
          <w:tab/>
        </w:r>
        <w:r w:rsidR="00B521A8" w:rsidRPr="006109E6">
          <w:rPr>
            <w:rStyle w:val="Hyperlink"/>
            <w:rFonts w:cs="Arial"/>
            <w:noProof/>
            <w:lang w:val="uk-UA"/>
          </w:rPr>
          <w:t>ВСТУП</w:t>
        </w:r>
        <w:r w:rsidR="00B521A8">
          <w:rPr>
            <w:noProof/>
            <w:webHidden/>
          </w:rPr>
          <w:tab/>
        </w:r>
        <w:r>
          <w:rPr>
            <w:noProof/>
            <w:webHidden/>
          </w:rPr>
          <w:fldChar w:fldCharType="begin"/>
        </w:r>
        <w:r w:rsidR="00B521A8">
          <w:rPr>
            <w:noProof/>
            <w:webHidden/>
          </w:rPr>
          <w:instrText xml:space="preserve"> PAGEREF _Toc419199653 \h </w:instrText>
        </w:r>
        <w:r>
          <w:rPr>
            <w:noProof/>
            <w:webHidden/>
          </w:rPr>
        </w:r>
        <w:r>
          <w:rPr>
            <w:noProof/>
            <w:webHidden/>
          </w:rPr>
          <w:fldChar w:fldCharType="separate"/>
        </w:r>
        <w:r w:rsidR="00B521A8">
          <w:rPr>
            <w:noProof/>
            <w:webHidden/>
          </w:rPr>
          <w:t>5</w:t>
        </w:r>
        <w:r>
          <w:rPr>
            <w:noProof/>
            <w:webHidden/>
          </w:rPr>
          <w:fldChar w:fldCharType="end"/>
        </w:r>
      </w:hyperlink>
    </w:p>
    <w:p w:rsidR="00B521A8" w:rsidRPr="00E6438D" w:rsidRDefault="006C74EB">
      <w:pPr>
        <w:pStyle w:val="TOC1"/>
        <w:tabs>
          <w:tab w:val="left" w:pos="440"/>
        </w:tabs>
        <w:rPr>
          <w:rFonts w:ascii="Calibri" w:hAnsi="Calibri"/>
          <w:noProof/>
          <w:sz w:val="22"/>
          <w:szCs w:val="22"/>
        </w:rPr>
      </w:pPr>
      <w:hyperlink w:anchor="_Toc419199654" w:history="1">
        <w:r w:rsidR="00B521A8" w:rsidRPr="006109E6">
          <w:rPr>
            <w:rStyle w:val="Hyperlink"/>
            <w:rFonts w:cs="Arial"/>
            <w:noProof/>
            <w:lang w:val="uk-UA"/>
          </w:rPr>
          <w:t>2.</w:t>
        </w:r>
        <w:r w:rsidR="00B521A8" w:rsidRPr="00E6438D">
          <w:rPr>
            <w:rFonts w:ascii="Calibri" w:hAnsi="Calibri"/>
            <w:noProof/>
            <w:sz w:val="22"/>
            <w:szCs w:val="22"/>
          </w:rPr>
          <w:tab/>
        </w:r>
        <w:r w:rsidR="00B521A8" w:rsidRPr="006109E6">
          <w:rPr>
            <w:rStyle w:val="Hyperlink"/>
            <w:rFonts w:cs="Arial"/>
            <w:noProof/>
            <w:lang w:val="uk-UA"/>
          </w:rPr>
          <w:t xml:space="preserve">РЕЗЮМЕ  ЗМІСТУ, ОСНОВНІ </w:t>
        </w:r>
        <w:r w:rsidR="00EE259E">
          <w:rPr>
            <w:rStyle w:val="Hyperlink"/>
            <w:rFonts w:cs="Arial"/>
            <w:noProof/>
            <w:lang w:val="en-US"/>
          </w:rPr>
          <w:t>ЦІЛІ</w:t>
        </w:r>
        <w:r w:rsidR="00B521A8" w:rsidRPr="006109E6">
          <w:rPr>
            <w:rStyle w:val="Hyperlink"/>
            <w:rFonts w:cs="Arial"/>
            <w:noProof/>
            <w:lang w:val="uk-UA"/>
          </w:rPr>
          <w:t xml:space="preserve"> ПЛАНУ ЧИ ПРОГРАМИ ТА ЗВ'ЯЗКИ З ІНШИМИ ПЛАНАМИ І ПРОГРАМАМИ</w:t>
        </w:r>
        <w:r w:rsidR="00B521A8">
          <w:rPr>
            <w:noProof/>
            <w:webHidden/>
          </w:rPr>
          <w:tab/>
        </w:r>
        <w:r w:rsidR="006174A9">
          <w:rPr>
            <w:noProof/>
            <w:webHidden/>
          </w:rPr>
          <w:fldChar w:fldCharType="begin"/>
        </w:r>
        <w:r w:rsidR="00B521A8">
          <w:rPr>
            <w:noProof/>
            <w:webHidden/>
          </w:rPr>
          <w:instrText xml:space="preserve"> PAGEREF _Toc419199654 \h </w:instrText>
        </w:r>
        <w:r w:rsidR="006174A9">
          <w:rPr>
            <w:noProof/>
            <w:webHidden/>
          </w:rPr>
        </w:r>
        <w:r w:rsidR="006174A9">
          <w:rPr>
            <w:noProof/>
            <w:webHidden/>
          </w:rPr>
          <w:fldChar w:fldCharType="separate"/>
        </w:r>
        <w:r w:rsidR="00B521A8">
          <w:rPr>
            <w:noProof/>
            <w:webHidden/>
          </w:rPr>
          <w:t>7</w:t>
        </w:r>
        <w:r w:rsidR="006174A9">
          <w:rPr>
            <w:noProof/>
            <w:webHidden/>
          </w:rPr>
          <w:fldChar w:fldCharType="end"/>
        </w:r>
      </w:hyperlink>
    </w:p>
    <w:p w:rsidR="00B521A8" w:rsidRPr="00E6438D" w:rsidRDefault="006C74EB">
      <w:pPr>
        <w:pStyle w:val="TOC1"/>
        <w:tabs>
          <w:tab w:val="left" w:pos="660"/>
        </w:tabs>
        <w:rPr>
          <w:rFonts w:ascii="Calibri" w:hAnsi="Calibri"/>
          <w:noProof/>
          <w:sz w:val="22"/>
          <w:szCs w:val="22"/>
        </w:rPr>
      </w:pPr>
      <w:hyperlink w:anchor="_Toc419199655" w:history="1">
        <w:r w:rsidR="00B521A8" w:rsidRPr="006109E6">
          <w:rPr>
            <w:rStyle w:val="Hyperlink"/>
            <w:rFonts w:eastAsia="EUAlbertina-Regular-Identity-H" w:cs="Arial"/>
            <w:noProof/>
            <w:lang w:val="uk-UA" w:eastAsia="en-US"/>
          </w:rPr>
          <w:t>2.1</w:t>
        </w:r>
        <w:r w:rsidR="00B521A8" w:rsidRPr="00E6438D">
          <w:rPr>
            <w:rFonts w:ascii="Calibri" w:hAnsi="Calibri"/>
            <w:noProof/>
            <w:sz w:val="22"/>
            <w:szCs w:val="22"/>
          </w:rPr>
          <w:tab/>
        </w:r>
        <w:r w:rsidR="00B521A8" w:rsidRPr="006109E6">
          <w:rPr>
            <w:rStyle w:val="Hyperlink"/>
            <w:rFonts w:eastAsia="EUAlbertina-Regular-Identity-H" w:cs="Arial"/>
            <w:noProof/>
            <w:lang w:val="uk-UA" w:eastAsia="en-US"/>
          </w:rPr>
          <w:t>Загальні дані</w:t>
        </w:r>
        <w:r w:rsidR="00B521A8">
          <w:rPr>
            <w:noProof/>
            <w:webHidden/>
          </w:rPr>
          <w:tab/>
        </w:r>
        <w:r w:rsidR="006174A9">
          <w:rPr>
            <w:noProof/>
            <w:webHidden/>
          </w:rPr>
          <w:fldChar w:fldCharType="begin"/>
        </w:r>
        <w:r w:rsidR="00B521A8">
          <w:rPr>
            <w:noProof/>
            <w:webHidden/>
          </w:rPr>
          <w:instrText xml:space="preserve"> PAGEREF _Toc419199655 \h </w:instrText>
        </w:r>
        <w:r w:rsidR="006174A9">
          <w:rPr>
            <w:noProof/>
            <w:webHidden/>
          </w:rPr>
        </w:r>
        <w:r w:rsidR="006174A9">
          <w:rPr>
            <w:noProof/>
            <w:webHidden/>
          </w:rPr>
          <w:fldChar w:fldCharType="separate"/>
        </w:r>
        <w:r w:rsidR="00B521A8">
          <w:rPr>
            <w:noProof/>
            <w:webHidden/>
          </w:rPr>
          <w:t>7</w:t>
        </w:r>
        <w:r w:rsidR="006174A9">
          <w:rPr>
            <w:noProof/>
            <w:webHidden/>
          </w:rPr>
          <w:fldChar w:fldCharType="end"/>
        </w:r>
      </w:hyperlink>
    </w:p>
    <w:p w:rsidR="00B521A8" w:rsidRPr="00E6438D" w:rsidRDefault="006C74EB">
      <w:pPr>
        <w:pStyle w:val="TOC1"/>
        <w:rPr>
          <w:rFonts w:ascii="Calibri" w:hAnsi="Calibri"/>
          <w:noProof/>
          <w:sz w:val="22"/>
          <w:szCs w:val="22"/>
        </w:rPr>
      </w:pPr>
      <w:hyperlink w:anchor="_Toc419199656" w:history="1">
        <w:r w:rsidR="00B521A8" w:rsidRPr="006109E6">
          <w:rPr>
            <w:rStyle w:val="Hyperlink"/>
            <w:rFonts w:cs="Arial"/>
            <w:noProof/>
            <w:lang w:val="uk-UA" w:eastAsia="en-US"/>
          </w:rPr>
          <w:t>2.2  Програмна територія</w:t>
        </w:r>
        <w:r w:rsidR="00B521A8">
          <w:rPr>
            <w:noProof/>
            <w:webHidden/>
          </w:rPr>
          <w:tab/>
        </w:r>
        <w:r w:rsidR="006174A9">
          <w:rPr>
            <w:noProof/>
            <w:webHidden/>
          </w:rPr>
          <w:fldChar w:fldCharType="begin"/>
        </w:r>
        <w:r w:rsidR="00B521A8">
          <w:rPr>
            <w:noProof/>
            <w:webHidden/>
          </w:rPr>
          <w:instrText xml:space="preserve"> PAGEREF _Toc419199656 \h </w:instrText>
        </w:r>
        <w:r w:rsidR="006174A9">
          <w:rPr>
            <w:noProof/>
            <w:webHidden/>
          </w:rPr>
        </w:r>
        <w:r w:rsidR="006174A9">
          <w:rPr>
            <w:noProof/>
            <w:webHidden/>
          </w:rPr>
          <w:fldChar w:fldCharType="separate"/>
        </w:r>
        <w:r w:rsidR="00B521A8">
          <w:rPr>
            <w:noProof/>
            <w:webHidden/>
          </w:rPr>
          <w:t>10</w:t>
        </w:r>
        <w:r w:rsidR="006174A9">
          <w:rPr>
            <w:noProof/>
            <w:webHidden/>
          </w:rPr>
          <w:fldChar w:fldCharType="end"/>
        </w:r>
      </w:hyperlink>
    </w:p>
    <w:p w:rsidR="00B521A8" w:rsidRPr="00E6438D" w:rsidRDefault="006C74EB">
      <w:pPr>
        <w:pStyle w:val="TOC1"/>
        <w:rPr>
          <w:rFonts w:ascii="Calibri" w:hAnsi="Calibri"/>
          <w:noProof/>
          <w:sz w:val="22"/>
          <w:szCs w:val="22"/>
        </w:rPr>
      </w:pPr>
      <w:hyperlink w:anchor="_Toc419199657" w:history="1">
        <w:r w:rsidR="00B521A8" w:rsidRPr="006109E6">
          <w:rPr>
            <w:rStyle w:val="Hyperlink"/>
            <w:rFonts w:cs="Arial"/>
            <w:noProof/>
            <w:lang w:val="uk-UA" w:eastAsia="en-US"/>
          </w:rPr>
          <w:t>2.</w:t>
        </w:r>
        <w:r w:rsidR="00B521A8" w:rsidRPr="006109E6">
          <w:rPr>
            <w:rStyle w:val="Hyperlink"/>
            <w:rFonts w:ascii="Times New Roman" w:eastAsia="Calibri" w:hAnsi="Times New Roman"/>
            <w:noProof/>
            <w:lang w:val="uk-UA"/>
          </w:rPr>
          <w:t xml:space="preserve"> </w:t>
        </w:r>
        <w:r w:rsidR="00B521A8" w:rsidRPr="006109E6">
          <w:rPr>
            <w:rStyle w:val="Hyperlink"/>
            <w:rFonts w:cs="Arial"/>
            <w:noProof/>
            <w:lang w:val="uk-UA" w:eastAsia="en-US"/>
          </w:rPr>
          <w:t>3 Опис Програми</w:t>
        </w:r>
        <w:r w:rsidR="00B521A8">
          <w:rPr>
            <w:noProof/>
            <w:webHidden/>
          </w:rPr>
          <w:tab/>
        </w:r>
        <w:r w:rsidR="006174A9">
          <w:rPr>
            <w:noProof/>
            <w:webHidden/>
          </w:rPr>
          <w:fldChar w:fldCharType="begin"/>
        </w:r>
        <w:r w:rsidR="00B521A8">
          <w:rPr>
            <w:noProof/>
            <w:webHidden/>
          </w:rPr>
          <w:instrText xml:space="preserve"> PAGEREF _Toc419199657 \h </w:instrText>
        </w:r>
        <w:r w:rsidR="006174A9">
          <w:rPr>
            <w:noProof/>
            <w:webHidden/>
          </w:rPr>
        </w:r>
        <w:r w:rsidR="006174A9">
          <w:rPr>
            <w:noProof/>
            <w:webHidden/>
          </w:rPr>
          <w:fldChar w:fldCharType="separate"/>
        </w:r>
        <w:r w:rsidR="00B521A8">
          <w:rPr>
            <w:noProof/>
            <w:webHidden/>
          </w:rPr>
          <w:t>14</w:t>
        </w:r>
        <w:r w:rsidR="006174A9">
          <w:rPr>
            <w:noProof/>
            <w:webHidden/>
          </w:rPr>
          <w:fldChar w:fldCharType="end"/>
        </w:r>
      </w:hyperlink>
    </w:p>
    <w:p w:rsidR="00B521A8" w:rsidRPr="00E6438D" w:rsidRDefault="006C74EB">
      <w:pPr>
        <w:pStyle w:val="TOC1"/>
        <w:tabs>
          <w:tab w:val="left" w:pos="440"/>
        </w:tabs>
        <w:rPr>
          <w:rFonts w:ascii="Calibri" w:hAnsi="Calibri"/>
          <w:noProof/>
          <w:sz w:val="22"/>
          <w:szCs w:val="22"/>
        </w:rPr>
      </w:pPr>
      <w:hyperlink w:anchor="_Toc419199658" w:history="1">
        <w:r w:rsidR="00B521A8" w:rsidRPr="006109E6">
          <w:rPr>
            <w:rStyle w:val="Hyperlink"/>
            <w:rFonts w:cs="Arial"/>
            <w:noProof/>
            <w:lang w:val="uk-UA"/>
          </w:rPr>
          <w:t>3.</w:t>
        </w:r>
        <w:r w:rsidR="00B521A8" w:rsidRPr="00E6438D">
          <w:rPr>
            <w:rFonts w:ascii="Calibri" w:hAnsi="Calibri"/>
            <w:noProof/>
            <w:sz w:val="22"/>
            <w:szCs w:val="22"/>
          </w:rPr>
          <w:tab/>
        </w:r>
        <w:r w:rsidR="00B521A8" w:rsidRPr="006109E6">
          <w:rPr>
            <w:rStyle w:val="Hyperlink"/>
            <w:rFonts w:cs="Arial"/>
            <w:noProof/>
            <w:lang w:val="uk-UA"/>
          </w:rPr>
          <w:t>ЗНАЧНІ АСПЕКТИ ЕКОЛОГІЧНОЇ СИТУАЦІЇ ТА ЇЇ ЙМОВІРНА ЕВОЛЮЦІЯ ЧЕРЕЗ НЕЗДІЙСНЕННЯ ПЛАНУ ЧИ ПРОГРАМИ</w:t>
        </w:r>
        <w:r w:rsidR="00B521A8">
          <w:rPr>
            <w:noProof/>
            <w:webHidden/>
          </w:rPr>
          <w:tab/>
        </w:r>
        <w:r w:rsidR="006174A9">
          <w:rPr>
            <w:noProof/>
            <w:webHidden/>
          </w:rPr>
          <w:fldChar w:fldCharType="begin"/>
        </w:r>
        <w:r w:rsidR="00B521A8">
          <w:rPr>
            <w:noProof/>
            <w:webHidden/>
          </w:rPr>
          <w:instrText xml:space="preserve"> PAGEREF _Toc419199658 \h </w:instrText>
        </w:r>
        <w:r w:rsidR="006174A9">
          <w:rPr>
            <w:noProof/>
            <w:webHidden/>
          </w:rPr>
        </w:r>
        <w:r w:rsidR="006174A9">
          <w:rPr>
            <w:noProof/>
            <w:webHidden/>
          </w:rPr>
          <w:fldChar w:fldCharType="separate"/>
        </w:r>
        <w:r w:rsidR="00B521A8">
          <w:rPr>
            <w:noProof/>
            <w:webHidden/>
          </w:rPr>
          <w:t>22</w:t>
        </w:r>
        <w:r w:rsidR="006174A9">
          <w:rPr>
            <w:noProof/>
            <w:webHidden/>
          </w:rPr>
          <w:fldChar w:fldCharType="end"/>
        </w:r>
      </w:hyperlink>
    </w:p>
    <w:p w:rsidR="00B521A8" w:rsidRPr="00E6438D" w:rsidRDefault="006C74EB">
      <w:pPr>
        <w:pStyle w:val="TOC1"/>
        <w:tabs>
          <w:tab w:val="left" w:pos="440"/>
        </w:tabs>
        <w:rPr>
          <w:rFonts w:ascii="Calibri" w:hAnsi="Calibri"/>
          <w:noProof/>
          <w:sz w:val="22"/>
          <w:szCs w:val="22"/>
        </w:rPr>
      </w:pPr>
      <w:hyperlink w:anchor="_Toc419199659" w:history="1">
        <w:r w:rsidR="00B521A8" w:rsidRPr="006109E6">
          <w:rPr>
            <w:rStyle w:val="Hyperlink"/>
            <w:rFonts w:cs="Arial"/>
            <w:noProof/>
            <w:lang w:val="uk-UA"/>
          </w:rPr>
          <w:t>4.</w:t>
        </w:r>
        <w:r w:rsidR="00B521A8" w:rsidRPr="00E6438D">
          <w:rPr>
            <w:rFonts w:ascii="Calibri" w:hAnsi="Calibri"/>
            <w:noProof/>
            <w:sz w:val="22"/>
            <w:szCs w:val="22"/>
          </w:rPr>
          <w:tab/>
        </w:r>
        <w:r w:rsidR="00B521A8" w:rsidRPr="006109E6">
          <w:rPr>
            <w:rStyle w:val="Hyperlink"/>
            <w:rFonts w:cs="Arial"/>
            <w:noProof/>
            <w:lang w:val="uk-UA"/>
          </w:rPr>
          <w:t>ЕКОЛОГІЧНІ ХАРАКТЕРИСТИКИ РЕГІОНІВ, ЯКІ МОЖУТЬ ЗАЗНАТИ ЗНАЧНИЙ  НЕГАТИВНИЙ ВПЛИВ НА НАВКОЛИШНЄ СЕРЕДОВИЩЕ</w:t>
        </w:r>
        <w:r w:rsidR="00B521A8">
          <w:rPr>
            <w:noProof/>
            <w:webHidden/>
          </w:rPr>
          <w:tab/>
        </w:r>
        <w:r w:rsidR="006174A9">
          <w:rPr>
            <w:noProof/>
            <w:webHidden/>
          </w:rPr>
          <w:fldChar w:fldCharType="begin"/>
        </w:r>
        <w:r w:rsidR="00B521A8">
          <w:rPr>
            <w:noProof/>
            <w:webHidden/>
          </w:rPr>
          <w:instrText xml:space="preserve"> PAGEREF _Toc419199659 \h </w:instrText>
        </w:r>
        <w:r w:rsidR="006174A9">
          <w:rPr>
            <w:noProof/>
            <w:webHidden/>
          </w:rPr>
        </w:r>
        <w:r w:rsidR="006174A9">
          <w:rPr>
            <w:noProof/>
            <w:webHidden/>
          </w:rPr>
          <w:fldChar w:fldCharType="separate"/>
        </w:r>
        <w:r w:rsidR="00B521A8">
          <w:rPr>
            <w:noProof/>
            <w:webHidden/>
          </w:rPr>
          <w:t>23</w:t>
        </w:r>
        <w:r w:rsidR="006174A9">
          <w:rPr>
            <w:noProof/>
            <w:webHidden/>
          </w:rPr>
          <w:fldChar w:fldCharType="end"/>
        </w:r>
      </w:hyperlink>
    </w:p>
    <w:p w:rsidR="00B521A8" w:rsidRPr="00E6438D" w:rsidRDefault="006C74EB">
      <w:pPr>
        <w:pStyle w:val="TOC1"/>
        <w:tabs>
          <w:tab w:val="left" w:pos="440"/>
        </w:tabs>
        <w:rPr>
          <w:rFonts w:ascii="Calibri" w:hAnsi="Calibri"/>
          <w:noProof/>
          <w:sz w:val="22"/>
          <w:szCs w:val="22"/>
        </w:rPr>
      </w:pPr>
      <w:hyperlink w:anchor="_Toc419199660" w:history="1">
        <w:r w:rsidR="00B521A8" w:rsidRPr="006109E6">
          <w:rPr>
            <w:rStyle w:val="Hyperlink"/>
            <w:rFonts w:cs="Arial"/>
            <w:noProof/>
            <w:lang w:val="uk-UA"/>
          </w:rPr>
          <w:t>I.</w:t>
        </w:r>
        <w:r w:rsidR="00B521A8" w:rsidRPr="00E6438D">
          <w:rPr>
            <w:rFonts w:ascii="Calibri" w:hAnsi="Calibri"/>
            <w:noProof/>
            <w:sz w:val="22"/>
            <w:szCs w:val="22"/>
          </w:rPr>
          <w:tab/>
        </w:r>
        <w:r w:rsidR="00B521A8" w:rsidRPr="006109E6">
          <w:rPr>
            <w:rStyle w:val="Hyperlink"/>
            <w:rFonts w:cs="Arial"/>
            <w:noProof/>
            <w:lang w:val="uk-UA"/>
          </w:rPr>
          <w:t>РУМУНІЯ</w:t>
        </w:r>
        <w:r w:rsidR="00B521A8">
          <w:rPr>
            <w:noProof/>
            <w:webHidden/>
          </w:rPr>
          <w:tab/>
        </w:r>
        <w:r w:rsidR="006174A9">
          <w:rPr>
            <w:noProof/>
            <w:webHidden/>
          </w:rPr>
          <w:fldChar w:fldCharType="begin"/>
        </w:r>
        <w:r w:rsidR="00B521A8">
          <w:rPr>
            <w:noProof/>
            <w:webHidden/>
          </w:rPr>
          <w:instrText xml:space="preserve"> PAGEREF _Toc419199660 \h </w:instrText>
        </w:r>
        <w:r w:rsidR="006174A9">
          <w:rPr>
            <w:noProof/>
            <w:webHidden/>
          </w:rPr>
        </w:r>
        <w:r w:rsidR="006174A9">
          <w:rPr>
            <w:noProof/>
            <w:webHidden/>
          </w:rPr>
          <w:fldChar w:fldCharType="separate"/>
        </w:r>
        <w:r w:rsidR="00B521A8">
          <w:rPr>
            <w:noProof/>
            <w:webHidden/>
          </w:rPr>
          <w:t>23</w:t>
        </w:r>
        <w:r w:rsidR="006174A9">
          <w:rPr>
            <w:noProof/>
            <w:webHidden/>
          </w:rPr>
          <w:fldChar w:fldCharType="end"/>
        </w:r>
      </w:hyperlink>
    </w:p>
    <w:p w:rsidR="00B521A8" w:rsidRPr="00E6438D" w:rsidRDefault="006C74EB">
      <w:pPr>
        <w:pStyle w:val="TOC1"/>
        <w:rPr>
          <w:rFonts w:ascii="Calibri" w:hAnsi="Calibri"/>
          <w:noProof/>
          <w:sz w:val="22"/>
          <w:szCs w:val="22"/>
        </w:rPr>
      </w:pPr>
      <w:hyperlink w:anchor="_Toc419199661" w:history="1">
        <w:r w:rsidR="00B521A8" w:rsidRPr="006109E6">
          <w:rPr>
            <w:rStyle w:val="Hyperlink"/>
            <w:noProof/>
          </w:rPr>
          <w:t>4.1 Повіт Ботошань</w:t>
        </w:r>
        <w:r w:rsidR="00B521A8">
          <w:rPr>
            <w:noProof/>
            <w:webHidden/>
          </w:rPr>
          <w:tab/>
        </w:r>
        <w:r w:rsidR="006174A9">
          <w:rPr>
            <w:noProof/>
            <w:webHidden/>
          </w:rPr>
          <w:fldChar w:fldCharType="begin"/>
        </w:r>
        <w:r w:rsidR="00B521A8">
          <w:rPr>
            <w:noProof/>
            <w:webHidden/>
          </w:rPr>
          <w:instrText xml:space="preserve"> PAGEREF _Toc419199661 \h </w:instrText>
        </w:r>
        <w:r w:rsidR="006174A9">
          <w:rPr>
            <w:noProof/>
            <w:webHidden/>
          </w:rPr>
        </w:r>
        <w:r w:rsidR="006174A9">
          <w:rPr>
            <w:noProof/>
            <w:webHidden/>
          </w:rPr>
          <w:fldChar w:fldCharType="separate"/>
        </w:r>
        <w:r w:rsidR="00B521A8">
          <w:rPr>
            <w:noProof/>
            <w:webHidden/>
          </w:rPr>
          <w:t>36</w:t>
        </w:r>
        <w:r w:rsidR="006174A9">
          <w:rPr>
            <w:noProof/>
            <w:webHidden/>
          </w:rPr>
          <w:fldChar w:fldCharType="end"/>
        </w:r>
      </w:hyperlink>
    </w:p>
    <w:p w:rsidR="00B521A8" w:rsidRPr="00E6438D" w:rsidRDefault="006C74EB">
      <w:pPr>
        <w:pStyle w:val="TOC1"/>
        <w:rPr>
          <w:rFonts w:ascii="Calibri" w:hAnsi="Calibri"/>
          <w:noProof/>
          <w:sz w:val="22"/>
          <w:szCs w:val="22"/>
        </w:rPr>
      </w:pPr>
      <w:hyperlink w:anchor="_Toc419199662" w:history="1">
        <w:r w:rsidR="00B521A8" w:rsidRPr="006109E6">
          <w:rPr>
            <w:rStyle w:val="Hyperlink"/>
            <w:noProof/>
          </w:rPr>
          <w:t>4.2 Повіт Марамуреш</w:t>
        </w:r>
        <w:r w:rsidR="00B521A8">
          <w:rPr>
            <w:noProof/>
            <w:webHidden/>
          </w:rPr>
          <w:tab/>
        </w:r>
        <w:r w:rsidR="006174A9">
          <w:rPr>
            <w:noProof/>
            <w:webHidden/>
          </w:rPr>
          <w:fldChar w:fldCharType="begin"/>
        </w:r>
        <w:r w:rsidR="00B521A8">
          <w:rPr>
            <w:noProof/>
            <w:webHidden/>
          </w:rPr>
          <w:instrText xml:space="preserve"> PAGEREF _Toc419199662 \h </w:instrText>
        </w:r>
        <w:r w:rsidR="006174A9">
          <w:rPr>
            <w:noProof/>
            <w:webHidden/>
          </w:rPr>
        </w:r>
        <w:r w:rsidR="006174A9">
          <w:rPr>
            <w:noProof/>
            <w:webHidden/>
          </w:rPr>
          <w:fldChar w:fldCharType="separate"/>
        </w:r>
        <w:r w:rsidR="00B521A8">
          <w:rPr>
            <w:noProof/>
            <w:webHidden/>
          </w:rPr>
          <w:t>40</w:t>
        </w:r>
        <w:r w:rsidR="006174A9">
          <w:rPr>
            <w:noProof/>
            <w:webHidden/>
          </w:rPr>
          <w:fldChar w:fldCharType="end"/>
        </w:r>
      </w:hyperlink>
    </w:p>
    <w:p w:rsidR="00B521A8" w:rsidRPr="00E6438D" w:rsidRDefault="006C74EB">
      <w:pPr>
        <w:pStyle w:val="TOC1"/>
        <w:rPr>
          <w:rFonts w:ascii="Calibri" w:hAnsi="Calibri"/>
          <w:noProof/>
          <w:sz w:val="22"/>
          <w:szCs w:val="22"/>
        </w:rPr>
      </w:pPr>
      <w:hyperlink w:anchor="_Toc419199663" w:history="1">
        <w:r w:rsidR="00B521A8" w:rsidRPr="006109E6">
          <w:rPr>
            <w:rStyle w:val="Hyperlink"/>
            <w:noProof/>
          </w:rPr>
          <w:t>4.3 Повіт Сату-Маре</w:t>
        </w:r>
        <w:r w:rsidR="00B521A8">
          <w:rPr>
            <w:noProof/>
            <w:webHidden/>
          </w:rPr>
          <w:tab/>
        </w:r>
        <w:r w:rsidR="006174A9">
          <w:rPr>
            <w:noProof/>
            <w:webHidden/>
          </w:rPr>
          <w:fldChar w:fldCharType="begin"/>
        </w:r>
        <w:r w:rsidR="00B521A8">
          <w:rPr>
            <w:noProof/>
            <w:webHidden/>
          </w:rPr>
          <w:instrText xml:space="preserve"> PAGEREF _Toc419199663 \h </w:instrText>
        </w:r>
        <w:r w:rsidR="006174A9">
          <w:rPr>
            <w:noProof/>
            <w:webHidden/>
          </w:rPr>
        </w:r>
        <w:r w:rsidR="006174A9">
          <w:rPr>
            <w:noProof/>
            <w:webHidden/>
          </w:rPr>
          <w:fldChar w:fldCharType="separate"/>
        </w:r>
        <w:r w:rsidR="00B521A8">
          <w:rPr>
            <w:noProof/>
            <w:webHidden/>
          </w:rPr>
          <w:t>44</w:t>
        </w:r>
        <w:r w:rsidR="006174A9">
          <w:rPr>
            <w:noProof/>
            <w:webHidden/>
          </w:rPr>
          <w:fldChar w:fldCharType="end"/>
        </w:r>
      </w:hyperlink>
    </w:p>
    <w:p w:rsidR="00B521A8" w:rsidRPr="00E6438D" w:rsidRDefault="006C74EB">
      <w:pPr>
        <w:pStyle w:val="TOC1"/>
        <w:rPr>
          <w:rFonts w:ascii="Calibri" w:hAnsi="Calibri"/>
          <w:noProof/>
          <w:sz w:val="22"/>
          <w:szCs w:val="22"/>
        </w:rPr>
      </w:pPr>
      <w:hyperlink w:anchor="_Toc419199664" w:history="1">
        <w:r w:rsidR="00B521A8" w:rsidRPr="006109E6">
          <w:rPr>
            <w:rStyle w:val="Hyperlink"/>
            <w:noProof/>
          </w:rPr>
          <w:t>4.4 Повіт Сучава</w:t>
        </w:r>
        <w:r w:rsidR="00B521A8">
          <w:rPr>
            <w:noProof/>
            <w:webHidden/>
          </w:rPr>
          <w:tab/>
        </w:r>
        <w:r w:rsidR="006174A9">
          <w:rPr>
            <w:noProof/>
            <w:webHidden/>
          </w:rPr>
          <w:fldChar w:fldCharType="begin"/>
        </w:r>
        <w:r w:rsidR="00B521A8">
          <w:rPr>
            <w:noProof/>
            <w:webHidden/>
          </w:rPr>
          <w:instrText xml:space="preserve"> PAGEREF _Toc419199664 \h </w:instrText>
        </w:r>
        <w:r w:rsidR="006174A9">
          <w:rPr>
            <w:noProof/>
            <w:webHidden/>
          </w:rPr>
        </w:r>
        <w:r w:rsidR="006174A9">
          <w:rPr>
            <w:noProof/>
            <w:webHidden/>
          </w:rPr>
          <w:fldChar w:fldCharType="separate"/>
        </w:r>
        <w:r w:rsidR="00B521A8">
          <w:rPr>
            <w:noProof/>
            <w:webHidden/>
          </w:rPr>
          <w:t>46</w:t>
        </w:r>
        <w:r w:rsidR="006174A9">
          <w:rPr>
            <w:noProof/>
            <w:webHidden/>
          </w:rPr>
          <w:fldChar w:fldCharType="end"/>
        </w:r>
      </w:hyperlink>
    </w:p>
    <w:p w:rsidR="00B521A8" w:rsidRPr="00E6438D" w:rsidRDefault="006C74EB">
      <w:pPr>
        <w:pStyle w:val="TOC1"/>
        <w:rPr>
          <w:rFonts w:ascii="Calibri" w:hAnsi="Calibri"/>
          <w:noProof/>
          <w:sz w:val="22"/>
          <w:szCs w:val="22"/>
        </w:rPr>
      </w:pPr>
      <w:hyperlink w:anchor="_Toc419199665" w:history="1">
        <w:r w:rsidR="00B521A8" w:rsidRPr="006109E6">
          <w:rPr>
            <w:rStyle w:val="Hyperlink"/>
            <w:noProof/>
          </w:rPr>
          <w:t>4.5 Повіт Тулча</w:t>
        </w:r>
        <w:r w:rsidR="00B521A8">
          <w:rPr>
            <w:noProof/>
            <w:webHidden/>
          </w:rPr>
          <w:tab/>
        </w:r>
        <w:r w:rsidR="006174A9">
          <w:rPr>
            <w:noProof/>
            <w:webHidden/>
          </w:rPr>
          <w:fldChar w:fldCharType="begin"/>
        </w:r>
        <w:r w:rsidR="00B521A8">
          <w:rPr>
            <w:noProof/>
            <w:webHidden/>
          </w:rPr>
          <w:instrText xml:space="preserve"> PAGEREF _Toc419199665 \h </w:instrText>
        </w:r>
        <w:r w:rsidR="006174A9">
          <w:rPr>
            <w:noProof/>
            <w:webHidden/>
          </w:rPr>
        </w:r>
        <w:r w:rsidR="006174A9">
          <w:rPr>
            <w:noProof/>
            <w:webHidden/>
          </w:rPr>
          <w:fldChar w:fldCharType="separate"/>
        </w:r>
        <w:r w:rsidR="00B521A8">
          <w:rPr>
            <w:noProof/>
            <w:webHidden/>
          </w:rPr>
          <w:t>49</w:t>
        </w:r>
        <w:r w:rsidR="006174A9">
          <w:rPr>
            <w:noProof/>
            <w:webHidden/>
          </w:rPr>
          <w:fldChar w:fldCharType="end"/>
        </w:r>
      </w:hyperlink>
    </w:p>
    <w:p w:rsidR="00B521A8" w:rsidRPr="00E6438D" w:rsidRDefault="006C74EB">
      <w:pPr>
        <w:pStyle w:val="TOC1"/>
        <w:rPr>
          <w:rFonts w:ascii="Calibri" w:hAnsi="Calibri"/>
          <w:noProof/>
          <w:sz w:val="22"/>
          <w:szCs w:val="22"/>
        </w:rPr>
      </w:pPr>
      <w:hyperlink w:anchor="_Toc419199666" w:history="1">
        <w:r w:rsidR="00B521A8" w:rsidRPr="006109E6">
          <w:rPr>
            <w:rStyle w:val="Hyperlink"/>
            <w:noProof/>
          </w:rPr>
          <w:t>II. УКРАЇНА</w:t>
        </w:r>
        <w:r w:rsidR="00B521A8">
          <w:rPr>
            <w:noProof/>
            <w:webHidden/>
          </w:rPr>
          <w:tab/>
        </w:r>
        <w:r w:rsidR="006174A9">
          <w:rPr>
            <w:noProof/>
            <w:webHidden/>
          </w:rPr>
          <w:fldChar w:fldCharType="begin"/>
        </w:r>
        <w:r w:rsidR="00B521A8">
          <w:rPr>
            <w:noProof/>
            <w:webHidden/>
          </w:rPr>
          <w:instrText xml:space="preserve"> PAGEREF _Toc419199666 \h </w:instrText>
        </w:r>
        <w:r w:rsidR="006174A9">
          <w:rPr>
            <w:noProof/>
            <w:webHidden/>
          </w:rPr>
        </w:r>
        <w:r w:rsidR="006174A9">
          <w:rPr>
            <w:noProof/>
            <w:webHidden/>
          </w:rPr>
          <w:fldChar w:fldCharType="separate"/>
        </w:r>
        <w:r w:rsidR="00B521A8">
          <w:rPr>
            <w:noProof/>
            <w:webHidden/>
          </w:rPr>
          <w:t>52</w:t>
        </w:r>
        <w:r w:rsidR="006174A9">
          <w:rPr>
            <w:noProof/>
            <w:webHidden/>
          </w:rPr>
          <w:fldChar w:fldCharType="end"/>
        </w:r>
      </w:hyperlink>
    </w:p>
    <w:p w:rsidR="00B521A8" w:rsidRPr="00E6438D" w:rsidRDefault="006C74EB">
      <w:pPr>
        <w:pStyle w:val="TOC1"/>
        <w:tabs>
          <w:tab w:val="left" w:pos="440"/>
        </w:tabs>
        <w:rPr>
          <w:rFonts w:ascii="Calibri" w:hAnsi="Calibri"/>
          <w:noProof/>
          <w:sz w:val="22"/>
          <w:szCs w:val="22"/>
        </w:rPr>
      </w:pPr>
      <w:hyperlink w:anchor="_Toc419199667" w:history="1">
        <w:r w:rsidR="00B521A8" w:rsidRPr="006109E6">
          <w:rPr>
            <w:rStyle w:val="Hyperlink"/>
            <w:rFonts w:cs="Arial"/>
            <w:noProof/>
          </w:rPr>
          <w:t>5.</w:t>
        </w:r>
        <w:r w:rsidR="00B521A8" w:rsidRPr="00E6438D">
          <w:rPr>
            <w:rFonts w:ascii="Calibri" w:hAnsi="Calibri"/>
            <w:noProof/>
            <w:sz w:val="22"/>
            <w:szCs w:val="22"/>
          </w:rPr>
          <w:tab/>
        </w:r>
        <w:r w:rsidR="00B521A8" w:rsidRPr="006109E6">
          <w:rPr>
            <w:rStyle w:val="Hyperlink"/>
            <w:noProof/>
          </w:rPr>
          <w:t xml:space="preserve">БУДЬ-ЯКІ ІСНУЮЧІ ЕКОЛОГІЧНІ ПРОБЛЕМИ, ЩО МАЮТЬ ВІДНОШЕННЯ ДО ПЛАНУ ЧИ ПРОГРАМИ, У ТОМУ ЧИСЛІ,  ТІ, ЩО СТОСУЮТЬСЯ БУДЬ-ЯКИХ </w:t>
        </w:r>
        <w:r w:rsidR="00EE259E">
          <w:rPr>
            <w:rStyle w:val="Hyperlink"/>
            <w:noProof/>
            <w:lang w:val="uk-UA"/>
          </w:rPr>
          <w:t>РЕГІОНІВ</w:t>
        </w:r>
        <w:r w:rsidR="00EE259E" w:rsidRPr="006109E6">
          <w:rPr>
            <w:rStyle w:val="Hyperlink"/>
            <w:noProof/>
          </w:rPr>
          <w:t xml:space="preserve"> </w:t>
        </w:r>
        <w:r w:rsidR="00B521A8" w:rsidRPr="006109E6">
          <w:rPr>
            <w:rStyle w:val="Hyperlink"/>
            <w:noProof/>
          </w:rPr>
          <w:t xml:space="preserve">З ОСОБЛИВИМ ЕКОЛОГІЧНИМ </w:t>
        </w:r>
        <w:r w:rsidR="00EE259E">
          <w:rPr>
            <w:rStyle w:val="Hyperlink"/>
            <w:noProof/>
            <w:lang w:val="uk-UA"/>
          </w:rPr>
          <w:t>СТАТУСОМ</w:t>
        </w:r>
        <w:r w:rsidR="00B521A8" w:rsidRPr="006109E6">
          <w:rPr>
            <w:rStyle w:val="Hyperlink"/>
            <w:noProof/>
          </w:rPr>
          <w:t xml:space="preserve">, ТАКИХ, ЯК </w:t>
        </w:r>
        <w:r w:rsidR="00EE259E">
          <w:rPr>
            <w:rStyle w:val="Hyperlink"/>
            <w:noProof/>
            <w:lang w:val="uk-UA"/>
          </w:rPr>
          <w:t>РЕГІОНИ</w:t>
        </w:r>
        <w:r w:rsidR="00B521A8" w:rsidRPr="006109E6">
          <w:rPr>
            <w:rStyle w:val="Hyperlink"/>
            <w:noProof/>
          </w:rPr>
          <w:t xml:space="preserve">, </w:t>
        </w:r>
        <w:r w:rsidR="00EE259E">
          <w:rPr>
            <w:rStyle w:val="Hyperlink"/>
            <w:noProof/>
            <w:lang w:val="uk-UA"/>
          </w:rPr>
          <w:t>ВИБРАНІ</w:t>
        </w:r>
        <w:r w:rsidR="00B521A8" w:rsidRPr="006109E6">
          <w:rPr>
            <w:rStyle w:val="Hyperlink"/>
            <w:noProof/>
          </w:rPr>
          <w:t xml:space="preserve"> ВІДПОВІДНО ДО ДИРЕКТИВ 79/409 / ЄЕС ТА 92/43 / ЄС</w:t>
        </w:r>
        <w:r w:rsidR="00B521A8">
          <w:rPr>
            <w:noProof/>
            <w:webHidden/>
          </w:rPr>
          <w:tab/>
        </w:r>
        <w:r w:rsidR="006174A9">
          <w:rPr>
            <w:noProof/>
            <w:webHidden/>
          </w:rPr>
          <w:fldChar w:fldCharType="begin"/>
        </w:r>
        <w:r w:rsidR="00B521A8">
          <w:rPr>
            <w:noProof/>
            <w:webHidden/>
          </w:rPr>
          <w:instrText xml:space="preserve"> PAGEREF _Toc419199667 \h </w:instrText>
        </w:r>
        <w:r w:rsidR="006174A9">
          <w:rPr>
            <w:noProof/>
            <w:webHidden/>
          </w:rPr>
        </w:r>
        <w:r w:rsidR="006174A9">
          <w:rPr>
            <w:noProof/>
            <w:webHidden/>
          </w:rPr>
          <w:fldChar w:fldCharType="separate"/>
        </w:r>
        <w:r w:rsidR="00B521A8">
          <w:rPr>
            <w:noProof/>
            <w:webHidden/>
          </w:rPr>
          <w:t>58</w:t>
        </w:r>
        <w:r w:rsidR="006174A9">
          <w:rPr>
            <w:noProof/>
            <w:webHidden/>
          </w:rPr>
          <w:fldChar w:fldCharType="end"/>
        </w:r>
      </w:hyperlink>
    </w:p>
    <w:p w:rsidR="00B521A8" w:rsidRPr="00E6438D" w:rsidRDefault="006C74EB">
      <w:pPr>
        <w:pStyle w:val="TOC1"/>
        <w:rPr>
          <w:rFonts w:ascii="Calibri" w:hAnsi="Calibri"/>
          <w:noProof/>
          <w:sz w:val="22"/>
          <w:szCs w:val="22"/>
        </w:rPr>
      </w:pPr>
      <w:hyperlink w:anchor="_Toc419199668" w:history="1">
        <w:r w:rsidR="00B521A8" w:rsidRPr="006109E6">
          <w:rPr>
            <w:rStyle w:val="Hyperlink"/>
            <w:noProof/>
          </w:rPr>
          <w:t>РУМУНІЯ</w:t>
        </w:r>
        <w:r w:rsidR="00B521A8">
          <w:rPr>
            <w:noProof/>
            <w:webHidden/>
          </w:rPr>
          <w:tab/>
        </w:r>
        <w:r w:rsidR="006174A9">
          <w:rPr>
            <w:noProof/>
            <w:webHidden/>
          </w:rPr>
          <w:fldChar w:fldCharType="begin"/>
        </w:r>
        <w:r w:rsidR="00B521A8">
          <w:rPr>
            <w:noProof/>
            <w:webHidden/>
          </w:rPr>
          <w:instrText xml:space="preserve"> PAGEREF _Toc419199668 \h </w:instrText>
        </w:r>
        <w:r w:rsidR="006174A9">
          <w:rPr>
            <w:noProof/>
            <w:webHidden/>
          </w:rPr>
        </w:r>
        <w:r w:rsidR="006174A9">
          <w:rPr>
            <w:noProof/>
            <w:webHidden/>
          </w:rPr>
          <w:fldChar w:fldCharType="separate"/>
        </w:r>
        <w:r w:rsidR="00B521A8">
          <w:rPr>
            <w:noProof/>
            <w:webHidden/>
          </w:rPr>
          <w:t>58</w:t>
        </w:r>
        <w:r w:rsidR="006174A9">
          <w:rPr>
            <w:noProof/>
            <w:webHidden/>
          </w:rPr>
          <w:fldChar w:fldCharType="end"/>
        </w:r>
      </w:hyperlink>
    </w:p>
    <w:p w:rsidR="00B521A8" w:rsidRPr="00E6438D" w:rsidRDefault="006C74EB">
      <w:pPr>
        <w:pStyle w:val="TOC1"/>
        <w:tabs>
          <w:tab w:val="left" w:pos="440"/>
        </w:tabs>
        <w:rPr>
          <w:rFonts w:ascii="Calibri" w:hAnsi="Calibri"/>
          <w:noProof/>
          <w:sz w:val="22"/>
          <w:szCs w:val="22"/>
        </w:rPr>
      </w:pPr>
      <w:hyperlink w:anchor="_Toc419199669" w:history="1">
        <w:r w:rsidR="00B521A8" w:rsidRPr="006109E6">
          <w:rPr>
            <w:rStyle w:val="Hyperlink"/>
            <w:rFonts w:cs="Arial"/>
            <w:noProof/>
            <w:lang w:val="uk-UA"/>
          </w:rPr>
          <w:t>6.</w:t>
        </w:r>
        <w:r w:rsidR="00B521A8" w:rsidRPr="00E6438D">
          <w:rPr>
            <w:rFonts w:ascii="Calibri" w:hAnsi="Calibri"/>
            <w:noProof/>
            <w:sz w:val="22"/>
            <w:szCs w:val="22"/>
          </w:rPr>
          <w:tab/>
        </w:r>
        <w:r w:rsidR="00B521A8" w:rsidRPr="006109E6">
          <w:rPr>
            <w:rStyle w:val="Hyperlink"/>
            <w:rFonts w:cs="Arial"/>
            <w:noProof/>
            <w:lang w:val="uk-UA" w:eastAsia="uk-UA"/>
          </w:rPr>
          <w:t xml:space="preserve">ЗАВДАННЯ ЗАХИСТУ НАВКОЛИШНЬОГО СЕРЕДОВИЩА, ВСТАНОВЛЕНІ НА МІЖНАРОДНОМУ АБО </w:t>
        </w:r>
        <w:r w:rsidR="00EE259E">
          <w:rPr>
            <w:rStyle w:val="Hyperlink"/>
            <w:rFonts w:cs="Arial"/>
            <w:noProof/>
            <w:lang w:val="uk-UA" w:eastAsia="uk-UA"/>
          </w:rPr>
          <w:t>ЛОКАЛЬНОМУ</w:t>
        </w:r>
        <w:r w:rsidR="00EE259E" w:rsidRPr="006109E6">
          <w:rPr>
            <w:rStyle w:val="Hyperlink"/>
            <w:rFonts w:cs="Arial"/>
            <w:noProof/>
            <w:lang w:val="uk-UA" w:eastAsia="uk-UA"/>
          </w:rPr>
          <w:t xml:space="preserve"> </w:t>
        </w:r>
        <w:r w:rsidR="00B521A8" w:rsidRPr="006109E6">
          <w:rPr>
            <w:rStyle w:val="Hyperlink"/>
            <w:rFonts w:cs="Arial"/>
            <w:noProof/>
            <w:lang w:val="uk-UA" w:eastAsia="uk-UA"/>
          </w:rPr>
          <w:t xml:space="preserve">РІВНІ АБО НА РІВНІ СТАТУСУ ЧЛЕНА, ЯКІ Є РЕЛЕВАНТНИМИ ДЛЯ ПРОГРАМИ І ОБРАЗУ В ЯКОМУ ЦІ ЗАВДАННЯ І БУДЬ-ЯКІ АСПЕКТИ СЕРЕДОВИЩА ВРАХОВУВАЛИСЯ </w:t>
        </w:r>
        <w:r w:rsidR="00EE259E">
          <w:rPr>
            <w:rStyle w:val="Hyperlink"/>
            <w:rFonts w:cs="Arial"/>
            <w:noProof/>
            <w:lang w:val="uk-UA" w:eastAsia="uk-UA"/>
          </w:rPr>
          <w:t>ПІД</w:t>
        </w:r>
        <w:r w:rsidR="00EE259E" w:rsidRPr="006109E6">
          <w:rPr>
            <w:rStyle w:val="Hyperlink"/>
            <w:rFonts w:cs="Arial"/>
            <w:noProof/>
            <w:lang w:val="uk-UA" w:eastAsia="uk-UA"/>
          </w:rPr>
          <w:t xml:space="preserve"> </w:t>
        </w:r>
        <w:r w:rsidR="00EE259E">
          <w:rPr>
            <w:rStyle w:val="Hyperlink"/>
            <w:rFonts w:cs="Arial"/>
            <w:noProof/>
            <w:lang w:val="uk-UA" w:eastAsia="uk-UA"/>
          </w:rPr>
          <w:t>ЧАС</w:t>
        </w:r>
        <w:r w:rsidR="00EE259E" w:rsidRPr="006109E6">
          <w:rPr>
            <w:rStyle w:val="Hyperlink"/>
            <w:rFonts w:cs="Arial"/>
            <w:noProof/>
            <w:lang w:val="uk-UA" w:eastAsia="uk-UA"/>
          </w:rPr>
          <w:t xml:space="preserve"> </w:t>
        </w:r>
        <w:r w:rsidR="00B521A8" w:rsidRPr="006109E6">
          <w:rPr>
            <w:rStyle w:val="Hyperlink"/>
            <w:rFonts w:cs="Arial"/>
            <w:noProof/>
            <w:lang w:val="uk-UA" w:eastAsia="uk-UA"/>
          </w:rPr>
          <w:t>РОЗРОБКИ</w:t>
        </w:r>
        <w:r w:rsidR="00B521A8">
          <w:rPr>
            <w:noProof/>
            <w:webHidden/>
          </w:rPr>
          <w:tab/>
        </w:r>
        <w:r w:rsidR="006174A9">
          <w:rPr>
            <w:noProof/>
            <w:webHidden/>
          </w:rPr>
          <w:fldChar w:fldCharType="begin"/>
        </w:r>
        <w:r w:rsidR="00B521A8">
          <w:rPr>
            <w:noProof/>
            <w:webHidden/>
          </w:rPr>
          <w:instrText xml:space="preserve"> PAGEREF _Toc419199669 \h </w:instrText>
        </w:r>
        <w:r w:rsidR="006174A9">
          <w:rPr>
            <w:noProof/>
            <w:webHidden/>
          </w:rPr>
        </w:r>
        <w:r w:rsidR="006174A9">
          <w:rPr>
            <w:noProof/>
            <w:webHidden/>
          </w:rPr>
          <w:fldChar w:fldCharType="separate"/>
        </w:r>
        <w:r w:rsidR="00B521A8">
          <w:rPr>
            <w:noProof/>
            <w:webHidden/>
          </w:rPr>
          <w:t>98</w:t>
        </w:r>
        <w:r w:rsidR="006174A9">
          <w:rPr>
            <w:noProof/>
            <w:webHidden/>
          </w:rPr>
          <w:fldChar w:fldCharType="end"/>
        </w:r>
      </w:hyperlink>
    </w:p>
    <w:p w:rsidR="00B521A8" w:rsidRPr="00E6438D" w:rsidRDefault="006C74EB">
      <w:pPr>
        <w:pStyle w:val="TOC1"/>
        <w:tabs>
          <w:tab w:val="left" w:pos="440"/>
        </w:tabs>
        <w:rPr>
          <w:rFonts w:ascii="Calibri" w:hAnsi="Calibri"/>
          <w:noProof/>
          <w:sz w:val="22"/>
          <w:szCs w:val="22"/>
        </w:rPr>
      </w:pPr>
      <w:hyperlink w:anchor="_Toc419199670" w:history="1">
        <w:r w:rsidR="00B521A8" w:rsidRPr="006109E6">
          <w:rPr>
            <w:rStyle w:val="Hyperlink"/>
            <w:noProof/>
            <w:lang w:val="uk-UA" w:eastAsia="en-US"/>
          </w:rPr>
          <w:t>I.</w:t>
        </w:r>
        <w:r w:rsidR="00B521A8" w:rsidRPr="00E6438D">
          <w:rPr>
            <w:rFonts w:ascii="Calibri" w:hAnsi="Calibri"/>
            <w:noProof/>
            <w:sz w:val="22"/>
            <w:szCs w:val="22"/>
          </w:rPr>
          <w:tab/>
        </w:r>
        <w:r w:rsidR="00B521A8" w:rsidRPr="006109E6">
          <w:rPr>
            <w:rStyle w:val="Hyperlink"/>
            <w:rFonts w:cs="Arial"/>
            <w:noProof/>
            <w:lang w:val="uk-UA" w:eastAsia="uk-UA"/>
          </w:rPr>
          <w:t>РУМУНІЯ</w:t>
        </w:r>
        <w:r w:rsidR="00B521A8">
          <w:rPr>
            <w:noProof/>
            <w:webHidden/>
          </w:rPr>
          <w:tab/>
        </w:r>
        <w:r w:rsidR="006174A9">
          <w:rPr>
            <w:noProof/>
            <w:webHidden/>
          </w:rPr>
          <w:fldChar w:fldCharType="begin"/>
        </w:r>
        <w:r w:rsidR="00B521A8">
          <w:rPr>
            <w:noProof/>
            <w:webHidden/>
          </w:rPr>
          <w:instrText xml:space="preserve"> PAGEREF _Toc419199670 \h </w:instrText>
        </w:r>
        <w:r w:rsidR="006174A9">
          <w:rPr>
            <w:noProof/>
            <w:webHidden/>
          </w:rPr>
        </w:r>
        <w:r w:rsidR="006174A9">
          <w:rPr>
            <w:noProof/>
            <w:webHidden/>
          </w:rPr>
          <w:fldChar w:fldCharType="separate"/>
        </w:r>
        <w:r w:rsidR="00B521A8">
          <w:rPr>
            <w:noProof/>
            <w:webHidden/>
          </w:rPr>
          <w:t>98</w:t>
        </w:r>
        <w:r w:rsidR="006174A9">
          <w:rPr>
            <w:noProof/>
            <w:webHidden/>
          </w:rPr>
          <w:fldChar w:fldCharType="end"/>
        </w:r>
      </w:hyperlink>
    </w:p>
    <w:p w:rsidR="00B521A8" w:rsidRPr="00E6438D" w:rsidRDefault="006C74EB">
      <w:pPr>
        <w:pStyle w:val="TOC1"/>
        <w:tabs>
          <w:tab w:val="left" w:pos="440"/>
        </w:tabs>
        <w:rPr>
          <w:rFonts w:ascii="Calibri" w:hAnsi="Calibri"/>
          <w:noProof/>
          <w:sz w:val="22"/>
          <w:szCs w:val="22"/>
        </w:rPr>
      </w:pPr>
      <w:hyperlink w:anchor="_Toc419199671" w:history="1">
        <w:r w:rsidR="00B521A8" w:rsidRPr="006109E6">
          <w:rPr>
            <w:rStyle w:val="Hyperlink"/>
            <w:rFonts w:cs="Arial"/>
            <w:noProof/>
            <w:lang w:val="uk-UA"/>
          </w:rPr>
          <w:t>II.</w:t>
        </w:r>
        <w:r w:rsidR="00B521A8" w:rsidRPr="00E6438D">
          <w:rPr>
            <w:rFonts w:ascii="Calibri" w:hAnsi="Calibri"/>
            <w:noProof/>
            <w:sz w:val="22"/>
            <w:szCs w:val="22"/>
          </w:rPr>
          <w:tab/>
        </w:r>
        <w:r w:rsidR="00B521A8" w:rsidRPr="006109E6">
          <w:rPr>
            <w:rStyle w:val="Hyperlink"/>
            <w:rFonts w:cs="Arial"/>
            <w:noProof/>
            <w:lang w:val="uk-UA" w:eastAsia="uk-UA"/>
          </w:rPr>
          <w:t>УКРАЇНА</w:t>
        </w:r>
        <w:r w:rsidR="00B521A8">
          <w:rPr>
            <w:noProof/>
            <w:webHidden/>
          </w:rPr>
          <w:tab/>
        </w:r>
        <w:r w:rsidR="006174A9">
          <w:rPr>
            <w:noProof/>
            <w:webHidden/>
          </w:rPr>
          <w:fldChar w:fldCharType="begin"/>
        </w:r>
        <w:r w:rsidR="00B521A8">
          <w:rPr>
            <w:noProof/>
            <w:webHidden/>
          </w:rPr>
          <w:instrText xml:space="preserve"> PAGEREF _Toc419199671 \h </w:instrText>
        </w:r>
        <w:r w:rsidR="006174A9">
          <w:rPr>
            <w:noProof/>
            <w:webHidden/>
          </w:rPr>
        </w:r>
        <w:r w:rsidR="006174A9">
          <w:rPr>
            <w:noProof/>
            <w:webHidden/>
          </w:rPr>
          <w:fldChar w:fldCharType="separate"/>
        </w:r>
        <w:r w:rsidR="00B521A8">
          <w:rPr>
            <w:noProof/>
            <w:webHidden/>
          </w:rPr>
          <w:t>103</w:t>
        </w:r>
        <w:r w:rsidR="006174A9">
          <w:rPr>
            <w:noProof/>
            <w:webHidden/>
          </w:rPr>
          <w:fldChar w:fldCharType="end"/>
        </w:r>
      </w:hyperlink>
    </w:p>
    <w:p w:rsidR="00B521A8" w:rsidRPr="00E6438D" w:rsidRDefault="006C74EB">
      <w:pPr>
        <w:pStyle w:val="TOC1"/>
        <w:tabs>
          <w:tab w:val="left" w:pos="660"/>
        </w:tabs>
        <w:rPr>
          <w:rFonts w:ascii="Calibri" w:hAnsi="Calibri"/>
          <w:noProof/>
          <w:sz w:val="22"/>
          <w:szCs w:val="22"/>
        </w:rPr>
      </w:pPr>
      <w:hyperlink w:anchor="_Toc419199672" w:history="1">
        <w:r w:rsidR="00B521A8" w:rsidRPr="006109E6">
          <w:rPr>
            <w:rStyle w:val="Hyperlink"/>
            <w:rFonts w:cs="Arial"/>
            <w:noProof/>
            <w:lang w:val="uk-UA"/>
          </w:rPr>
          <w:t>III.</w:t>
        </w:r>
        <w:r w:rsidR="00B521A8" w:rsidRPr="00E6438D">
          <w:rPr>
            <w:rFonts w:ascii="Calibri" w:hAnsi="Calibri"/>
            <w:noProof/>
            <w:sz w:val="22"/>
            <w:szCs w:val="22"/>
          </w:rPr>
          <w:tab/>
        </w:r>
        <w:r w:rsidR="00B521A8" w:rsidRPr="006109E6">
          <w:rPr>
            <w:rStyle w:val="Hyperlink"/>
            <w:rFonts w:cs="Arial"/>
            <w:noProof/>
            <w:lang w:val="uk-UA" w:eastAsia="uk-UA"/>
          </w:rPr>
          <w:t>ЄВРОПЕЙСЬКИЙ СОЮЗ</w:t>
        </w:r>
        <w:r w:rsidR="00B521A8">
          <w:rPr>
            <w:noProof/>
            <w:webHidden/>
          </w:rPr>
          <w:tab/>
        </w:r>
        <w:r w:rsidR="006174A9">
          <w:rPr>
            <w:noProof/>
            <w:webHidden/>
          </w:rPr>
          <w:fldChar w:fldCharType="begin"/>
        </w:r>
        <w:r w:rsidR="00B521A8">
          <w:rPr>
            <w:noProof/>
            <w:webHidden/>
          </w:rPr>
          <w:instrText xml:space="preserve"> PAGEREF _Toc419199672 \h </w:instrText>
        </w:r>
        <w:r w:rsidR="006174A9">
          <w:rPr>
            <w:noProof/>
            <w:webHidden/>
          </w:rPr>
        </w:r>
        <w:r w:rsidR="006174A9">
          <w:rPr>
            <w:noProof/>
            <w:webHidden/>
          </w:rPr>
          <w:fldChar w:fldCharType="separate"/>
        </w:r>
        <w:r w:rsidR="00B521A8">
          <w:rPr>
            <w:noProof/>
            <w:webHidden/>
          </w:rPr>
          <w:t>104</w:t>
        </w:r>
        <w:r w:rsidR="006174A9">
          <w:rPr>
            <w:noProof/>
            <w:webHidden/>
          </w:rPr>
          <w:fldChar w:fldCharType="end"/>
        </w:r>
      </w:hyperlink>
    </w:p>
    <w:p w:rsidR="00B521A8" w:rsidRPr="00EE259E" w:rsidRDefault="006C74EB">
      <w:pPr>
        <w:pStyle w:val="TOC1"/>
        <w:tabs>
          <w:tab w:val="left" w:pos="440"/>
        </w:tabs>
        <w:rPr>
          <w:rFonts w:cs="Arial"/>
          <w:noProof/>
          <w:color w:val="0000FF"/>
          <w:u w:val="single"/>
          <w:lang w:val="uk-UA" w:bidi="uk-UA"/>
        </w:rPr>
      </w:pPr>
      <w:hyperlink w:anchor="_Toc419199673" w:history="1">
        <w:r w:rsidR="00B521A8" w:rsidRPr="006109E6">
          <w:rPr>
            <w:rStyle w:val="Hyperlink"/>
            <w:rFonts w:cs="Arial"/>
            <w:noProof/>
            <w:lang w:bidi="uk-UA"/>
          </w:rPr>
          <w:t>7.</w:t>
        </w:r>
        <w:r w:rsidR="00B521A8" w:rsidRPr="00E6438D">
          <w:rPr>
            <w:rFonts w:ascii="Calibri" w:hAnsi="Calibri"/>
            <w:noProof/>
            <w:sz w:val="22"/>
            <w:szCs w:val="22"/>
          </w:rPr>
          <w:tab/>
        </w:r>
        <w:r w:rsidR="00B521A8" w:rsidRPr="006109E6">
          <w:rPr>
            <w:rStyle w:val="Hyperlink"/>
            <w:rFonts w:cs="Arial"/>
            <w:noProof/>
            <w:lang w:bidi="uk-UA"/>
          </w:rPr>
          <w:t xml:space="preserve">МОЖЛИВІСТЬ ЗНАЧНОГО </w:t>
        </w:r>
        <w:r w:rsidR="00B521A8" w:rsidRPr="006109E6">
          <w:rPr>
            <w:rStyle w:val="Hyperlink"/>
            <w:rFonts w:eastAsia="Calibri" w:cs="Arial"/>
            <w:noProof/>
            <w:lang w:bidi="uk-UA"/>
          </w:rPr>
          <w:t>ВПЛИВУ НА НАВКОЛИШНЄ СЕРЕДОВИЩЕ</w:t>
        </w:r>
        <w:r w:rsidR="00B521A8" w:rsidRPr="006109E6">
          <w:rPr>
            <w:rStyle w:val="Hyperlink"/>
            <w:rFonts w:cs="Arial"/>
            <w:noProof/>
            <w:lang w:bidi="uk-UA"/>
          </w:rPr>
          <w:t xml:space="preserve">, В ТОМУ ЧИСЛІ З ТАКИХ ПИТАНЬ, ЯК БІОРІЗНОМАНІТТЯ, НАСЕЛЕННЯ, ЗДОРОВ'Я ЛЮДИНИ, </w:t>
        </w:r>
        <w:r w:rsidR="00EE259E" w:rsidRPr="006109E6">
          <w:rPr>
            <w:rStyle w:val="Hyperlink"/>
            <w:rFonts w:cs="Arial"/>
            <w:noProof/>
            <w:lang w:bidi="uk-UA"/>
          </w:rPr>
          <w:t>ФАУН</w:t>
        </w:r>
        <w:r w:rsidR="00EE259E">
          <w:rPr>
            <w:rStyle w:val="Hyperlink"/>
            <w:rFonts w:cs="Arial"/>
            <w:noProof/>
            <w:lang w:val="uk-UA" w:bidi="uk-UA"/>
          </w:rPr>
          <w:t>А</w:t>
        </w:r>
        <w:r w:rsidR="00B521A8" w:rsidRPr="006109E6">
          <w:rPr>
            <w:rStyle w:val="Hyperlink"/>
            <w:rFonts w:cs="Arial"/>
            <w:noProof/>
            <w:lang w:bidi="uk-UA"/>
          </w:rPr>
          <w:t xml:space="preserve">, </w:t>
        </w:r>
        <w:r w:rsidR="00EE259E" w:rsidRPr="006109E6">
          <w:rPr>
            <w:rStyle w:val="Hyperlink"/>
            <w:rFonts w:cs="Arial"/>
            <w:noProof/>
            <w:lang w:bidi="uk-UA"/>
          </w:rPr>
          <w:t>ФЛОР</w:t>
        </w:r>
        <w:r w:rsidR="00EE259E">
          <w:rPr>
            <w:rStyle w:val="Hyperlink"/>
            <w:rFonts w:cs="Arial"/>
            <w:noProof/>
            <w:lang w:val="uk-UA" w:bidi="uk-UA"/>
          </w:rPr>
          <w:t>А</w:t>
        </w:r>
        <w:r w:rsidR="00B521A8" w:rsidRPr="006109E6">
          <w:rPr>
            <w:rStyle w:val="Hyperlink"/>
            <w:rFonts w:cs="Arial"/>
            <w:noProof/>
            <w:lang w:bidi="uk-UA"/>
          </w:rPr>
          <w:t>, ҐРУНТ, ВОД</w:t>
        </w:r>
        <w:r w:rsidR="00EE259E">
          <w:rPr>
            <w:rStyle w:val="Hyperlink"/>
            <w:rFonts w:cs="Arial"/>
            <w:noProof/>
            <w:lang w:val="uk-UA" w:bidi="uk-UA"/>
          </w:rPr>
          <w:t>А</w:t>
        </w:r>
        <w:r w:rsidR="00B521A8" w:rsidRPr="006109E6">
          <w:rPr>
            <w:rStyle w:val="Hyperlink"/>
            <w:rFonts w:cs="Arial"/>
            <w:noProof/>
            <w:lang w:bidi="uk-UA"/>
          </w:rPr>
          <w:t xml:space="preserve">, ПОВІТРЯ, </w:t>
        </w:r>
        <w:r w:rsidR="00EE259E" w:rsidRPr="006109E6">
          <w:rPr>
            <w:rStyle w:val="Hyperlink"/>
            <w:rFonts w:cs="Arial"/>
            <w:noProof/>
            <w:lang w:bidi="uk-UA"/>
          </w:rPr>
          <w:t>КЛІМАТИЧН</w:t>
        </w:r>
        <w:r w:rsidR="00EE259E">
          <w:rPr>
            <w:rStyle w:val="Hyperlink"/>
            <w:rFonts w:cs="Arial"/>
            <w:noProof/>
            <w:lang w:val="uk-UA" w:bidi="uk-UA"/>
          </w:rPr>
          <w:t>І</w:t>
        </w:r>
        <w:r w:rsidR="00EE259E" w:rsidRPr="006109E6">
          <w:rPr>
            <w:rStyle w:val="Hyperlink"/>
            <w:rFonts w:cs="Arial"/>
            <w:noProof/>
            <w:lang w:bidi="uk-UA"/>
          </w:rPr>
          <w:t xml:space="preserve"> ФАКТОР</w:t>
        </w:r>
        <w:r w:rsidR="00EE259E">
          <w:rPr>
            <w:rStyle w:val="Hyperlink"/>
            <w:rFonts w:cs="Arial"/>
            <w:noProof/>
            <w:lang w:val="uk-UA" w:bidi="uk-UA"/>
          </w:rPr>
          <w:t>И</w:t>
        </w:r>
        <w:r w:rsidR="00B521A8" w:rsidRPr="006109E6">
          <w:rPr>
            <w:rStyle w:val="Hyperlink"/>
            <w:rFonts w:cs="Arial"/>
            <w:noProof/>
            <w:lang w:bidi="uk-UA"/>
          </w:rPr>
          <w:t xml:space="preserve">, </w:t>
        </w:r>
        <w:r w:rsidR="00EE259E" w:rsidRPr="006109E6">
          <w:rPr>
            <w:rStyle w:val="Hyperlink"/>
            <w:rFonts w:cs="Arial"/>
            <w:noProof/>
            <w:lang w:bidi="uk-UA"/>
          </w:rPr>
          <w:t>МАТЕРІАЛЬН</w:t>
        </w:r>
        <w:r w:rsidR="00EE259E">
          <w:rPr>
            <w:rStyle w:val="Hyperlink"/>
            <w:rFonts w:cs="Arial"/>
            <w:noProof/>
            <w:lang w:val="uk-UA" w:bidi="uk-UA"/>
          </w:rPr>
          <w:t>І</w:t>
        </w:r>
        <w:r w:rsidR="00EE259E" w:rsidRPr="006109E6">
          <w:rPr>
            <w:rStyle w:val="Hyperlink"/>
            <w:rFonts w:cs="Arial"/>
            <w:noProof/>
            <w:lang w:bidi="uk-UA"/>
          </w:rPr>
          <w:t xml:space="preserve"> ЦІННОСТ</w:t>
        </w:r>
        <w:r w:rsidR="00EE259E">
          <w:rPr>
            <w:rStyle w:val="Hyperlink"/>
            <w:rFonts w:cs="Arial"/>
            <w:noProof/>
            <w:lang w:val="uk-UA" w:bidi="uk-UA"/>
          </w:rPr>
          <w:t>І</w:t>
        </w:r>
        <w:r w:rsidR="00B521A8" w:rsidRPr="006109E6">
          <w:rPr>
            <w:rStyle w:val="Hyperlink"/>
            <w:rFonts w:cs="Arial"/>
            <w:noProof/>
            <w:lang w:bidi="uk-UA"/>
          </w:rPr>
          <w:t xml:space="preserve">, </w:t>
        </w:r>
        <w:r w:rsidR="00EE259E" w:rsidRPr="006109E6">
          <w:rPr>
            <w:rStyle w:val="Hyperlink"/>
            <w:rFonts w:cs="Arial"/>
            <w:noProof/>
            <w:lang w:bidi="uk-UA"/>
          </w:rPr>
          <w:t>КУЛЬТУРН</w:t>
        </w:r>
        <w:r w:rsidR="00EE259E">
          <w:rPr>
            <w:rStyle w:val="Hyperlink"/>
            <w:rFonts w:cs="Arial"/>
            <w:noProof/>
            <w:lang w:val="uk-UA" w:bidi="uk-UA"/>
          </w:rPr>
          <w:t>А</w:t>
        </w:r>
        <w:r w:rsidR="00EE259E" w:rsidRPr="006109E6">
          <w:rPr>
            <w:rStyle w:val="Hyperlink"/>
            <w:rFonts w:cs="Arial"/>
            <w:noProof/>
            <w:lang w:bidi="uk-UA"/>
          </w:rPr>
          <w:t xml:space="preserve"> СПАДЩИН</w:t>
        </w:r>
        <w:r w:rsidR="00EE259E">
          <w:rPr>
            <w:rStyle w:val="Hyperlink"/>
            <w:rFonts w:cs="Arial"/>
            <w:noProof/>
            <w:lang w:val="uk-UA" w:bidi="uk-UA"/>
          </w:rPr>
          <w:t>А</w:t>
        </w:r>
        <w:r w:rsidR="00B521A8" w:rsidRPr="006109E6">
          <w:rPr>
            <w:rStyle w:val="Hyperlink"/>
            <w:rFonts w:cs="Arial"/>
            <w:noProof/>
            <w:lang w:bidi="uk-UA"/>
          </w:rPr>
          <w:t xml:space="preserve">, ВКЛЮЧАЮЧИ АРХІТЕКТУРНУ І АРХЕОЛОГІЧНУ СПАДЩИНУ, </w:t>
        </w:r>
        <w:r w:rsidR="00EE259E">
          <w:rPr>
            <w:rStyle w:val="Hyperlink"/>
            <w:rFonts w:cs="Arial"/>
            <w:noProof/>
            <w:lang w:val="uk-UA" w:bidi="uk-UA"/>
          </w:rPr>
          <w:t>ЛАНДШАФТ</w:t>
        </w:r>
        <w:r w:rsidR="00EE259E" w:rsidRPr="006109E6">
          <w:rPr>
            <w:rStyle w:val="Hyperlink"/>
            <w:rFonts w:cs="Arial"/>
            <w:noProof/>
            <w:lang w:bidi="uk-UA"/>
          </w:rPr>
          <w:t xml:space="preserve"> </w:t>
        </w:r>
        <w:r w:rsidR="00B521A8" w:rsidRPr="006109E6">
          <w:rPr>
            <w:rStyle w:val="Hyperlink"/>
            <w:rFonts w:cs="Arial"/>
            <w:noProof/>
            <w:lang w:bidi="uk-UA"/>
          </w:rPr>
          <w:t>І ВЗАЄМОДІЯ МІЖ ЦИМИ ФАКТОРАМИ</w:t>
        </w:r>
        <w:r w:rsidR="00B521A8">
          <w:rPr>
            <w:noProof/>
            <w:webHidden/>
          </w:rPr>
          <w:tab/>
        </w:r>
        <w:r w:rsidR="006174A9">
          <w:rPr>
            <w:noProof/>
            <w:webHidden/>
          </w:rPr>
          <w:fldChar w:fldCharType="begin"/>
        </w:r>
        <w:r w:rsidR="00B521A8">
          <w:rPr>
            <w:noProof/>
            <w:webHidden/>
          </w:rPr>
          <w:instrText xml:space="preserve"> PAGEREF _Toc419199673 \h </w:instrText>
        </w:r>
        <w:r w:rsidR="006174A9">
          <w:rPr>
            <w:noProof/>
            <w:webHidden/>
          </w:rPr>
        </w:r>
        <w:r w:rsidR="006174A9">
          <w:rPr>
            <w:noProof/>
            <w:webHidden/>
          </w:rPr>
          <w:fldChar w:fldCharType="separate"/>
        </w:r>
        <w:r w:rsidR="00B521A8">
          <w:rPr>
            <w:noProof/>
            <w:webHidden/>
          </w:rPr>
          <w:t>107</w:t>
        </w:r>
        <w:r w:rsidR="006174A9">
          <w:rPr>
            <w:noProof/>
            <w:webHidden/>
          </w:rPr>
          <w:fldChar w:fldCharType="end"/>
        </w:r>
      </w:hyperlink>
    </w:p>
    <w:p w:rsidR="00B521A8" w:rsidRPr="00E6438D" w:rsidRDefault="006C74EB">
      <w:pPr>
        <w:pStyle w:val="TOC1"/>
        <w:tabs>
          <w:tab w:val="left" w:pos="440"/>
        </w:tabs>
        <w:rPr>
          <w:rFonts w:ascii="Calibri" w:hAnsi="Calibri"/>
          <w:noProof/>
          <w:sz w:val="22"/>
          <w:szCs w:val="22"/>
        </w:rPr>
      </w:pPr>
      <w:hyperlink w:anchor="_Toc419199674" w:history="1">
        <w:r w:rsidR="00B521A8" w:rsidRPr="006109E6">
          <w:rPr>
            <w:rStyle w:val="Hyperlink"/>
            <w:rFonts w:eastAsia="Calibri" w:cs="Arial"/>
            <w:noProof/>
          </w:rPr>
          <w:t>8.</w:t>
        </w:r>
        <w:r w:rsidR="00B521A8" w:rsidRPr="00E6438D">
          <w:rPr>
            <w:rFonts w:ascii="Calibri" w:hAnsi="Calibri"/>
            <w:noProof/>
            <w:sz w:val="22"/>
            <w:szCs w:val="22"/>
          </w:rPr>
          <w:tab/>
        </w:r>
        <w:r w:rsidR="00B521A8" w:rsidRPr="006109E6">
          <w:rPr>
            <w:rStyle w:val="Hyperlink"/>
            <w:rFonts w:eastAsia="Calibri" w:cs="Arial"/>
            <w:noProof/>
          </w:rPr>
          <w:t>ЗАХОДИ, СПРЯМОВАНІ НА ЗАПОБІГАННЯ, СКОРОЧЕННЯ І, ДЕ ЦЕ МОЖЛИВО КОМПЕНСУВАТИ</w:t>
        </w:r>
        <w:r w:rsidR="00EE259E">
          <w:rPr>
            <w:rStyle w:val="Hyperlink"/>
            <w:rFonts w:eastAsia="Calibri" w:cs="Arial"/>
            <w:noProof/>
            <w:lang w:val="uk-UA"/>
          </w:rPr>
          <w:t>,</w:t>
        </w:r>
        <w:r w:rsidR="00B521A8" w:rsidRPr="006109E6">
          <w:rPr>
            <w:rStyle w:val="Hyperlink"/>
            <w:rFonts w:eastAsia="Calibri" w:cs="Arial"/>
            <w:noProof/>
          </w:rPr>
          <w:t xml:space="preserve"> БУДЬ-ЯКІ НЕСПРИЯТЛИВІ ВПЛИВИ НА НАВКОЛИШНЄ СЕРЕДОВИЩЕ ШЛЯХОМ ВПРОВАДЖЕННЯ ПЛАНУ АБО ПРОГРАМИ</w:t>
        </w:r>
        <w:r w:rsidR="00B521A8">
          <w:rPr>
            <w:noProof/>
            <w:webHidden/>
          </w:rPr>
          <w:tab/>
        </w:r>
        <w:r w:rsidR="006174A9">
          <w:rPr>
            <w:noProof/>
            <w:webHidden/>
          </w:rPr>
          <w:fldChar w:fldCharType="begin"/>
        </w:r>
        <w:r w:rsidR="00B521A8">
          <w:rPr>
            <w:noProof/>
            <w:webHidden/>
          </w:rPr>
          <w:instrText xml:space="preserve"> PAGEREF _Toc419199674 \h </w:instrText>
        </w:r>
        <w:r w:rsidR="006174A9">
          <w:rPr>
            <w:noProof/>
            <w:webHidden/>
          </w:rPr>
        </w:r>
        <w:r w:rsidR="006174A9">
          <w:rPr>
            <w:noProof/>
            <w:webHidden/>
          </w:rPr>
          <w:fldChar w:fldCharType="separate"/>
        </w:r>
        <w:r w:rsidR="00B521A8">
          <w:rPr>
            <w:noProof/>
            <w:webHidden/>
          </w:rPr>
          <w:t>122</w:t>
        </w:r>
        <w:r w:rsidR="006174A9">
          <w:rPr>
            <w:noProof/>
            <w:webHidden/>
          </w:rPr>
          <w:fldChar w:fldCharType="end"/>
        </w:r>
      </w:hyperlink>
    </w:p>
    <w:p w:rsidR="00B521A8" w:rsidRPr="00E6438D" w:rsidRDefault="006C74EB">
      <w:pPr>
        <w:pStyle w:val="TOC1"/>
        <w:rPr>
          <w:rFonts w:ascii="Calibri" w:hAnsi="Calibri"/>
          <w:noProof/>
          <w:sz w:val="22"/>
          <w:szCs w:val="22"/>
        </w:rPr>
      </w:pPr>
      <w:hyperlink w:anchor="_Toc419199675" w:history="1">
        <w:r w:rsidR="00B521A8" w:rsidRPr="006109E6">
          <w:rPr>
            <w:rStyle w:val="Hyperlink"/>
            <w:rFonts w:eastAsia="Calibri" w:cs="Arial"/>
            <w:noProof/>
            <w:lang w:bidi="uk-UA"/>
          </w:rPr>
          <w:t>9.1 Вибір альтернатив програми Ro-Ua</w:t>
        </w:r>
        <w:r w:rsidR="00B521A8">
          <w:rPr>
            <w:noProof/>
            <w:webHidden/>
          </w:rPr>
          <w:tab/>
        </w:r>
        <w:r w:rsidR="006174A9">
          <w:rPr>
            <w:noProof/>
            <w:webHidden/>
          </w:rPr>
          <w:fldChar w:fldCharType="begin"/>
        </w:r>
        <w:r w:rsidR="00B521A8">
          <w:rPr>
            <w:noProof/>
            <w:webHidden/>
          </w:rPr>
          <w:instrText xml:space="preserve"> PAGEREF _Toc419199675 \h </w:instrText>
        </w:r>
        <w:r w:rsidR="006174A9">
          <w:rPr>
            <w:noProof/>
            <w:webHidden/>
          </w:rPr>
        </w:r>
        <w:r w:rsidR="006174A9">
          <w:rPr>
            <w:noProof/>
            <w:webHidden/>
          </w:rPr>
          <w:fldChar w:fldCharType="separate"/>
        </w:r>
        <w:r w:rsidR="00B521A8">
          <w:rPr>
            <w:noProof/>
            <w:webHidden/>
          </w:rPr>
          <w:t>129</w:t>
        </w:r>
        <w:r w:rsidR="006174A9">
          <w:rPr>
            <w:noProof/>
            <w:webHidden/>
          </w:rPr>
          <w:fldChar w:fldCharType="end"/>
        </w:r>
      </w:hyperlink>
    </w:p>
    <w:p w:rsidR="00B521A8" w:rsidRPr="00E6438D" w:rsidRDefault="006C74EB">
      <w:pPr>
        <w:pStyle w:val="TOC1"/>
        <w:rPr>
          <w:rFonts w:ascii="Calibri" w:hAnsi="Calibri"/>
          <w:noProof/>
          <w:sz w:val="22"/>
          <w:szCs w:val="22"/>
        </w:rPr>
      </w:pPr>
      <w:hyperlink w:anchor="_Toc419199676" w:history="1">
        <w:r w:rsidR="00B521A8" w:rsidRPr="006109E6">
          <w:rPr>
            <w:rStyle w:val="Hyperlink"/>
            <w:rFonts w:eastAsia="Calibri" w:cs="Arial"/>
            <w:noProof/>
            <w:lang w:bidi="uk-UA"/>
          </w:rPr>
          <w:t>9.2 Труднощі</w:t>
        </w:r>
        <w:r w:rsidR="00B521A8">
          <w:rPr>
            <w:noProof/>
            <w:webHidden/>
          </w:rPr>
          <w:tab/>
        </w:r>
        <w:r w:rsidR="006174A9">
          <w:rPr>
            <w:noProof/>
            <w:webHidden/>
          </w:rPr>
          <w:fldChar w:fldCharType="begin"/>
        </w:r>
        <w:r w:rsidR="00B521A8">
          <w:rPr>
            <w:noProof/>
            <w:webHidden/>
          </w:rPr>
          <w:instrText xml:space="preserve"> PAGEREF _Toc419199676 \h </w:instrText>
        </w:r>
        <w:r w:rsidR="006174A9">
          <w:rPr>
            <w:noProof/>
            <w:webHidden/>
          </w:rPr>
        </w:r>
        <w:r w:rsidR="006174A9">
          <w:rPr>
            <w:noProof/>
            <w:webHidden/>
          </w:rPr>
          <w:fldChar w:fldCharType="separate"/>
        </w:r>
        <w:r w:rsidR="00B521A8">
          <w:rPr>
            <w:noProof/>
            <w:webHidden/>
          </w:rPr>
          <w:t>131</w:t>
        </w:r>
        <w:r w:rsidR="006174A9">
          <w:rPr>
            <w:noProof/>
            <w:webHidden/>
          </w:rPr>
          <w:fldChar w:fldCharType="end"/>
        </w:r>
      </w:hyperlink>
    </w:p>
    <w:p w:rsidR="00B521A8" w:rsidRPr="00E6438D" w:rsidRDefault="006C74EB">
      <w:pPr>
        <w:pStyle w:val="TOC1"/>
        <w:rPr>
          <w:rFonts w:ascii="Calibri" w:hAnsi="Calibri"/>
          <w:noProof/>
          <w:sz w:val="22"/>
          <w:szCs w:val="22"/>
        </w:rPr>
      </w:pPr>
      <w:hyperlink w:anchor="_Toc419199677" w:history="1">
        <w:r w:rsidR="00B521A8" w:rsidRPr="006109E6">
          <w:rPr>
            <w:rStyle w:val="Hyperlink"/>
            <w:rFonts w:eastAsia="Calibri" w:cs="Arial"/>
            <w:noProof/>
            <w:lang w:bidi="uk-UA"/>
          </w:rPr>
          <w:t>10. ОПИС ПЕРЕДБАЧЕНИХ ЗАХОДІВ, СТОСОВНО МОНІТОРИНГУ ВІДПОВІДНО ДО СТАТТІ</w:t>
        </w:r>
        <w:r w:rsidR="00B521A8">
          <w:rPr>
            <w:noProof/>
            <w:webHidden/>
          </w:rPr>
          <w:tab/>
        </w:r>
        <w:r w:rsidR="006174A9">
          <w:rPr>
            <w:noProof/>
            <w:webHidden/>
          </w:rPr>
          <w:fldChar w:fldCharType="begin"/>
        </w:r>
        <w:r w:rsidR="00B521A8">
          <w:rPr>
            <w:noProof/>
            <w:webHidden/>
          </w:rPr>
          <w:instrText xml:space="preserve"> PAGEREF _Toc419199677 \h </w:instrText>
        </w:r>
        <w:r w:rsidR="006174A9">
          <w:rPr>
            <w:noProof/>
            <w:webHidden/>
          </w:rPr>
        </w:r>
        <w:r w:rsidR="006174A9">
          <w:rPr>
            <w:noProof/>
            <w:webHidden/>
          </w:rPr>
          <w:fldChar w:fldCharType="separate"/>
        </w:r>
        <w:r w:rsidR="00B521A8">
          <w:rPr>
            <w:noProof/>
            <w:webHidden/>
          </w:rPr>
          <w:t>133</w:t>
        </w:r>
        <w:r w:rsidR="006174A9">
          <w:rPr>
            <w:noProof/>
            <w:webHidden/>
          </w:rPr>
          <w:fldChar w:fldCharType="end"/>
        </w:r>
      </w:hyperlink>
    </w:p>
    <w:p w:rsidR="00B521A8" w:rsidRPr="00E6438D" w:rsidRDefault="006C74EB">
      <w:pPr>
        <w:pStyle w:val="TOC1"/>
        <w:rPr>
          <w:rFonts w:ascii="Calibri" w:hAnsi="Calibri"/>
          <w:b/>
          <w:noProof/>
          <w:sz w:val="22"/>
          <w:szCs w:val="22"/>
        </w:rPr>
      </w:pPr>
      <w:hyperlink w:anchor="_Toc419199678" w:history="1">
        <w:r w:rsidR="00B521A8" w:rsidRPr="00927081">
          <w:rPr>
            <w:rStyle w:val="Hyperlink"/>
            <w:rFonts w:eastAsia="Calibri"/>
            <w:b/>
            <w:noProof/>
            <w:kern w:val="28"/>
            <w:lang w:eastAsia="uk-UA" w:bidi="uk-UA"/>
          </w:rPr>
          <w:t>11.</w:t>
        </w:r>
        <w:r w:rsidR="00B521A8" w:rsidRPr="00927081">
          <w:rPr>
            <w:rStyle w:val="Hyperlink"/>
            <w:rFonts w:eastAsia="Calibri"/>
            <w:b/>
            <w:noProof/>
            <w:kern w:val="28"/>
            <w:lang w:val="uk-UA" w:eastAsia="uk-UA" w:bidi="uk-UA"/>
          </w:rPr>
          <w:t xml:space="preserve"> НЕТЕХНІЧНИЙ КОРОТКИЙ ВИКЛАД</w:t>
        </w:r>
        <w:r w:rsidR="00B521A8" w:rsidRPr="00927081">
          <w:rPr>
            <w:b/>
            <w:noProof/>
            <w:webHidden/>
          </w:rPr>
          <w:tab/>
        </w:r>
        <w:r w:rsidR="006174A9" w:rsidRPr="00927081">
          <w:rPr>
            <w:b/>
            <w:noProof/>
            <w:webHidden/>
          </w:rPr>
          <w:fldChar w:fldCharType="begin"/>
        </w:r>
        <w:r w:rsidR="00B521A8" w:rsidRPr="00927081">
          <w:rPr>
            <w:b/>
            <w:noProof/>
            <w:webHidden/>
          </w:rPr>
          <w:instrText xml:space="preserve"> PAGEREF _Toc419199678 \h </w:instrText>
        </w:r>
        <w:r w:rsidR="006174A9" w:rsidRPr="00927081">
          <w:rPr>
            <w:b/>
            <w:noProof/>
            <w:webHidden/>
          </w:rPr>
        </w:r>
        <w:r w:rsidR="006174A9" w:rsidRPr="00927081">
          <w:rPr>
            <w:b/>
            <w:noProof/>
            <w:webHidden/>
          </w:rPr>
          <w:fldChar w:fldCharType="separate"/>
        </w:r>
        <w:r w:rsidR="00B521A8" w:rsidRPr="00927081">
          <w:rPr>
            <w:b/>
            <w:noProof/>
            <w:webHidden/>
          </w:rPr>
          <w:t>142</w:t>
        </w:r>
        <w:r w:rsidR="006174A9" w:rsidRPr="00927081">
          <w:rPr>
            <w:b/>
            <w:noProof/>
            <w:webHidden/>
          </w:rPr>
          <w:fldChar w:fldCharType="end"/>
        </w:r>
      </w:hyperlink>
    </w:p>
    <w:p w:rsidR="00642FB4" w:rsidRDefault="006174A9">
      <w:pPr>
        <w:jc w:val="both"/>
      </w:pPr>
      <w:r>
        <w:fldChar w:fldCharType="end"/>
      </w:r>
      <w:r w:rsidR="00642FB4">
        <w:rPr>
          <w:rFonts w:cs="Arial"/>
          <w:snapToGrid w:val="0"/>
        </w:rPr>
        <w:tab/>
      </w:r>
    </w:p>
    <w:p w:rsidR="00642FB4" w:rsidRDefault="00642FB4">
      <w:pPr>
        <w:jc w:val="both"/>
        <w:rPr>
          <w:snapToGrid w:val="0"/>
          <w:position w:val="-6"/>
        </w:rPr>
      </w:pPr>
    </w:p>
    <w:p w:rsidR="00642FB4" w:rsidRDefault="00642FB4">
      <w:pPr>
        <w:tabs>
          <w:tab w:val="right" w:pos="9639"/>
          <w:tab w:val="right" w:pos="9781"/>
          <w:tab w:val="left" w:pos="10206"/>
          <w:tab w:val="right" w:pos="10376"/>
        </w:tabs>
        <w:jc w:val="both"/>
        <w:rPr>
          <w:b/>
          <w:lang w:val="uk-UA"/>
        </w:rPr>
      </w:pPr>
      <w:r>
        <w:rPr>
          <w:b/>
          <w:lang w:val="uk-UA"/>
        </w:rPr>
        <w:t>АБРЕВІАТУРИ</w:t>
      </w:r>
    </w:p>
    <w:p w:rsidR="00642FB4" w:rsidRDefault="00642FB4">
      <w:pPr>
        <w:tabs>
          <w:tab w:val="right" w:pos="9639"/>
          <w:tab w:val="right" w:pos="9781"/>
          <w:tab w:val="left" w:pos="10206"/>
          <w:tab w:val="right" w:pos="10376"/>
        </w:tabs>
        <w:jc w:val="both"/>
        <w:rPr>
          <w:rFonts w:cs="Arial"/>
          <w:snapToGrid w:val="0"/>
          <w:lang w:val="uk-UA"/>
        </w:rPr>
      </w:pPr>
    </w:p>
    <w:tbl>
      <w:tblPr>
        <w:tblW w:w="10514" w:type="dxa"/>
        <w:tblLook w:val="04A0" w:firstRow="1" w:lastRow="0" w:firstColumn="1" w:lastColumn="0" w:noHBand="0" w:noVBand="1"/>
      </w:tblPr>
      <w:tblGrid>
        <w:gridCol w:w="1404"/>
        <w:gridCol w:w="9110"/>
      </w:tblGrid>
      <w:tr w:rsidR="00642FB4">
        <w:trPr>
          <w:trHeight w:val="314"/>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МРРДУ</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Міністерство регіонального розвитку та державного управління</w:t>
            </w:r>
          </w:p>
        </w:tc>
      </w:tr>
      <w:tr w:rsidR="00642FB4">
        <w:trPr>
          <w:trHeight w:val="300"/>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МНСВЛС</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Міністерство навколишнього середовища, водних і лісових ресурсів</w:t>
            </w:r>
          </w:p>
        </w:tc>
      </w:tr>
      <w:tr w:rsidR="00642FB4">
        <w:trPr>
          <w:trHeight w:val="300"/>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МЄФ</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Міністерство європейських фондів</w:t>
            </w:r>
          </w:p>
        </w:tc>
      </w:tr>
      <w:tr w:rsidR="00642FB4">
        <w:trPr>
          <w:trHeight w:val="314"/>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МЗС</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Міністерство закордонних справ</w:t>
            </w:r>
          </w:p>
        </w:tc>
      </w:tr>
      <w:tr w:rsidR="00642FB4">
        <w:trPr>
          <w:trHeight w:val="300"/>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ЄК</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Європейська Комісія</w:t>
            </w:r>
          </w:p>
        </w:tc>
      </w:tr>
      <w:tr w:rsidR="00642FB4">
        <w:trPr>
          <w:trHeight w:val="300"/>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ЄС</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lang w:val="uk-UA"/>
              </w:rPr>
              <w:t>Європейський Союз</w:t>
            </w:r>
          </w:p>
        </w:tc>
      </w:tr>
      <w:tr w:rsidR="00642FB4">
        <w:trPr>
          <w:trHeight w:val="314"/>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 xml:space="preserve">КЄС </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lang w:val="uk-UA"/>
              </w:rPr>
              <w:t>Країна-член ЄС</w:t>
            </w:r>
          </w:p>
        </w:tc>
      </w:tr>
      <w:tr w:rsidR="00642FB4">
        <w:trPr>
          <w:trHeight w:val="300"/>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ЄІС</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lang w:val="uk-UA"/>
              </w:rPr>
              <w:t xml:space="preserve">Європейський Інструмент Сусідства </w:t>
            </w:r>
            <w:r>
              <w:rPr>
                <w:rFonts w:cs="Arial"/>
                <w:snapToGrid w:val="0"/>
                <w:lang w:val="uk-UA"/>
              </w:rPr>
              <w:t xml:space="preserve"> </w:t>
            </w:r>
          </w:p>
        </w:tc>
      </w:tr>
      <w:tr w:rsidR="00642FB4">
        <w:trPr>
          <w:trHeight w:val="614"/>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ЄІСП</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Європейський Інструмент Сусідства та Партнерства</w:t>
            </w:r>
          </w:p>
        </w:tc>
      </w:tr>
      <w:tr w:rsidR="00642FB4">
        <w:trPr>
          <w:trHeight w:val="300"/>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ТКС</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lang w:val="uk-UA"/>
              </w:rPr>
              <w:t xml:space="preserve">Транскордонне співробітництво </w:t>
            </w:r>
          </w:p>
        </w:tc>
      </w:tr>
      <w:tr w:rsidR="00642FB4">
        <w:trPr>
          <w:trHeight w:val="300"/>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СПК</w:t>
            </w:r>
          </w:p>
          <w:p w:rsidR="00642FB4" w:rsidRDefault="00642FB4">
            <w:pPr>
              <w:rPr>
                <w:rFonts w:cs="Arial"/>
                <w:lang w:val="uk-UA"/>
              </w:rPr>
            </w:pPr>
            <w:r>
              <w:rPr>
                <w:rFonts w:cs="Arial"/>
                <w:lang w:val="uk-UA"/>
              </w:rPr>
              <w:t>КОП</w:t>
            </w:r>
          </w:p>
        </w:tc>
        <w:tc>
          <w:tcPr>
            <w:tcW w:w="9110" w:type="dxa"/>
            <w:shd w:val="clear" w:color="auto" w:fill="auto"/>
          </w:tcPr>
          <w:p w:rsidR="00642FB4" w:rsidRDefault="00642FB4">
            <w:pPr>
              <w:tabs>
                <w:tab w:val="right" w:pos="9639"/>
                <w:tab w:val="right" w:pos="9781"/>
                <w:tab w:val="left" w:pos="10206"/>
                <w:tab w:val="right" w:pos="10376"/>
              </w:tabs>
              <w:jc w:val="both"/>
              <w:rPr>
                <w:rFonts w:cs="Arial"/>
                <w:color w:val="464646"/>
                <w:shd w:val="clear" w:color="auto" w:fill="F9FAFA"/>
                <w:lang w:val="uk-UA"/>
              </w:rPr>
            </w:pPr>
            <w:r>
              <w:rPr>
                <w:rFonts w:cs="Arial"/>
                <w:snapToGrid w:val="0"/>
                <w:lang w:val="uk-UA"/>
              </w:rPr>
              <w:t>Спільний Програмний Комітет</w:t>
            </w:r>
          </w:p>
          <w:p w:rsidR="00642FB4" w:rsidRDefault="00642FB4">
            <w:pPr>
              <w:tabs>
                <w:tab w:val="right" w:pos="9639"/>
                <w:tab w:val="right" w:pos="9781"/>
                <w:tab w:val="left" w:pos="10206"/>
                <w:tab w:val="right" w:pos="10376"/>
              </w:tabs>
              <w:jc w:val="both"/>
              <w:rPr>
                <w:rFonts w:cs="Arial"/>
                <w:color w:val="464646"/>
                <w:shd w:val="clear" w:color="auto" w:fill="F9FAFA"/>
                <w:lang w:val="uk-UA"/>
              </w:rPr>
            </w:pPr>
            <w:r>
              <w:rPr>
                <w:rFonts w:cs="Arial"/>
                <w:snapToGrid w:val="0"/>
                <w:lang w:val="ru-RU"/>
              </w:rPr>
              <w:t>К</w:t>
            </w:r>
            <w:r>
              <w:rPr>
                <w:rFonts w:cs="Arial"/>
                <w:snapToGrid w:val="0"/>
                <w:lang w:val="uk-UA"/>
              </w:rPr>
              <w:t>ерівний орган Програми</w:t>
            </w:r>
          </w:p>
        </w:tc>
      </w:tr>
      <w:tr w:rsidR="00642FB4">
        <w:trPr>
          <w:trHeight w:val="314"/>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МСП</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lang w:val="uk-UA"/>
              </w:rPr>
              <w:t>Малі та середні підприємства</w:t>
            </w:r>
          </w:p>
        </w:tc>
      </w:tr>
      <w:tr w:rsidR="00642FB4">
        <w:trPr>
          <w:trHeight w:val="300"/>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УП</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Угода про партнерство з ЄС</w:t>
            </w:r>
          </w:p>
        </w:tc>
      </w:tr>
      <w:tr w:rsidR="00642FB4">
        <w:trPr>
          <w:trHeight w:val="300"/>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НПР</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 xml:space="preserve">Національна програма реформування </w:t>
            </w:r>
          </w:p>
        </w:tc>
      </w:tr>
      <w:tr w:rsidR="00642FB4">
        <w:trPr>
          <w:trHeight w:val="314"/>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ТЦ</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Тематичні цілі</w:t>
            </w:r>
          </w:p>
        </w:tc>
      </w:tr>
      <w:tr w:rsidR="00642FB4">
        <w:trPr>
          <w:trHeight w:val="300"/>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SWOT</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 xml:space="preserve">Соціально-економічний аналіз </w:t>
            </w:r>
          </w:p>
        </w:tc>
      </w:tr>
      <w:tr w:rsidR="00642FB4">
        <w:trPr>
          <w:trHeight w:val="300"/>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Ро</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Румунія</w:t>
            </w:r>
          </w:p>
        </w:tc>
      </w:tr>
      <w:tr w:rsidR="00642FB4">
        <w:trPr>
          <w:trHeight w:val="314"/>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Мд</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Республіка Молдова</w:t>
            </w:r>
          </w:p>
        </w:tc>
      </w:tr>
      <w:tr w:rsidR="00642FB4">
        <w:trPr>
          <w:trHeight w:val="300"/>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Уа</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Україна</w:t>
            </w:r>
          </w:p>
        </w:tc>
      </w:tr>
      <w:tr w:rsidR="00642FB4">
        <w:trPr>
          <w:trHeight w:val="300"/>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РГ</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Робоча Група</w:t>
            </w:r>
          </w:p>
        </w:tc>
      </w:tr>
      <w:tr w:rsidR="00642FB4">
        <w:trPr>
          <w:trHeight w:val="314"/>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ВІП</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Великі інфраструктурні проекти</w:t>
            </w:r>
          </w:p>
        </w:tc>
      </w:tr>
      <w:tr w:rsidR="00642FB4">
        <w:trPr>
          <w:trHeight w:val="300"/>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ВВП</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Валовий Внутрішній Продукт</w:t>
            </w:r>
          </w:p>
        </w:tc>
      </w:tr>
      <w:tr w:rsidR="00642FB4">
        <w:trPr>
          <w:trHeight w:val="300"/>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НСЗК</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 xml:space="preserve">Національна стратегія щодо змін клімату в 2013 році ÷ 2020 </w:t>
            </w:r>
          </w:p>
        </w:tc>
      </w:tr>
      <w:tr w:rsidR="00642FB4">
        <w:trPr>
          <w:trHeight w:val="300"/>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НСУРП</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 xml:space="preserve">Національна стратегія з управління ризиками повеней на середньострокову і довгострокову перспективу (період 2010 ÷ 2035) </w:t>
            </w:r>
          </w:p>
        </w:tc>
      </w:tr>
      <w:tr w:rsidR="00642FB4">
        <w:trPr>
          <w:trHeight w:val="300"/>
        </w:trPr>
        <w:tc>
          <w:tcPr>
            <w:tcW w:w="1404"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ППЗЗНП</w:t>
            </w:r>
          </w:p>
        </w:tc>
        <w:tc>
          <w:tcPr>
            <w:tcW w:w="9110" w:type="dxa"/>
            <w:shd w:val="clear" w:color="auto" w:fill="auto"/>
          </w:tcPr>
          <w:p w:rsidR="00642FB4" w:rsidRDefault="00642FB4">
            <w:pPr>
              <w:tabs>
                <w:tab w:val="right" w:pos="9639"/>
                <w:tab w:val="right" w:pos="9781"/>
                <w:tab w:val="left" w:pos="10206"/>
                <w:tab w:val="right" w:pos="10376"/>
              </w:tabs>
              <w:jc w:val="both"/>
              <w:rPr>
                <w:rFonts w:cs="Arial"/>
                <w:snapToGrid w:val="0"/>
                <w:lang w:val="uk-UA"/>
              </w:rPr>
            </w:pPr>
            <w:r>
              <w:rPr>
                <w:rFonts w:cs="Arial"/>
                <w:snapToGrid w:val="0"/>
                <w:lang w:val="uk-UA"/>
              </w:rPr>
              <w:t xml:space="preserve">Плани щодо попередження, захисту та зменшення наслідків повеней </w:t>
            </w:r>
          </w:p>
        </w:tc>
      </w:tr>
    </w:tbl>
    <w:p w:rsidR="00642FB4" w:rsidRDefault="00642FB4">
      <w:pPr>
        <w:jc w:val="both"/>
        <w:rPr>
          <w:snapToGrid w:val="0"/>
          <w:position w:val="-6"/>
          <w:lang w:val="uk-UA"/>
        </w:rPr>
      </w:pPr>
    </w:p>
    <w:p w:rsidR="00642FB4" w:rsidRDefault="00642FB4">
      <w:pPr>
        <w:jc w:val="both"/>
        <w:rPr>
          <w:snapToGrid w:val="0"/>
          <w:position w:val="-6"/>
          <w:lang w:val="uk-UA"/>
        </w:rPr>
      </w:pPr>
    </w:p>
    <w:p w:rsidR="00642FB4" w:rsidRDefault="00642FB4">
      <w:pPr>
        <w:jc w:val="both"/>
        <w:rPr>
          <w:snapToGrid w:val="0"/>
          <w:position w:val="-6"/>
          <w:lang w:val="uk-UA"/>
        </w:rPr>
      </w:pPr>
    </w:p>
    <w:p w:rsidR="00642FB4" w:rsidRDefault="00642FB4">
      <w:pPr>
        <w:jc w:val="both"/>
        <w:rPr>
          <w:snapToGrid w:val="0"/>
          <w:position w:val="-6"/>
          <w:lang w:val="uk-UA"/>
        </w:rPr>
      </w:pPr>
    </w:p>
    <w:p w:rsidR="00642FB4" w:rsidRDefault="00642FB4">
      <w:pPr>
        <w:jc w:val="both"/>
        <w:rPr>
          <w:snapToGrid w:val="0"/>
          <w:position w:val="-6"/>
          <w:lang w:val="uk-UA"/>
        </w:rPr>
      </w:pPr>
    </w:p>
    <w:p w:rsidR="00642FB4" w:rsidRDefault="00642FB4">
      <w:pPr>
        <w:jc w:val="both"/>
        <w:rPr>
          <w:snapToGrid w:val="0"/>
          <w:position w:val="-6"/>
          <w:lang w:val="uk-UA"/>
        </w:rPr>
      </w:pPr>
    </w:p>
    <w:p w:rsidR="00642FB4" w:rsidRDefault="00642FB4">
      <w:pPr>
        <w:jc w:val="both"/>
        <w:rPr>
          <w:snapToGrid w:val="0"/>
          <w:position w:val="-6"/>
          <w:lang w:val="uk-UA"/>
        </w:rPr>
      </w:pPr>
    </w:p>
    <w:p w:rsidR="00642FB4" w:rsidRDefault="00642FB4">
      <w:pPr>
        <w:jc w:val="both"/>
        <w:rPr>
          <w:snapToGrid w:val="0"/>
          <w:position w:val="-6"/>
          <w:lang w:val="uk-UA"/>
        </w:rPr>
      </w:pPr>
    </w:p>
    <w:p w:rsidR="00642FB4" w:rsidRDefault="00642FB4">
      <w:pPr>
        <w:jc w:val="both"/>
        <w:rPr>
          <w:snapToGrid w:val="0"/>
          <w:position w:val="-6"/>
          <w:lang w:val="uk-UA"/>
        </w:rPr>
      </w:pPr>
    </w:p>
    <w:p w:rsidR="00642FB4" w:rsidRDefault="00B521A8">
      <w:pPr>
        <w:pStyle w:val="Title"/>
        <w:numPr>
          <w:ilvl w:val="0"/>
          <w:numId w:val="5"/>
        </w:numPr>
        <w:tabs>
          <w:tab w:val="left" w:pos="900"/>
        </w:tabs>
        <w:ind w:left="900" w:hanging="270"/>
        <w:jc w:val="both"/>
        <w:rPr>
          <w:rFonts w:ascii="Arial" w:hAnsi="Arial" w:cs="Arial"/>
          <w:sz w:val="24"/>
          <w:szCs w:val="24"/>
          <w:lang w:val="uk-UA"/>
        </w:rPr>
      </w:pPr>
      <w:bookmarkStart w:id="0" w:name="_Toc419199653"/>
      <w:bookmarkStart w:id="1" w:name="_Toc412114132"/>
      <w:r>
        <w:rPr>
          <w:rFonts w:ascii="Arial" w:hAnsi="Arial" w:cs="Arial"/>
          <w:sz w:val="24"/>
          <w:szCs w:val="24"/>
          <w:lang w:val="uk-UA"/>
        </w:rPr>
        <w:t>ВСТУП</w:t>
      </w:r>
      <w:bookmarkEnd w:id="0"/>
    </w:p>
    <w:p w:rsidR="00642FB4" w:rsidRDefault="00642FB4">
      <w:pPr>
        <w:jc w:val="both"/>
        <w:rPr>
          <w:lang w:val="uk-UA"/>
        </w:rPr>
      </w:pPr>
    </w:p>
    <w:p w:rsidR="00642FB4" w:rsidRDefault="00642FB4">
      <w:pPr>
        <w:spacing w:before="60" w:after="60" w:line="288" w:lineRule="auto"/>
        <w:ind w:firstLine="630"/>
        <w:jc w:val="both"/>
        <w:rPr>
          <w:lang w:val="uk-UA"/>
        </w:rPr>
      </w:pPr>
      <w:r>
        <w:rPr>
          <w:lang w:val="uk-UA"/>
        </w:rPr>
        <w:t>Стратегічна оцінка середовища проводиться на основі вимог Директиви (Директива Ради Європейського Союзу 2001/42/ЄC з оцінки впливу певних планів і програм на навколишнє середовище).</w:t>
      </w:r>
    </w:p>
    <w:p w:rsidR="00642FB4" w:rsidRDefault="00642FB4">
      <w:pPr>
        <w:spacing w:before="60" w:after="60" w:line="288" w:lineRule="auto"/>
        <w:ind w:firstLine="630"/>
        <w:jc w:val="both"/>
        <w:rPr>
          <w:lang w:val="uk-UA"/>
        </w:rPr>
      </w:pPr>
      <w:r>
        <w:rPr>
          <w:lang w:val="uk-UA"/>
        </w:rPr>
        <w:t xml:space="preserve">Основні елементи, за якими рекомендується слідкувати  в таких екологічних оцінках за законодавством </w:t>
      </w:r>
      <w:r>
        <w:rPr>
          <w:rFonts w:cs="Arial"/>
          <w:lang w:val="uk-UA"/>
        </w:rPr>
        <w:t xml:space="preserve">або </w:t>
      </w:r>
      <w:r>
        <w:rPr>
          <w:rFonts w:cs="Arial"/>
          <w:shd w:val="clear" w:color="auto" w:fill="FFFFFF"/>
          <w:lang w:val="uk-UA"/>
        </w:rPr>
        <w:t>керівництвом для заявників є</w:t>
      </w:r>
      <w:r>
        <w:rPr>
          <w:lang w:val="uk-UA"/>
        </w:rPr>
        <w:t xml:space="preserve"> наступними</w:t>
      </w:r>
      <w:r>
        <w:rPr>
          <w:rFonts w:cs="Arial"/>
          <w:lang w:val="uk-UA"/>
        </w:rPr>
        <w:t>:</w:t>
      </w:r>
    </w:p>
    <w:p w:rsidR="00642FB4" w:rsidRDefault="00642FB4">
      <w:pPr>
        <w:numPr>
          <w:ilvl w:val="0"/>
          <w:numId w:val="28"/>
        </w:numPr>
        <w:tabs>
          <w:tab w:val="left" w:pos="990"/>
        </w:tabs>
        <w:spacing w:before="60" w:after="60" w:line="288" w:lineRule="auto"/>
        <w:jc w:val="both"/>
        <w:rPr>
          <w:lang w:val="uk-UA"/>
        </w:rPr>
      </w:pPr>
      <w:r>
        <w:rPr>
          <w:lang w:val="uk-UA"/>
        </w:rPr>
        <w:t>опис ключових аспектів щодо  навколишнього середовища, які повинні будуть обговорені;</w:t>
      </w:r>
    </w:p>
    <w:p w:rsidR="00642FB4" w:rsidRDefault="00642FB4">
      <w:pPr>
        <w:numPr>
          <w:ilvl w:val="0"/>
          <w:numId w:val="28"/>
        </w:numPr>
        <w:tabs>
          <w:tab w:val="left" w:pos="990"/>
        </w:tabs>
        <w:spacing w:before="60" w:after="60" w:line="288" w:lineRule="auto"/>
        <w:jc w:val="both"/>
        <w:rPr>
          <w:lang w:val="uk-UA"/>
        </w:rPr>
      </w:pPr>
      <w:r>
        <w:rPr>
          <w:lang w:val="uk-UA"/>
        </w:rPr>
        <w:t>опис завдань в галузі навколишнього середовища, який повинні будуть представлені для розробки аналізу СЕО;</w:t>
      </w:r>
    </w:p>
    <w:p w:rsidR="00642FB4" w:rsidRDefault="00642FB4">
      <w:pPr>
        <w:numPr>
          <w:ilvl w:val="0"/>
          <w:numId w:val="28"/>
        </w:numPr>
        <w:tabs>
          <w:tab w:val="left" w:pos="990"/>
        </w:tabs>
        <w:spacing w:before="60" w:after="60" w:line="288" w:lineRule="auto"/>
        <w:jc w:val="both"/>
        <w:rPr>
          <w:lang w:val="uk-UA"/>
        </w:rPr>
      </w:pPr>
      <w:r>
        <w:rPr>
          <w:lang w:val="uk-UA"/>
        </w:rPr>
        <w:t>способи визначення впливу здійснення плану / програми на навколишнє середовище;</w:t>
      </w:r>
    </w:p>
    <w:p w:rsidR="00642FB4" w:rsidRDefault="00642FB4">
      <w:pPr>
        <w:numPr>
          <w:ilvl w:val="0"/>
          <w:numId w:val="28"/>
        </w:numPr>
        <w:tabs>
          <w:tab w:val="left" w:pos="990"/>
        </w:tabs>
        <w:spacing w:before="60" w:after="60" w:line="288" w:lineRule="auto"/>
        <w:jc w:val="both"/>
        <w:rPr>
          <w:lang w:val="uk-UA"/>
        </w:rPr>
      </w:pPr>
      <w:r>
        <w:rPr>
          <w:lang w:val="uk-UA"/>
        </w:rPr>
        <w:t>оцінка потужності для вирішення викликів, ризиків та їх запобігання</w:t>
      </w:r>
    </w:p>
    <w:p w:rsidR="00642FB4" w:rsidRDefault="00642FB4">
      <w:pPr>
        <w:spacing w:before="60" w:after="60" w:line="288" w:lineRule="auto"/>
        <w:ind w:firstLine="630"/>
        <w:jc w:val="both"/>
        <w:rPr>
          <w:lang w:val="uk-UA"/>
        </w:rPr>
      </w:pPr>
      <w:r>
        <w:rPr>
          <w:lang w:val="uk-UA"/>
        </w:rPr>
        <w:t>Методологія, яка використовується для стратегічної екологічної оцінки включає вимоги згаданого вище документу та методичні рекомендації з:</w:t>
      </w:r>
    </w:p>
    <w:p w:rsidR="00642FB4" w:rsidRDefault="00642FB4">
      <w:pPr>
        <w:tabs>
          <w:tab w:val="left" w:pos="990"/>
        </w:tabs>
        <w:spacing w:before="60" w:after="60" w:line="288" w:lineRule="auto"/>
        <w:ind w:firstLine="709"/>
        <w:jc w:val="both"/>
        <w:rPr>
          <w:b/>
          <w:lang w:val="uk-UA"/>
        </w:rPr>
      </w:pPr>
      <w:r>
        <w:rPr>
          <w:b/>
          <w:i/>
          <w:lang w:val="uk-UA"/>
        </w:rPr>
        <w:t xml:space="preserve">„Інструкції зі стратегічної оцінки середовища в контексті </w:t>
      </w:r>
      <w:r>
        <w:rPr>
          <w:rFonts w:cs="Arial"/>
          <w:b/>
          <w:i/>
          <w:snapToGrid w:val="0"/>
          <w:lang w:val="uk-UA"/>
        </w:rPr>
        <w:t>ЄІС</w:t>
      </w:r>
      <w:r>
        <w:rPr>
          <w:b/>
          <w:i/>
          <w:lang w:val="uk-UA"/>
        </w:rPr>
        <w:t xml:space="preserve"> ТКС  (“Guidance note on  Strategic Assessement in the context of ENI CBC”)</w:t>
      </w:r>
      <w:r>
        <w:rPr>
          <w:b/>
          <w:lang w:val="uk-UA"/>
        </w:rPr>
        <w:t>, підготовлені INTERACT ЄІСП для конкретної ситуації Спільних Операційних Програм, затверджені Генеральним директоратом для розвитку та співробітництва Europe Aid (DG DEVCO) та Генеральним директоратом з питань довкілля (DG ENV).</w:t>
      </w:r>
    </w:p>
    <w:p w:rsidR="00642FB4" w:rsidRDefault="00642FB4">
      <w:pPr>
        <w:spacing w:before="60" w:after="60" w:line="288" w:lineRule="auto"/>
        <w:ind w:firstLine="630"/>
        <w:jc w:val="both"/>
        <w:rPr>
          <w:b/>
          <w:lang w:val="uk-UA"/>
        </w:rPr>
      </w:pPr>
      <w:r>
        <w:rPr>
          <w:lang w:val="uk-UA"/>
        </w:rPr>
        <w:t xml:space="preserve">Беручи до уваги, в якій мірі </w:t>
      </w:r>
      <w:r>
        <w:rPr>
          <w:i/>
          <w:lang w:val="uk-UA"/>
        </w:rPr>
        <w:t>Програма ТКС Ро-Уа 2014 ÷ 2020</w:t>
      </w:r>
      <w:r>
        <w:rPr>
          <w:b/>
          <w:lang w:val="uk-UA"/>
        </w:rPr>
        <w:t xml:space="preserve"> </w:t>
      </w:r>
      <w:r>
        <w:rPr>
          <w:lang w:val="uk-UA"/>
        </w:rPr>
        <w:t xml:space="preserve">забезпечує основу для майбутніх проектів та інших заходів, розробка першого варіанту Програми потребує надсилання повідомлення в компетентний орган для оцінки впливу на навколишнє середовище. У цій процедурі необхідно </w:t>
      </w:r>
      <w:r>
        <w:rPr>
          <w:b/>
          <w:lang w:val="uk-UA"/>
        </w:rPr>
        <w:t>завершити Програму паралельно зі складанням звіту щодо навколишнього середовища.</w:t>
      </w:r>
    </w:p>
    <w:p w:rsidR="00642FB4" w:rsidRDefault="00642FB4">
      <w:pPr>
        <w:spacing w:before="60" w:after="60" w:line="288" w:lineRule="auto"/>
        <w:ind w:firstLine="630"/>
        <w:jc w:val="both"/>
        <w:rPr>
          <w:lang w:val="uk-UA"/>
        </w:rPr>
      </w:pPr>
      <w:r>
        <w:rPr>
          <w:b/>
          <w:lang w:val="uk-UA"/>
        </w:rPr>
        <w:t xml:space="preserve">Стратегічна екологічна оцінка </w:t>
      </w:r>
      <w:r>
        <w:rPr>
          <w:lang w:val="uk-UA"/>
        </w:rPr>
        <w:t xml:space="preserve">є частиною документації </w:t>
      </w:r>
      <w:r>
        <w:rPr>
          <w:b/>
          <w:lang w:val="uk-UA"/>
        </w:rPr>
        <w:t>Програми</w:t>
      </w:r>
      <w:r>
        <w:rPr>
          <w:lang w:val="uk-UA"/>
        </w:rPr>
        <w:t xml:space="preserve">, яка ідентифікує, описує та оцінює можливі значні впливи на навколишнє середовище у разі її імплементації і раціональні альтернативи, беручи до уваги мети і відповідний географічний регіон. </w:t>
      </w:r>
      <w:r>
        <w:rPr>
          <w:b/>
          <w:lang w:val="uk-UA"/>
        </w:rPr>
        <w:t xml:space="preserve">Стратегічна екологічна оцінка </w:t>
      </w:r>
      <w:r>
        <w:rPr>
          <w:lang w:val="uk-UA"/>
        </w:rPr>
        <w:t>заснована на варіанті Програми, яка є доступною  з квітня 2015 р.</w:t>
      </w:r>
    </w:p>
    <w:p w:rsidR="00642FB4" w:rsidRDefault="00642FB4">
      <w:pPr>
        <w:spacing w:before="60" w:after="60" w:line="288" w:lineRule="auto"/>
        <w:ind w:firstLine="630"/>
        <w:jc w:val="both"/>
        <w:rPr>
          <w:lang w:val="uk-UA"/>
        </w:rPr>
      </w:pPr>
      <w:r>
        <w:rPr>
          <w:lang w:val="uk-UA"/>
        </w:rPr>
        <w:t>Здійснення процедури стратегічної екологічної оцінки</w:t>
      </w:r>
      <w:r>
        <w:rPr>
          <w:b/>
          <w:lang w:val="uk-UA"/>
        </w:rPr>
        <w:t xml:space="preserve"> </w:t>
      </w:r>
      <w:r>
        <w:rPr>
          <w:lang w:val="uk-UA"/>
        </w:rPr>
        <w:t xml:space="preserve">є обов'язковою. Для затвердження </w:t>
      </w:r>
      <w:r>
        <w:rPr>
          <w:i/>
          <w:lang w:val="uk-UA"/>
        </w:rPr>
        <w:t>Програми прикордонного співробітництва "Румунія-Україна"</w:t>
      </w:r>
      <w:r>
        <w:rPr>
          <w:lang w:val="uk-UA"/>
        </w:rPr>
        <w:t xml:space="preserve">  2014 році ÷ 2020. Європейська Комісія вимагає </w:t>
      </w:r>
      <w:r>
        <w:rPr>
          <w:b/>
          <w:lang w:val="uk-UA"/>
        </w:rPr>
        <w:t>точку зору</w:t>
      </w:r>
      <w:r>
        <w:rPr>
          <w:lang w:val="uk-UA"/>
        </w:rPr>
        <w:t xml:space="preserve"> природоохоронного органу щодо стану стратегічної оцінки</w:t>
      </w:r>
      <w:r>
        <w:rPr>
          <w:b/>
          <w:lang w:val="uk-UA"/>
        </w:rPr>
        <w:t xml:space="preserve"> </w:t>
      </w:r>
      <w:r>
        <w:rPr>
          <w:lang w:val="uk-UA"/>
        </w:rPr>
        <w:t>середовища, згідно з чинним законодавством.</w:t>
      </w:r>
    </w:p>
    <w:p w:rsidR="00642FB4" w:rsidRDefault="00642FB4">
      <w:pPr>
        <w:spacing w:before="60" w:after="60" w:line="288" w:lineRule="auto"/>
        <w:ind w:firstLine="630"/>
        <w:jc w:val="both"/>
        <w:rPr>
          <w:lang w:val="uk-UA"/>
        </w:rPr>
      </w:pPr>
      <w:r>
        <w:rPr>
          <w:lang w:val="uk-UA"/>
        </w:rPr>
        <w:t>Відповідно до Директиви SEA (2001/42 / EC), стратегічна екологічна оцінка</w:t>
      </w:r>
      <w:r>
        <w:rPr>
          <w:b/>
          <w:lang w:val="uk-UA"/>
        </w:rPr>
        <w:t xml:space="preserve"> </w:t>
      </w:r>
      <w:r>
        <w:rPr>
          <w:lang w:val="uk-UA"/>
        </w:rPr>
        <w:t>включає наступні етапи:</w:t>
      </w:r>
    </w:p>
    <w:p w:rsidR="00642FB4" w:rsidRDefault="00642FB4">
      <w:pPr>
        <w:numPr>
          <w:ilvl w:val="0"/>
          <w:numId w:val="28"/>
        </w:numPr>
        <w:tabs>
          <w:tab w:val="left" w:pos="990"/>
        </w:tabs>
        <w:spacing w:before="60" w:after="60" w:line="288" w:lineRule="auto"/>
        <w:jc w:val="both"/>
        <w:rPr>
          <w:lang w:val="uk-UA"/>
        </w:rPr>
      </w:pPr>
      <w:r>
        <w:rPr>
          <w:lang w:val="uk-UA"/>
        </w:rPr>
        <w:t>Встановлює природоохоронні органи у всіх зацікавлених країнах (Румунія і Україна);</w:t>
      </w:r>
    </w:p>
    <w:p w:rsidR="00642FB4" w:rsidRDefault="00642FB4">
      <w:pPr>
        <w:numPr>
          <w:ilvl w:val="0"/>
          <w:numId w:val="28"/>
        </w:numPr>
        <w:tabs>
          <w:tab w:val="left" w:pos="990"/>
        </w:tabs>
        <w:spacing w:before="60" w:after="60" w:line="288" w:lineRule="auto"/>
        <w:jc w:val="both"/>
        <w:rPr>
          <w:lang w:val="uk-UA"/>
        </w:rPr>
      </w:pPr>
      <w:r>
        <w:rPr>
          <w:lang w:val="uk-UA"/>
        </w:rPr>
        <w:t xml:space="preserve">Приймає рішення про необхідність проведення СЕО. Якщо припускає, що потрібно провести СЕО, здійснюються наступні кроки </w:t>
      </w:r>
    </w:p>
    <w:p w:rsidR="00642FB4" w:rsidRDefault="00642FB4">
      <w:pPr>
        <w:numPr>
          <w:ilvl w:val="1"/>
          <w:numId w:val="28"/>
        </w:numPr>
        <w:tabs>
          <w:tab w:val="left" w:pos="990"/>
        </w:tabs>
        <w:spacing w:before="60" w:after="60" w:line="288" w:lineRule="auto"/>
        <w:jc w:val="both"/>
        <w:rPr>
          <w:lang w:val="uk-UA"/>
        </w:rPr>
      </w:pPr>
      <w:r>
        <w:rPr>
          <w:lang w:val="uk-UA"/>
        </w:rPr>
        <w:t>Визначається мету СЕО і розробку стратегічної екологічної оцінки;</w:t>
      </w:r>
    </w:p>
    <w:p w:rsidR="00642FB4" w:rsidRDefault="00642FB4">
      <w:pPr>
        <w:numPr>
          <w:ilvl w:val="1"/>
          <w:numId w:val="28"/>
        </w:numPr>
        <w:tabs>
          <w:tab w:val="left" w:pos="990"/>
        </w:tabs>
        <w:spacing w:before="60" w:after="60" w:line="288" w:lineRule="auto"/>
        <w:jc w:val="both"/>
        <w:rPr>
          <w:lang w:val="uk-UA"/>
        </w:rPr>
      </w:pPr>
      <w:r>
        <w:rPr>
          <w:lang w:val="uk-UA"/>
        </w:rPr>
        <w:t>Проводяться консультації з природоохоронними органами та громадськістю;</w:t>
      </w:r>
    </w:p>
    <w:p w:rsidR="00642FB4" w:rsidRDefault="00642FB4">
      <w:pPr>
        <w:numPr>
          <w:ilvl w:val="1"/>
          <w:numId w:val="28"/>
        </w:numPr>
        <w:tabs>
          <w:tab w:val="left" w:pos="990"/>
        </w:tabs>
        <w:spacing w:before="60" w:after="60" w:line="288" w:lineRule="auto"/>
        <w:jc w:val="both"/>
        <w:rPr>
          <w:lang w:val="uk-UA"/>
        </w:rPr>
      </w:pPr>
      <w:r>
        <w:rPr>
          <w:lang w:val="uk-UA"/>
        </w:rPr>
        <w:t xml:space="preserve">Висновки і результати консультацій включаються в стратегічну екологічну оцінку </w:t>
      </w:r>
    </w:p>
    <w:p w:rsidR="00642FB4" w:rsidRDefault="00642FB4">
      <w:pPr>
        <w:numPr>
          <w:ilvl w:val="1"/>
          <w:numId w:val="28"/>
        </w:numPr>
        <w:tabs>
          <w:tab w:val="left" w:pos="990"/>
        </w:tabs>
        <w:spacing w:before="60" w:after="60" w:line="288" w:lineRule="auto"/>
        <w:jc w:val="both"/>
        <w:rPr>
          <w:lang w:val="uk-UA"/>
        </w:rPr>
      </w:pPr>
      <w:r>
        <w:rPr>
          <w:lang w:val="uk-UA"/>
        </w:rPr>
        <w:t>Здійснюється адекватний моніторинг рекомендацій;</w:t>
      </w:r>
    </w:p>
    <w:p w:rsidR="00642FB4" w:rsidRDefault="00642FB4">
      <w:pPr>
        <w:numPr>
          <w:ilvl w:val="1"/>
          <w:numId w:val="28"/>
        </w:numPr>
        <w:tabs>
          <w:tab w:val="left" w:pos="990"/>
        </w:tabs>
        <w:spacing w:before="60" w:after="60" w:line="288" w:lineRule="auto"/>
        <w:jc w:val="both"/>
        <w:rPr>
          <w:lang w:val="uk-UA"/>
        </w:rPr>
      </w:pPr>
      <w:r>
        <w:rPr>
          <w:lang w:val="uk-UA"/>
        </w:rPr>
        <w:t>Інформується влада та громадськість щодо затвердження Програми.</w:t>
      </w:r>
    </w:p>
    <w:p w:rsidR="00642FB4" w:rsidRDefault="00642FB4">
      <w:pPr>
        <w:spacing w:after="200" w:line="276" w:lineRule="auto"/>
        <w:jc w:val="both"/>
        <w:rPr>
          <w:lang w:val="uk-UA"/>
        </w:rPr>
      </w:pPr>
      <w:r>
        <w:rPr>
          <w:b/>
          <w:i/>
          <w:lang w:val="uk-UA"/>
        </w:rPr>
        <w:t>Екологічна оцінка є обов'язковою</w:t>
      </w:r>
      <w:r>
        <w:rPr>
          <w:lang w:val="uk-UA"/>
        </w:rPr>
        <w:t>, якщо Програма включає проекти, які підпадають під Директиву EIA та сектори, охоплені статтею 3.2 (енергетика, промисловість, транспорт, менеджмент відходів, водне господарство, телекомунікації, туризм, містобудування та регіональний розвиток, землекористування і т.д.), а також проекти зі значним впливом на навколишнє середовище в інших секторах, відповідно до статті 3.4.</w:t>
      </w:r>
    </w:p>
    <w:p w:rsidR="00642FB4" w:rsidRDefault="00642FB4">
      <w:pPr>
        <w:spacing w:before="60" w:after="60" w:line="288" w:lineRule="auto"/>
        <w:ind w:firstLine="709"/>
        <w:jc w:val="both"/>
        <w:rPr>
          <w:b/>
          <w:lang w:val="uk-UA"/>
        </w:rPr>
      </w:pPr>
      <w:r>
        <w:rPr>
          <w:b/>
          <w:lang w:val="uk-UA"/>
        </w:rPr>
        <w:t>Для Програми ЄІС ТКС з великими  інфраструктурними проектами обов’язково  пройти процедуру стратегічного екологічного оцінювання.</w:t>
      </w:r>
    </w:p>
    <w:p w:rsidR="00642FB4" w:rsidRDefault="00642FB4">
      <w:pPr>
        <w:spacing w:before="60" w:after="60" w:line="288" w:lineRule="auto"/>
        <w:ind w:firstLine="709"/>
        <w:jc w:val="both"/>
        <w:rPr>
          <w:b/>
          <w:lang w:val="uk-UA"/>
        </w:rPr>
      </w:pPr>
    </w:p>
    <w:p w:rsidR="00642FB4" w:rsidRDefault="00642FB4">
      <w:pPr>
        <w:spacing w:before="60" w:after="60" w:line="288" w:lineRule="auto"/>
        <w:ind w:firstLine="630"/>
        <w:jc w:val="both"/>
        <w:rPr>
          <w:lang w:val="uk-UA"/>
        </w:rPr>
      </w:pPr>
      <w:r>
        <w:rPr>
          <w:lang w:val="uk-UA"/>
        </w:rPr>
        <w:t xml:space="preserve">Розробка </w:t>
      </w:r>
      <w:r>
        <w:rPr>
          <w:b/>
          <w:lang w:val="uk-UA"/>
        </w:rPr>
        <w:t>Екологічної оцінки</w:t>
      </w:r>
      <w:r>
        <w:rPr>
          <w:b/>
          <w:i/>
          <w:lang w:val="uk-UA"/>
        </w:rPr>
        <w:t xml:space="preserve"> </w:t>
      </w:r>
      <w:r>
        <w:rPr>
          <w:lang w:val="uk-UA"/>
        </w:rPr>
        <w:t>включає в себе наступні відповідні елементи:</w:t>
      </w:r>
    </w:p>
    <w:p w:rsidR="00642FB4" w:rsidRDefault="00642FB4">
      <w:pPr>
        <w:numPr>
          <w:ilvl w:val="0"/>
          <w:numId w:val="28"/>
        </w:numPr>
        <w:tabs>
          <w:tab w:val="left" w:pos="990"/>
        </w:tabs>
        <w:spacing w:before="60" w:after="60" w:line="288" w:lineRule="auto"/>
        <w:jc w:val="both"/>
        <w:rPr>
          <w:lang w:val="uk-UA"/>
        </w:rPr>
      </w:pPr>
      <w:r>
        <w:rPr>
          <w:lang w:val="uk-UA"/>
        </w:rPr>
        <w:t xml:space="preserve">Аналіз </w:t>
      </w:r>
      <w:r>
        <w:rPr>
          <w:b/>
          <w:lang w:val="uk-UA"/>
        </w:rPr>
        <w:t>стану середовища</w:t>
      </w:r>
      <w:r>
        <w:rPr>
          <w:lang w:val="uk-UA"/>
        </w:rPr>
        <w:t xml:space="preserve"> на національному рівні (в вказанах географічних зонах), відповідні питання, які стосуються Програми Ро-Уа, беручи до уваги існуючі дані та інформації;</w:t>
      </w:r>
    </w:p>
    <w:p w:rsidR="00642FB4" w:rsidRDefault="00642FB4">
      <w:pPr>
        <w:numPr>
          <w:ilvl w:val="0"/>
          <w:numId w:val="28"/>
        </w:numPr>
        <w:tabs>
          <w:tab w:val="left" w:pos="990"/>
        </w:tabs>
        <w:spacing w:before="60" w:after="60" w:line="288" w:lineRule="auto"/>
        <w:jc w:val="both"/>
        <w:rPr>
          <w:lang w:val="uk-UA"/>
        </w:rPr>
      </w:pPr>
      <w:r>
        <w:rPr>
          <w:lang w:val="uk-UA"/>
        </w:rPr>
        <w:t xml:space="preserve">В результаті характеристики поточного стану навколишнього середовища визначатимуться ряд питань та </w:t>
      </w:r>
      <w:r>
        <w:rPr>
          <w:b/>
          <w:lang w:val="uk-UA"/>
        </w:rPr>
        <w:t>екологічних проблем</w:t>
      </w:r>
      <w:r>
        <w:rPr>
          <w:lang w:val="uk-UA"/>
        </w:rPr>
        <w:t>, які мають відношення до програмної території, та які можуть бути проаналізовані і розглянуті безпосередньо через Програму;</w:t>
      </w:r>
    </w:p>
    <w:p w:rsidR="00642FB4" w:rsidRDefault="00642FB4">
      <w:pPr>
        <w:spacing w:before="60" w:after="60" w:line="288" w:lineRule="auto"/>
        <w:ind w:firstLine="360"/>
        <w:jc w:val="both"/>
        <w:rPr>
          <w:lang w:val="uk-UA"/>
        </w:rPr>
      </w:pPr>
      <w:r>
        <w:rPr>
          <w:lang w:val="uk-UA"/>
        </w:rPr>
        <w:t>Для цих аспектів та проблем щодо навколишнього середовища, будуть встановлені відповідні екологічні цілі, які Програма Ро-Уа повинна відстежити;</w:t>
      </w:r>
    </w:p>
    <w:p w:rsidR="00642FB4" w:rsidRDefault="00642FB4">
      <w:pPr>
        <w:numPr>
          <w:ilvl w:val="0"/>
          <w:numId w:val="28"/>
        </w:numPr>
        <w:tabs>
          <w:tab w:val="left" w:pos="990"/>
        </w:tabs>
        <w:spacing w:before="60" w:after="60" w:line="288" w:lineRule="auto"/>
        <w:ind w:left="990" w:hanging="270"/>
        <w:jc w:val="both"/>
        <w:rPr>
          <w:lang w:val="uk-UA"/>
        </w:rPr>
      </w:pPr>
      <w:r>
        <w:rPr>
          <w:lang w:val="uk-UA"/>
        </w:rPr>
        <w:t>Здійсниться аналіз можливої еволюції стану довкілля (буде братися до уваги виявлені екологічні проблеми) в умовах нездійснення цілей Програми Ро-Уа (Альтернатива "0");</w:t>
      </w:r>
    </w:p>
    <w:p w:rsidR="00642FB4" w:rsidRDefault="00642FB4">
      <w:pPr>
        <w:numPr>
          <w:ilvl w:val="0"/>
          <w:numId w:val="28"/>
        </w:numPr>
        <w:tabs>
          <w:tab w:val="left" w:pos="990"/>
        </w:tabs>
        <w:spacing w:before="60" w:after="60" w:line="288" w:lineRule="auto"/>
        <w:ind w:left="990" w:hanging="270"/>
        <w:jc w:val="both"/>
        <w:rPr>
          <w:lang w:val="uk-UA"/>
        </w:rPr>
      </w:pPr>
      <w:r>
        <w:rPr>
          <w:lang w:val="uk-UA"/>
        </w:rPr>
        <w:t xml:space="preserve">Буде оцінюватися </w:t>
      </w:r>
      <w:r>
        <w:rPr>
          <w:b/>
          <w:lang w:val="uk-UA"/>
        </w:rPr>
        <w:t>вплив на навколишнє середовище</w:t>
      </w:r>
      <w:r>
        <w:rPr>
          <w:lang w:val="uk-UA"/>
        </w:rPr>
        <w:t xml:space="preserve"> після реалізації програми Ро-Уа, через аналіз способу сприяння цілей і запропонованих заходів для досягнення відповідної мети охорони довкілля;</w:t>
      </w:r>
    </w:p>
    <w:p w:rsidR="00642FB4" w:rsidRDefault="00642FB4">
      <w:pPr>
        <w:numPr>
          <w:ilvl w:val="0"/>
          <w:numId w:val="28"/>
        </w:numPr>
        <w:tabs>
          <w:tab w:val="left" w:pos="990"/>
        </w:tabs>
        <w:spacing w:before="60" w:after="60" w:line="288" w:lineRule="auto"/>
        <w:ind w:left="990" w:hanging="270"/>
        <w:jc w:val="both"/>
        <w:rPr>
          <w:lang w:val="uk-UA"/>
        </w:rPr>
      </w:pPr>
      <w:r>
        <w:rPr>
          <w:lang w:val="uk-UA"/>
        </w:rPr>
        <w:t xml:space="preserve">Буде розроблена </w:t>
      </w:r>
      <w:r>
        <w:rPr>
          <w:b/>
          <w:lang w:val="uk-UA"/>
        </w:rPr>
        <w:t>сукупна оцінка</w:t>
      </w:r>
      <w:r>
        <w:rPr>
          <w:lang w:val="uk-UA"/>
        </w:rPr>
        <w:t>, яка зможе забезпечити загальне бачення можливих майбутніх еволюцій стану навколишнього середовища в умовах реалізації Програми Ро-Уа;</w:t>
      </w:r>
    </w:p>
    <w:p w:rsidR="00642FB4" w:rsidRDefault="00642FB4">
      <w:pPr>
        <w:numPr>
          <w:ilvl w:val="0"/>
          <w:numId w:val="28"/>
        </w:numPr>
        <w:tabs>
          <w:tab w:val="left" w:pos="990"/>
        </w:tabs>
        <w:spacing w:before="60" w:after="60" w:line="288" w:lineRule="auto"/>
        <w:ind w:left="990" w:hanging="270"/>
        <w:jc w:val="both"/>
        <w:rPr>
          <w:lang w:val="uk-UA"/>
        </w:rPr>
      </w:pPr>
      <w:r>
        <w:rPr>
          <w:lang w:val="uk-UA"/>
        </w:rPr>
        <w:t xml:space="preserve">Підготується список </w:t>
      </w:r>
      <w:r>
        <w:rPr>
          <w:b/>
          <w:lang w:val="uk-UA"/>
        </w:rPr>
        <w:t>запропонованих показників</w:t>
      </w:r>
      <w:r>
        <w:rPr>
          <w:lang w:val="uk-UA"/>
        </w:rPr>
        <w:t xml:space="preserve"> </w:t>
      </w:r>
      <w:r>
        <w:rPr>
          <w:b/>
          <w:lang w:val="uk-UA"/>
        </w:rPr>
        <w:t>для моніторингу</w:t>
      </w:r>
      <w:r>
        <w:rPr>
          <w:lang w:val="uk-UA"/>
        </w:rPr>
        <w:t xml:space="preserve"> впливу Програми</w:t>
      </w:r>
      <w:r>
        <w:rPr>
          <w:b/>
          <w:lang w:val="uk-UA"/>
        </w:rPr>
        <w:t xml:space="preserve"> </w:t>
      </w:r>
      <w:r>
        <w:rPr>
          <w:lang w:val="uk-UA"/>
        </w:rPr>
        <w:t>на навколишнє середовище;</w:t>
      </w:r>
    </w:p>
    <w:p w:rsidR="00642FB4" w:rsidRDefault="00642FB4">
      <w:pPr>
        <w:numPr>
          <w:ilvl w:val="0"/>
          <w:numId w:val="28"/>
        </w:numPr>
        <w:tabs>
          <w:tab w:val="left" w:pos="990"/>
        </w:tabs>
        <w:spacing w:before="60" w:after="60" w:line="288" w:lineRule="auto"/>
        <w:ind w:left="990" w:hanging="270"/>
        <w:jc w:val="both"/>
        <w:rPr>
          <w:lang w:val="uk-UA"/>
        </w:rPr>
      </w:pPr>
      <w:r>
        <w:rPr>
          <w:lang w:val="uk-UA"/>
        </w:rPr>
        <w:t xml:space="preserve">Також, будуть запропоновані </w:t>
      </w:r>
      <w:r>
        <w:rPr>
          <w:b/>
          <w:lang w:val="uk-UA"/>
        </w:rPr>
        <w:t>ряд рекомендацій</w:t>
      </w:r>
      <w:r>
        <w:rPr>
          <w:lang w:val="uk-UA"/>
        </w:rPr>
        <w:t xml:space="preserve"> по запобіганню, зменшенню або нейтралізації будь-якого потенційного негативного впливу на навколишнє середовище, пов'язаного з реалізацією програми Ро - Уа.</w:t>
      </w:r>
    </w:p>
    <w:p w:rsidR="00642FB4" w:rsidRDefault="00642FB4">
      <w:pPr>
        <w:tabs>
          <w:tab w:val="left" w:pos="990"/>
        </w:tabs>
        <w:spacing w:before="60" w:after="60" w:line="288" w:lineRule="auto"/>
        <w:ind w:left="990"/>
        <w:jc w:val="both"/>
        <w:rPr>
          <w:lang w:val="uk-UA"/>
        </w:rPr>
      </w:pPr>
    </w:p>
    <w:p w:rsidR="00642FB4" w:rsidRDefault="00642FB4">
      <w:pPr>
        <w:pStyle w:val="Title"/>
        <w:numPr>
          <w:ilvl w:val="0"/>
          <w:numId w:val="5"/>
        </w:numPr>
        <w:jc w:val="both"/>
        <w:rPr>
          <w:rFonts w:ascii="Arial" w:hAnsi="Arial" w:cs="Arial"/>
          <w:sz w:val="24"/>
          <w:szCs w:val="24"/>
          <w:lang w:val="uk-UA"/>
        </w:rPr>
      </w:pPr>
      <w:bookmarkStart w:id="2" w:name="_Toc419199654"/>
      <w:bookmarkEnd w:id="1"/>
      <w:r>
        <w:rPr>
          <w:rFonts w:ascii="Arial" w:hAnsi="Arial" w:cs="Arial"/>
          <w:sz w:val="24"/>
          <w:szCs w:val="24"/>
          <w:lang w:val="uk-UA"/>
        </w:rPr>
        <w:t>РЕЗЮМЕ  ЗМІСТУ, ОСНОВНІ МЕТИ ПЛАНУ ЧИ ПРОГРАМИ ТА ЗВ'ЯЗКИ З ІНШИМИ ПЛАНАМИ І ПРОГРАМАМИ</w:t>
      </w:r>
      <w:bookmarkEnd w:id="2"/>
    </w:p>
    <w:p w:rsidR="00642FB4" w:rsidRDefault="00642FB4">
      <w:pPr>
        <w:autoSpaceDE w:val="0"/>
        <w:autoSpaceDN w:val="0"/>
        <w:adjustRightInd w:val="0"/>
        <w:spacing w:before="60" w:after="60" w:line="288" w:lineRule="auto"/>
        <w:contextualSpacing/>
        <w:jc w:val="both"/>
        <w:rPr>
          <w:rFonts w:eastAsia="EUAlbertina-Regular-Identity-H" w:cs="Arial"/>
          <w:lang w:val="uk-UA" w:eastAsia="en-US"/>
        </w:rPr>
      </w:pPr>
    </w:p>
    <w:p w:rsidR="00642FB4" w:rsidRDefault="00642FB4">
      <w:pPr>
        <w:pStyle w:val="Heading1"/>
        <w:numPr>
          <w:ilvl w:val="1"/>
          <w:numId w:val="5"/>
        </w:numPr>
        <w:ind w:left="360" w:hanging="360"/>
        <w:jc w:val="both"/>
        <w:rPr>
          <w:rFonts w:ascii="Arial" w:eastAsia="EUAlbertina-Regular-Identity-H" w:hAnsi="Arial" w:cs="Arial"/>
          <w:sz w:val="24"/>
          <w:szCs w:val="24"/>
          <w:lang w:val="uk-UA" w:eastAsia="en-US"/>
        </w:rPr>
      </w:pPr>
      <w:r>
        <w:rPr>
          <w:rFonts w:ascii="Arial" w:eastAsia="EUAlbertina-Regular-Identity-H" w:hAnsi="Arial" w:cs="Arial"/>
          <w:sz w:val="24"/>
          <w:szCs w:val="24"/>
          <w:lang w:val="uk-UA" w:eastAsia="en-US"/>
        </w:rPr>
        <w:t xml:space="preserve"> </w:t>
      </w:r>
      <w:bookmarkStart w:id="3" w:name="_Toc419199655"/>
      <w:r>
        <w:rPr>
          <w:rFonts w:ascii="Arial" w:eastAsia="EUAlbertina-Regular-Identity-H" w:hAnsi="Arial" w:cs="Arial"/>
          <w:sz w:val="24"/>
          <w:szCs w:val="24"/>
          <w:lang w:val="uk-UA" w:eastAsia="en-US"/>
        </w:rPr>
        <w:t>Загальні дані</w:t>
      </w:r>
      <w:bookmarkEnd w:id="3"/>
    </w:p>
    <w:p w:rsidR="00642FB4" w:rsidRDefault="00642FB4">
      <w:pPr>
        <w:jc w:val="both"/>
        <w:rPr>
          <w:rFonts w:eastAsia="EUAlbertina-Regular-Identity-H"/>
          <w:lang w:val="uk-UA" w:eastAsia="en-US"/>
        </w:rPr>
      </w:pPr>
    </w:p>
    <w:p w:rsidR="00642FB4" w:rsidRDefault="00642FB4">
      <w:pPr>
        <w:spacing w:before="60" w:after="60" w:line="288" w:lineRule="auto"/>
        <w:ind w:firstLine="720"/>
        <w:jc w:val="both"/>
        <w:rPr>
          <w:szCs w:val="20"/>
          <w:lang w:val="uk-UA"/>
        </w:rPr>
      </w:pPr>
      <w:r>
        <w:rPr>
          <w:szCs w:val="20"/>
          <w:lang w:val="uk-UA"/>
        </w:rPr>
        <w:t xml:space="preserve">В період 2014 </w:t>
      </w:r>
      <w:r>
        <w:rPr>
          <w:rFonts w:cs="Arial"/>
          <w:szCs w:val="20"/>
          <w:lang w:val="uk-UA"/>
        </w:rPr>
        <w:t>÷</w:t>
      </w:r>
      <w:r>
        <w:rPr>
          <w:szCs w:val="20"/>
          <w:lang w:val="uk-UA"/>
        </w:rPr>
        <w:t xml:space="preserve"> 2020, Європейський союз фінансує Спільну операційну програму (СОП) Румунія - Україна 2014 - 2020 року в рамках Європейського інструменту сусідства (ЄІС), як продовження Спільної операційної програми Румунія - Україна - Молдова 2007 ÷ 2013.</w:t>
      </w:r>
    </w:p>
    <w:p w:rsidR="00642FB4" w:rsidRDefault="00642FB4">
      <w:pPr>
        <w:spacing w:before="60" w:after="60" w:line="288" w:lineRule="auto"/>
        <w:ind w:firstLine="720"/>
        <w:jc w:val="both"/>
        <w:rPr>
          <w:lang w:val="uk-UA"/>
        </w:rPr>
      </w:pPr>
      <w:r>
        <w:rPr>
          <w:lang w:val="uk-UA"/>
        </w:rPr>
        <w:t>Основні регламентації ЄС для розробки програм прикордонного співробітництва з фінансуванням у рамках ЄІС є наступними:</w:t>
      </w:r>
    </w:p>
    <w:p w:rsidR="00642FB4" w:rsidRDefault="00642FB4">
      <w:pPr>
        <w:numPr>
          <w:ilvl w:val="0"/>
          <w:numId w:val="28"/>
        </w:numPr>
        <w:tabs>
          <w:tab w:val="left" w:pos="990"/>
        </w:tabs>
        <w:spacing w:before="60" w:after="60" w:line="288" w:lineRule="auto"/>
        <w:jc w:val="both"/>
        <w:rPr>
          <w:lang w:val="uk-UA"/>
        </w:rPr>
      </w:pPr>
      <w:r>
        <w:rPr>
          <w:lang w:val="uk-UA"/>
        </w:rPr>
        <w:t>Рішення (ЄС) № 232/2014 Європейського парламенту та Ради про створення Інструменту  Європейського Сусідства;</w:t>
      </w:r>
    </w:p>
    <w:p w:rsidR="00642FB4" w:rsidRDefault="00642FB4">
      <w:pPr>
        <w:numPr>
          <w:ilvl w:val="0"/>
          <w:numId w:val="28"/>
        </w:numPr>
        <w:tabs>
          <w:tab w:val="left" w:pos="990"/>
        </w:tabs>
        <w:spacing w:before="60" w:after="60" w:line="288" w:lineRule="auto"/>
        <w:jc w:val="both"/>
        <w:rPr>
          <w:lang w:val="uk-UA"/>
        </w:rPr>
      </w:pPr>
      <w:r w:rsidRPr="006C74EB">
        <w:rPr>
          <w:rFonts w:eastAsia="Calibri" w:cs="Arial"/>
          <w:bdr w:val="none" w:sz="0" w:space="0" w:color="auto" w:frame="1"/>
          <w:shd w:val="clear" w:color="auto" w:fill="FFFFFF"/>
          <w:lang w:val="uk-UA"/>
        </w:rPr>
        <w:t>Регламент (ЄС) № 236/2014 Європейського парламенту та Ради від 11 березня 2014 року, що встановлює загальні правила і процедури для здійснення документів Союзу для фінансування зовнішньої дії</w:t>
      </w:r>
      <w:r>
        <w:rPr>
          <w:rFonts w:cs="Arial"/>
          <w:lang w:val="uk-UA"/>
        </w:rPr>
        <w:t>;</w:t>
      </w:r>
    </w:p>
    <w:p w:rsidR="00642FB4" w:rsidRDefault="00642FB4">
      <w:pPr>
        <w:numPr>
          <w:ilvl w:val="0"/>
          <w:numId w:val="28"/>
        </w:numPr>
        <w:tabs>
          <w:tab w:val="left" w:pos="990"/>
        </w:tabs>
        <w:spacing w:before="60" w:after="60" w:line="288" w:lineRule="auto"/>
        <w:jc w:val="both"/>
        <w:rPr>
          <w:rFonts w:cs="Arial"/>
          <w:lang w:val="uk-UA"/>
        </w:rPr>
      </w:pPr>
      <w:r>
        <w:rPr>
          <w:rFonts w:cs="Arial"/>
          <w:shd w:val="clear" w:color="auto" w:fill="F9FAFA"/>
          <w:lang w:val="uk-UA"/>
        </w:rPr>
        <w:t>Виконавче рішення Комісії (ЄС) № 897/2014 від 18 серпня 2014, що встановлює особливі положення для реалізації програм транскордонного співробітництва, що фінансуються в рамках Рішення (ЄС) № 232/2014 Європейського Парламенту та Європейської Ради про створення Європейського Інструменту Сусідства</w:t>
      </w:r>
    </w:p>
    <w:p w:rsidR="00642FB4" w:rsidRDefault="00642FB4">
      <w:pPr>
        <w:numPr>
          <w:ilvl w:val="0"/>
          <w:numId w:val="28"/>
        </w:numPr>
        <w:tabs>
          <w:tab w:val="left" w:pos="990"/>
        </w:tabs>
        <w:spacing w:before="60" w:after="60" w:line="288" w:lineRule="auto"/>
        <w:jc w:val="both"/>
        <w:rPr>
          <w:rFonts w:cs="Arial"/>
          <w:lang w:val="uk-UA"/>
        </w:rPr>
      </w:pPr>
      <w:r>
        <w:rPr>
          <w:rFonts w:cs="Arial"/>
          <w:shd w:val="clear" w:color="auto" w:fill="F9FAFA"/>
          <w:lang w:val="uk-UA"/>
        </w:rPr>
        <w:t>Програмний документ щодо підтримки ЄС ЄІС Транскордонного співробітництва (2014-2020)</w:t>
      </w:r>
    </w:p>
    <w:p w:rsidR="00642FB4" w:rsidRDefault="00642FB4">
      <w:pPr>
        <w:numPr>
          <w:ilvl w:val="0"/>
          <w:numId w:val="28"/>
        </w:numPr>
        <w:tabs>
          <w:tab w:val="left" w:pos="990"/>
        </w:tabs>
        <w:spacing w:before="60" w:after="60" w:line="288" w:lineRule="auto"/>
        <w:jc w:val="both"/>
        <w:rPr>
          <w:rFonts w:cs="Arial"/>
          <w:lang w:val="uk-UA"/>
        </w:rPr>
      </w:pPr>
      <w:r>
        <w:rPr>
          <w:lang w:val="uk-UA"/>
        </w:rPr>
        <w:t>Рішення щодо імплементації Комісії від 10.08.2014 року про ухвалення програмного документа для прийняття допомоги ЄС для прикордонного співробітництва (2014 ÷ 2020).</w:t>
      </w:r>
    </w:p>
    <w:p w:rsidR="00642FB4" w:rsidRDefault="00642FB4">
      <w:pPr>
        <w:spacing w:before="60" w:after="60" w:line="288" w:lineRule="auto"/>
        <w:ind w:firstLine="763"/>
        <w:jc w:val="both"/>
        <w:rPr>
          <w:rFonts w:eastAsia="EUAlbertina-Regular-Identity-H"/>
          <w:lang w:val="uk-UA" w:eastAsia="en-US"/>
        </w:rPr>
      </w:pPr>
    </w:p>
    <w:p w:rsidR="00642FB4" w:rsidRDefault="00642FB4">
      <w:pPr>
        <w:spacing w:before="60" w:after="60" w:line="288" w:lineRule="auto"/>
        <w:ind w:firstLine="720"/>
        <w:jc w:val="both"/>
        <w:rPr>
          <w:rFonts w:eastAsia="EUAlbertina-Regular-Identity-H"/>
          <w:lang w:val="uk-UA" w:eastAsia="en-US"/>
        </w:rPr>
      </w:pPr>
      <w:r>
        <w:rPr>
          <w:rFonts w:eastAsia="EUAlbertina-Regular-Identity-H"/>
          <w:lang w:val="uk-UA" w:eastAsia="en-US"/>
        </w:rPr>
        <w:t>Прикордонне співробітництво на кордонах ЄС і в період 2014 ÷ 2020 вважається найважливішим пріоритетом для Європейського співтовариства. Європейський Інструмент Сусідства (ENI – European Neighborhood Instrument) спрямований на створення "зони спільного процвітання і добросусідства між державами-членами ЄС та їхніх сусідів" через здійснення трьох стратегічних цілей:</w:t>
      </w:r>
    </w:p>
    <w:p w:rsidR="00642FB4" w:rsidRDefault="00642FB4">
      <w:pPr>
        <w:spacing w:before="60" w:after="60" w:line="288" w:lineRule="auto"/>
        <w:ind w:firstLine="720"/>
        <w:jc w:val="both"/>
        <w:rPr>
          <w:rFonts w:eastAsia="EUAlbertina-Regular-Identity-H"/>
          <w:lang w:val="uk-UA" w:eastAsia="en-US"/>
        </w:rPr>
      </w:pPr>
      <w:r>
        <w:rPr>
          <w:rFonts w:eastAsia="EUAlbertina-Regular-Identity-H"/>
          <w:lang w:val="uk-UA" w:eastAsia="en-US"/>
        </w:rPr>
        <w:t>А. Сприяння економічному та соціальному розвитку регіонів по обидва сторони спільного кордону;</w:t>
      </w:r>
    </w:p>
    <w:p w:rsidR="00642FB4" w:rsidRDefault="00642FB4">
      <w:pPr>
        <w:spacing w:before="60" w:after="60" w:line="288" w:lineRule="auto"/>
        <w:ind w:firstLine="720"/>
        <w:jc w:val="both"/>
        <w:rPr>
          <w:rFonts w:eastAsia="EUAlbertina-Regular-Identity-H"/>
          <w:lang w:val="uk-UA" w:eastAsia="en-US"/>
        </w:rPr>
      </w:pPr>
      <w:r>
        <w:rPr>
          <w:rFonts w:eastAsia="EUAlbertina-Regular-Identity-H"/>
          <w:lang w:val="uk-UA" w:eastAsia="en-US"/>
        </w:rPr>
        <w:t>Б. Вирішення спільних проблем, що стосуються навколишнього середовища, охорони здоров'я, безпеки та захисту;</w:t>
      </w:r>
    </w:p>
    <w:p w:rsidR="00642FB4" w:rsidRDefault="00642FB4">
      <w:pPr>
        <w:spacing w:before="60" w:after="60" w:line="288" w:lineRule="auto"/>
        <w:ind w:firstLine="720"/>
        <w:jc w:val="both"/>
        <w:rPr>
          <w:rFonts w:eastAsia="EUAlbertina-Regular-Identity-H"/>
          <w:lang w:val="uk-UA" w:eastAsia="en-US"/>
        </w:rPr>
      </w:pPr>
      <w:r>
        <w:rPr>
          <w:rFonts w:eastAsia="EUAlbertina-Regular-Identity-H"/>
          <w:lang w:val="uk-UA" w:eastAsia="en-US"/>
        </w:rPr>
        <w:t>С. Сприяння створенню кращих умов та інструментів для забезпечення мобільності людей, товарів і капіталу.</w:t>
      </w:r>
    </w:p>
    <w:p w:rsidR="00642FB4" w:rsidRDefault="00642FB4">
      <w:pPr>
        <w:ind w:firstLine="765"/>
        <w:jc w:val="both"/>
        <w:rPr>
          <w:rFonts w:eastAsia="EUAlbertina-Regular-Identity-H"/>
          <w:lang w:val="uk-UA" w:eastAsia="en-US"/>
        </w:rPr>
      </w:pPr>
    </w:p>
    <w:p w:rsidR="00642FB4" w:rsidRDefault="00642FB4">
      <w:pPr>
        <w:spacing w:before="60" w:after="60" w:line="288" w:lineRule="auto"/>
        <w:ind w:firstLine="763"/>
        <w:jc w:val="both"/>
        <w:rPr>
          <w:rFonts w:eastAsia="EUAlbertina-Regular-Identity-H"/>
          <w:lang w:val="uk-UA" w:eastAsia="en-US"/>
        </w:rPr>
      </w:pPr>
      <w:r>
        <w:rPr>
          <w:rFonts w:eastAsia="EUAlbertina-Regular-Identity-H"/>
          <w:lang w:val="uk-UA" w:eastAsia="en-US"/>
        </w:rPr>
        <w:t>Програми прикордонного співробітництва повинні зосередитися на хоча б однієї стратегічної цілі, а для отримання суттєвого впливу на прикордонній території зосередитися на наступних чотирьох ТЦ:</w:t>
      </w:r>
    </w:p>
    <w:p w:rsidR="00642FB4" w:rsidRDefault="00642FB4">
      <w:pPr>
        <w:tabs>
          <w:tab w:val="left" w:pos="1440"/>
        </w:tabs>
        <w:spacing w:before="60" w:after="60" w:line="288" w:lineRule="auto"/>
        <w:ind w:left="1440" w:hanging="720"/>
        <w:jc w:val="both"/>
        <w:rPr>
          <w:lang w:val="uk-UA"/>
        </w:rPr>
      </w:pPr>
      <w:r>
        <w:rPr>
          <w:lang w:val="uk-UA"/>
        </w:rPr>
        <w:t>ТЦ1. Просування бізнесу і розвиток малих і середніх підприємств -МСП (Стратегічна ціль: A);</w:t>
      </w:r>
    </w:p>
    <w:p w:rsidR="00642FB4" w:rsidRDefault="00642FB4">
      <w:pPr>
        <w:tabs>
          <w:tab w:val="left" w:pos="1440"/>
        </w:tabs>
        <w:spacing w:before="60" w:after="60" w:line="288" w:lineRule="auto"/>
        <w:ind w:left="1440" w:hanging="720"/>
        <w:jc w:val="both"/>
        <w:rPr>
          <w:rFonts w:eastAsia="EUAlbertina-Regular-Identity-H"/>
          <w:lang w:val="uk-UA" w:eastAsia="en-US"/>
        </w:rPr>
      </w:pPr>
      <w:r>
        <w:rPr>
          <w:lang w:val="uk-UA"/>
        </w:rPr>
        <w:t>ТЦ2. Підтримка освіти, досліджень, розробки та технологічних інновацій (Стратегічна ціль: A);</w:t>
      </w:r>
    </w:p>
    <w:p w:rsidR="00642FB4" w:rsidRDefault="00642FB4">
      <w:pPr>
        <w:tabs>
          <w:tab w:val="left" w:pos="1440"/>
        </w:tabs>
        <w:spacing w:before="60" w:after="60" w:line="288" w:lineRule="auto"/>
        <w:ind w:left="1440" w:hanging="720"/>
        <w:jc w:val="both"/>
        <w:rPr>
          <w:rFonts w:eastAsia="EUAlbertina-Regular-Identity-H"/>
          <w:lang w:val="uk-UA" w:eastAsia="en-US"/>
        </w:rPr>
      </w:pPr>
      <w:r>
        <w:rPr>
          <w:lang w:val="uk-UA"/>
        </w:rPr>
        <w:t>ТЦ3. Просування місцевої культури та консервація історичної спадщини (Стратегічна ціль: A);</w:t>
      </w:r>
    </w:p>
    <w:p w:rsidR="00642FB4" w:rsidRDefault="00642FB4">
      <w:pPr>
        <w:tabs>
          <w:tab w:val="left" w:pos="1440"/>
        </w:tabs>
        <w:spacing w:before="60" w:after="60" w:line="288" w:lineRule="auto"/>
        <w:ind w:left="1440" w:hanging="720"/>
        <w:jc w:val="both"/>
        <w:rPr>
          <w:rFonts w:eastAsia="EUAlbertina-Regular-Identity-H"/>
          <w:lang w:val="uk-UA" w:eastAsia="en-US"/>
        </w:rPr>
      </w:pPr>
      <w:r>
        <w:rPr>
          <w:lang w:val="uk-UA"/>
        </w:rPr>
        <w:t>ТЦ4.  Підтримка соціальної інтеграції та боротьби з бідністю (Стратегічні цілі: A, B, C);</w:t>
      </w:r>
    </w:p>
    <w:p w:rsidR="00642FB4" w:rsidRDefault="00642FB4">
      <w:pPr>
        <w:tabs>
          <w:tab w:val="left" w:pos="1440"/>
        </w:tabs>
        <w:spacing w:before="60" w:after="60" w:line="288" w:lineRule="auto"/>
        <w:ind w:left="1440" w:hanging="720"/>
        <w:jc w:val="both"/>
        <w:rPr>
          <w:rFonts w:eastAsia="EUAlbertina-Regular-Identity-H"/>
          <w:lang w:val="uk-UA" w:eastAsia="en-US"/>
        </w:rPr>
      </w:pPr>
      <w:r>
        <w:rPr>
          <w:lang w:val="uk-UA"/>
        </w:rPr>
        <w:t>ТЦ5. Підтримка кращого управління на місцевому та регіональному рівні (Стратегічні цілі: A, B, C);</w:t>
      </w:r>
    </w:p>
    <w:p w:rsidR="00642FB4" w:rsidRDefault="00642FB4">
      <w:pPr>
        <w:tabs>
          <w:tab w:val="left" w:pos="1440"/>
        </w:tabs>
        <w:spacing w:before="60" w:after="60" w:line="288" w:lineRule="auto"/>
        <w:ind w:left="1440" w:hanging="720"/>
        <w:jc w:val="both"/>
        <w:rPr>
          <w:rFonts w:eastAsia="EUAlbertina-Regular-Identity-H"/>
          <w:lang w:val="uk-UA" w:eastAsia="en-US"/>
        </w:rPr>
      </w:pPr>
      <w:r>
        <w:rPr>
          <w:lang w:val="uk-UA"/>
        </w:rPr>
        <w:t>ТЦ6.  Захист навколишнього середовища, адаптації до зміни клімату (Стратегічна ціль: B);</w:t>
      </w:r>
    </w:p>
    <w:p w:rsidR="00642FB4" w:rsidRDefault="00642FB4">
      <w:pPr>
        <w:tabs>
          <w:tab w:val="left" w:pos="1440"/>
        </w:tabs>
        <w:spacing w:before="60" w:after="60" w:line="288" w:lineRule="auto"/>
        <w:ind w:left="1440" w:hanging="720"/>
        <w:jc w:val="both"/>
        <w:rPr>
          <w:rFonts w:eastAsia="EUAlbertina-Regular-Identity-H"/>
          <w:lang w:val="uk-UA" w:eastAsia="en-US"/>
        </w:rPr>
      </w:pPr>
      <w:r>
        <w:rPr>
          <w:lang w:val="uk-UA"/>
        </w:rPr>
        <w:t>ТЦ7. Покращення доступності регіонів, комунікаційних та транспортних мереж і систем (Стратегічна ціль: C);</w:t>
      </w:r>
    </w:p>
    <w:p w:rsidR="00642FB4" w:rsidRDefault="00642FB4">
      <w:pPr>
        <w:tabs>
          <w:tab w:val="left" w:pos="1440"/>
        </w:tabs>
        <w:spacing w:before="60" w:after="60" w:line="288" w:lineRule="auto"/>
        <w:ind w:left="1440" w:hanging="720"/>
        <w:jc w:val="both"/>
        <w:rPr>
          <w:rFonts w:eastAsia="EUAlbertina-Regular-Identity-H"/>
          <w:lang w:val="uk-UA" w:eastAsia="en-US"/>
        </w:rPr>
      </w:pPr>
      <w:r>
        <w:rPr>
          <w:lang w:val="uk-UA"/>
        </w:rPr>
        <w:t>ТЦ8.   Спільні виклики у сфері безпеки та захисту (Стратегічна ціль: B);</w:t>
      </w:r>
    </w:p>
    <w:p w:rsidR="00642FB4" w:rsidRDefault="00642FB4">
      <w:pPr>
        <w:tabs>
          <w:tab w:val="left" w:pos="1440"/>
        </w:tabs>
        <w:spacing w:before="60" w:after="60" w:line="288" w:lineRule="auto"/>
        <w:ind w:left="1440" w:hanging="720"/>
        <w:jc w:val="both"/>
        <w:rPr>
          <w:rFonts w:eastAsia="EUAlbertina-Regular-Identity-H"/>
          <w:lang w:val="uk-UA" w:eastAsia="en-US"/>
        </w:rPr>
      </w:pPr>
      <w:r>
        <w:rPr>
          <w:lang w:val="uk-UA"/>
        </w:rPr>
        <w:t>ТЦ9.   Просування співпраці в енергетичній сфері (Стратегічна ціль: B);</w:t>
      </w:r>
    </w:p>
    <w:p w:rsidR="00642FB4" w:rsidRDefault="00642FB4">
      <w:pPr>
        <w:tabs>
          <w:tab w:val="left" w:pos="1440"/>
        </w:tabs>
        <w:spacing w:before="60" w:after="60" w:line="288" w:lineRule="auto"/>
        <w:ind w:left="1440" w:hanging="720"/>
        <w:jc w:val="both"/>
        <w:rPr>
          <w:rFonts w:eastAsia="EUAlbertina-Regular-Identity-H"/>
          <w:lang w:val="uk-UA" w:eastAsia="en-US"/>
        </w:rPr>
      </w:pPr>
      <w:r>
        <w:rPr>
          <w:lang w:val="uk-UA"/>
        </w:rPr>
        <w:t>ТЦ10. Просування управління та безпеки кордонів, менеджмент міграції та мобільності (Стратегічна ціль: C).</w:t>
      </w:r>
    </w:p>
    <w:p w:rsidR="00642FB4" w:rsidRDefault="00642FB4">
      <w:pPr>
        <w:ind w:firstLine="765"/>
        <w:jc w:val="both"/>
        <w:rPr>
          <w:rFonts w:eastAsia="EUAlbertina-Regular-Identity-H"/>
          <w:lang w:val="uk-UA" w:eastAsia="en-US"/>
        </w:rPr>
      </w:pPr>
    </w:p>
    <w:p w:rsidR="00642FB4" w:rsidRDefault="00642FB4">
      <w:pPr>
        <w:spacing w:before="60" w:after="60" w:line="288" w:lineRule="auto"/>
        <w:ind w:firstLine="720"/>
        <w:jc w:val="both"/>
        <w:rPr>
          <w:rFonts w:eastAsia="EUAlbertina-Regular-Identity-H"/>
          <w:lang w:val="uk-UA" w:eastAsia="en-US"/>
        </w:rPr>
      </w:pPr>
      <w:r>
        <w:rPr>
          <w:lang w:val="uk-UA"/>
        </w:rPr>
        <w:t>Рішення</w:t>
      </w:r>
      <w:r>
        <w:rPr>
          <w:rFonts w:eastAsia="EUAlbertina-Regular-Identity-H"/>
          <w:lang w:val="uk-UA" w:eastAsia="en-US"/>
        </w:rPr>
        <w:t xml:space="preserve"> ЄС № 232/2014 щодо створення Європейського інструменту сусідства (ENI) та </w:t>
      </w:r>
      <w:r>
        <w:rPr>
          <w:rFonts w:cs="Arial"/>
          <w:shd w:val="clear" w:color="auto" w:fill="F9FAFA"/>
          <w:lang w:val="uk-UA"/>
        </w:rPr>
        <w:t>Виконавче рішення Комісії (ЄС) № 897/2014 від 18 серпня 2014, що встановлює особливі положення для реалізації програм транскордонного співробітництва</w:t>
      </w:r>
      <w:r>
        <w:rPr>
          <w:rFonts w:eastAsia="EUAlbertina-Regular-Identity-H"/>
          <w:lang w:val="uk-UA" w:eastAsia="en-US"/>
        </w:rPr>
        <w:t xml:space="preserve"> (ТКС) передбачає що партнери Програми повинні співпрацювати, щоб визначити потреби регіонів і вибирати тематичні цілі та пріоритети, які будуть випливати з цього аналізу</w:t>
      </w:r>
    </w:p>
    <w:p w:rsidR="00642FB4" w:rsidRDefault="00642FB4">
      <w:pPr>
        <w:spacing w:before="60" w:after="60" w:line="288" w:lineRule="auto"/>
        <w:ind w:firstLine="720"/>
        <w:jc w:val="both"/>
        <w:rPr>
          <w:rFonts w:eastAsia="EUAlbertina-Regular-Identity-H"/>
          <w:lang w:val="uk-UA" w:eastAsia="en-US"/>
        </w:rPr>
      </w:pPr>
      <w:r>
        <w:rPr>
          <w:rFonts w:eastAsia="EUAlbertina-Regular-Identity-H"/>
          <w:lang w:val="uk-UA" w:eastAsia="en-US"/>
        </w:rPr>
        <w:t xml:space="preserve">У цьому контексті, країни, що беруть участь в Програмі призначили Міністерство регіонального розвитку та державного управління (MDRAP) Румунії, як Кервний орган програми і встановили </w:t>
      </w:r>
      <w:r>
        <w:rPr>
          <w:lang w:val="uk-UA"/>
        </w:rPr>
        <w:t>Спільний програмний комітет (СПК) в якості</w:t>
      </w:r>
      <w:r>
        <w:rPr>
          <w:rFonts w:eastAsia="EUAlbertina-Regular-Identity-H"/>
          <w:lang w:val="uk-UA" w:eastAsia="en-US"/>
        </w:rPr>
        <w:t xml:space="preserve"> органу, що приймає рішення щодо Програми. У той же час були створені дві Робочі групи, одна для виявлення Великих інфраструктурних проектів та одна для призначення структур управління і контролю.</w:t>
      </w:r>
    </w:p>
    <w:p w:rsidR="00642FB4" w:rsidRDefault="00642FB4">
      <w:pPr>
        <w:spacing w:before="60" w:after="60" w:line="288" w:lineRule="auto"/>
        <w:ind w:firstLine="709"/>
        <w:jc w:val="both"/>
        <w:rPr>
          <w:rFonts w:eastAsia="EUAlbertina-Regular-Identity-H"/>
          <w:lang w:val="uk-UA" w:eastAsia="en-US"/>
        </w:rPr>
      </w:pPr>
      <w:r>
        <w:rPr>
          <w:rFonts w:eastAsia="EUAlbertina-Regular-Identity-H"/>
          <w:lang w:val="uk-UA" w:eastAsia="en-US"/>
        </w:rPr>
        <w:t>Спільна операційна програма Румунія - Україна забезпечує правову основу для фінансування проектів прикордонного співробітництва між двома країнами в період 2014 ÷ 2020. Методологія розробки Спільної оперативної програми Румунія - Україна передбачає  консультацію зацікавлених сторін, соціально-економічний аналіз (SWOT), багатокритеріальний аналіз, а також аналіз досвіду Спільної операційної програми Румунія - Україна - Молдова в період  2007 ÷ 2013. Основні етапи розробки Програми Ро-Уа були:</w:t>
      </w:r>
    </w:p>
    <w:p w:rsidR="00642FB4" w:rsidRDefault="00642FB4">
      <w:pPr>
        <w:numPr>
          <w:ilvl w:val="0"/>
          <w:numId w:val="49"/>
        </w:numPr>
        <w:spacing w:before="60" w:after="60" w:line="288" w:lineRule="auto"/>
        <w:ind w:left="1080"/>
        <w:jc w:val="both"/>
        <w:rPr>
          <w:rFonts w:eastAsia="EUAlbertina-Regular-Identity-H"/>
          <w:lang w:val="uk-UA" w:eastAsia="en-US"/>
        </w:rPr>
      </w:pPr>
      <w:r>
        <w:rPr>
          <w:rFonts w:eastAsia="EUAlbertina-Regular-Identity-H"/>
          <w:lang w:val="uk-UA" w:eastAsia="en-US"/>
        </w:rPr>
        <w:t>Соціально-економічний аналіз (SWOT);</w:t>
      </w:r>
    </w:p>
    <w:p w:rsidR="00642FB4" w:rsidRDefault="00642FB4">
      <w:pPr>
        <w:numPr>
          <w:ilvl w:val="0"/>
          <w:numId w:val="49"/>
        </w:numPr>
        <w:spacing w:before="60" w:after="60" w:line="288" w:lineRule="auto"/>
        <w:ind w:left="1080"/>
        <w:jc w:val="both"/>
        <w:rPr>
          <w:rFonts w:eastAsia="EUAlbertina-Regular-Identity-H"/>
          <w:lang w:val="uk-UA" w:eastAsia="en-US"/>
        </w:rPr>
      </w:pPr>
      <w:r>
        <w:rPr>
          <w:rFonts w:eastAsia="EUAlbertina-Regular-Identity-H"/>
          <w:lang w:val="uk-UA" w:eastAsia="en-US"/>
        </w:rPr>
        <w:t>Попередні консультації, інтерв'ю, фокус-групи, онлайн-опитування;</w:t>
      </w:r>
    </w:p>
    <w:p w:rsidR="00642FB4" w:rsidRDefault="00642FB4">
      <w:pPr>
        <w:numPr>
          <w:ilvl w:val="0"/>
          <w:numId w:val="49"/>
        </w:numPr>
        <w:spacing w:before="60" w:after="60" w:line="288" w:lineRule="auto"/>
        <w:ind w:left="1080"/>
        <w:jc w:val="both"/>
        <w:rPr>
          <w:rFonts w:eastAsia="EUAlbertina-Regular-Identity-H"/>
          <w:lang w:val="uk-UA" w:eastAsia="en-US"/>
        </w:rPr>
      </w:pPr>
      <w:r>
        <w:rPr>
          <w:rFonts w:eastAsia="EUAlbertina-Regular-Identity-H"/>
          <w:lang w:val="uk-UA" w:eastAsia="en-US"/>
        </w:rPr>
        <w:t>Послідовний та багатокритеріальний аналіз;</w:t>
      </w:r>
    </w:p>
    <w:p w:rsidR="00642FB4" w:rsidRDefault="00642FB4">
      <w:pPr>
        <w:numPr>
          <w:ilvl w:val="0"/>
          <w:numId w:val="49"/>
        </w:numPr>
        <w:spacing w:before="60" w:after="60" w:line="288" w:lineRule="auto"/>
        <w:ind w:left="1080"/>
        <w:jc w:val="both"/>
        <w:rPr>
          <w:rFonts w:eastAsia="EUAlbertina-Regular-Identity-H"/>
          <w:lang w:val="uk-UA" w:eastAsia="en-US"/>
        </w:rPr>
      </w:pPr>
      <w:r>
        <w:rPr>
          <w:rFonts w:eastAsia="EUAlbertina-Regular-Identity-H"/>
          <w:lang w:val="uk-UA" w:eastAsia="en-US"/>
        </w:rPr>
        <w:t>Публічні консультації із громадськістю щодо проекту Програми.</w:t>
      </w:r>
    </w:p>
    <w:p w:rsidR="00642FB4" w:rsidRDefault="00642FB4">
      <w:pPr>
        <w:spacing w:before="60" w:after="60" w:line="288" w:lineRule="auto"/>
        <w:ind w:firstLine="720"/>
        <w:jc w:val="both"/>
        <w:rPr>
          <w:lang w:val="uk-UA"/>
        </w:rPr>
      </w:pPr>
      <w:r>
        <w:rPr>
          <w:bCs/>
          <w:lang w:val="uk-UA"/>
        </w:rPr>
        <w:t>Внаслідок результатів аналізів для Програми Румунія - Україна 2014 році ÷ 2020 були затверджені</w:t>
      </w:r>
      <w:r>
        <w:rPr>
          <w:b/>
          <w:bCs/>
          <w:lang w:val="uk-UA"/>
        </w:rPr>
        <w:t xml:space="preserve">  4 тематичні цілі:</w:t>
      </w:r>
    </w:p>
    <w:p w:rsidR="00642FB4" w:rsidRDefault="00642FB4">
      <w:pPr>
        <w:pStyle w:val="ListParagraph"/>
        <w:numPr>
          <w:ilvl w:val="0"/>
          <w:numId w:val="70"/>
        </w:numPr>
        <w:spacing w:before="60" w:after="60" w:line="288" w:lineRule="auto"/>
        <w:jc w:val="both"/>
        <w:rPr>
          <w:rFonts w:cs="Arial"/>
          <w:lang w:val="uk-UA"/>
        </w:rPr>
      </w:pPr>
      <w:r>
        <w:rPr>
          <w:b/>
          <w:i/>
          <w:lang w:val="uk-UA"/>
        </w:rPr>
        <w:t xml:space="preserve">ТЦ2 - </w:t>
      </w:r>
      <w:r>
        <w:rPr>
          <w:rFonts w:cs="Arial"/>
          <w:lang w:val="uk-UA"/>
        </w:rPr>
        <w:t>Підтримка освіти, досліджень, розвитку та технологічних інновацій</w:t>
      </w:r>
    </w:p>
    <w:p w:rsidR="00642FB4" w:rsidRDefault="00642FB4">
      <w:pPr>
        <w:spacing w:before="60" w:after="60" w:line="288" w:lineRule="auto"/>
        <w:ind w:left="720"/>
        <w:jc w:val="both"/>
        <w:rPr>
          <w:lang w:val="uk-UA"/>
        </w:rPr>
      </w:pPr>
    </w:p>
    <w:p w:rsidR="00642FB4" w:rsidRDefault="00642FB4">
      <w:pPr>
        <w:spacing w:before="60" w:after="60" w:line="288" w:lineRule="auto"/>
        <w:ind w:firstLine="360"/>
        <w:jc w:val="both"/>
        <w:rPr>
          <w:lang w:val="uk-UA"/>
        </w:rPr>
      </w:pPr>
      <w:r>
        <w:rPr>
          <w:b/>
          <w:i/>
          <w:lang w:val="uk-UA"/>
        </w:rPr>
        <w:t>Мета 1</w:t>
      </w:r>
      <w:r>
        <w:rPr>
          <w:lang w:val="uk-UA"/>
        </w:rPr>
        <w:t xml:space="preserve">: </w:t>
      </w:r>
      <w:r>
        <w:rPr>
          <w:rFonts w:cs="Arial"/>
          <w:lang w:val="uk-UA"/>
        </w:rPr>
        <w:t>Розвиток системи освіти та підтримка досліджень та інновацій в галузі Програми шляхом сприяння співробітництва на місцевому, регіональному та центральному рівні</w:t>
      </w:r>
      <w:r>
        <w:rPr>
          <w:lang w:val="uk-UA"/>
        </w:rPr>
        <w:t>:</w:t>
      </w:r>
    </w:p>
    <w:p w:rsidR="00642FB4" w:rsidRDefault="00642FB4">
      <w:pPr>
        <w:numPr>
          <w:ilvl w:val="0"/>
          <w:numId w:val="17"/>
        </w:numPr>
        <w:spacing w:before="60" w:after="60" w:line="288" w:lineRule="auto"/>
        <w:jc w:val="both"/>
        <w:rPr>
          <w:i/>
          <w:lang w:val="uk-UA"/>
        </w:rPr>
      </w:pPr>
      <w:r>
        <w:rPr>
          <w:i/>
          <w:lang w:val="uk-UA"/>
        </w:rPr>
        <w:t>Пріоритет 1.1</w:t>
      </w:r>
      <w:r>
        <w:rPr>
          <w:lang w:val="uk-UA"/>
        </w:rPr>
        <w:t xml:space="preserve"> – </w:t>
      </w:r>
      <w:r>
        <w:rPr>
          <w:rFonts w:cs="Arial"/>
          <w:lang w:val="uk-UA"/>
        </w:rPr>
        <w:t>Інституційне співробітництво в галузі освіти для розширення доступу до освіти та підвищення якості освіти</w:t>
      </w:r>
      <w:r>
        <w:rPr>
          <w:i/>
          <w:lang w:val="uk-UA"/>
        </w:rPr>
        <w:t>;</w:t>
      </w:r>
    </w:p>
    <w:p w:rsidR="00642FB4" w:rsidRDefault="00642FB4">
      <w:pPr>
        <w:numPr>
          <w:ilvl w:val="0"/>
          <w:numId w:val="17"/>
        </w:numPr>
        <w:spacing w:before="60" w:after="60" w:line="288" w:lineRule="auto"/>
        <w:jc w:val="both"/>
        <w:rPr>
          <w:lang w:val="uk-UA"/>
        </w:rPr>
      </w:pPr>
      <w:r>
        <w:rPr>
          <w:i/>
          <w:lang w:val="uk-UA"/>
        </w:rPr>
        <w:t xml:space="preserve">Пріоритет </w:t>
      </w:r>
      <w:r>
        <w:rPr>
          <w:lang w:val="uk-UA"/>
        </w:rPr>
        <w:t xml:space="preserve">1.2 – </w:t>
      </w:r>
      <w:r>
        <w:rPr>
          <w:rFonts w:cs="Arial"/>
          <w:lang w:val="uk-UA"/>
        </w:rPr>
        <w:t>Розвиток і підтримка досліджень та інновацій</w:t>
      </w:r>
      <w:r>
        <w:rPr>
          <w:lang w:val="uk-UA"/>
        </w:rPr>
        <w:t>.</w:t>
      </w:r>
    </w:p>
    <w:p w:rsidR="00642FB4" w:rsidRDefault="00642FB4">
      <w:pPr>
        <w:spacing w:before="60" w:after="60" w:line="288" w:lineRule="auto"/>
        <w:ind w:left="2160"/>
        <w:jc w:val="both"/>
        <w:rPr>
          <w:lang w:val="uk-UA"/>
        </w:rPr>
      </w:pPr>
    </w:p>
    <w:p w:rsidR="00642FB4" w:rsidRDefault="00642FB4">
      <w:pPr>
        <w:numPr>
          <w:ilvl w:val="0"/>
          <w:numId w:val="29"/>
        </w:numPr>
        <w:spacing w:before="60" w:after="60" w:line="288" w:lineRule="auto"/>
        <w:jc w:val="both"/>
        <w:rPr>
          <w:b/>
          <w:i/>
          <w:lang w:val="uk-UA"/>
        </w:rPr>
      </w:pPr>
      <w:r>
        <w:rPr>
          <w:b/>
          <w:i/>
          <w:lang w:val="uk-UA"/>
        </w:rPr>
        <w:t xml:space="preserve">ТЦ3- </w:t>
      </w:r>
      <w:r>
        <w:rPr>
          <w:rFonts w:cs="Arial"/>
          <w:b/>
          <w:lang w:val="uk-UA"/>
        </w:rPr>
        <w:t>Просування місцевої культури і збереження історичної спадщини</w:t>
      </w:r>
    </w:p>
    <w:p w:rsidR="00642FB4" w:rsidRDefault="00642FB4">
      <w:pPr>
        <w:spacing w:before="60" w:after="60" w:line="288" w:lineRule="auto"/>
        <w:ind w:firstLine="360"/>
        <w:jc w:val="both"/>
        <w:rPr>
          <w:b/>
          <w:i/>
          <w:lang w:val="uk-UA"/>
        </w:rPr>
      </w:pPr>
      <w:r>
        <w:rPr>
          <w:b/>
          <w:i/>
          <w:lang w:val="uk-UA"/>
        </w:rPr>
        <w:t xml:space="preserve">Мета 2:  </w:t>
      </w:r>
      <w:r>
        <w:rPr>
          <w:rFonts w:cs="Arial"/>
          <w:lang w:val="uk-UA"/>
        </w:rPr>
        <w:t>Консервація культурної та історичної спадщини на програмній території, підтримка розвитку місцевої культури, культурної самобутності та культурного діалогу, сприяючи підвищенню привабливості програмної території</w:t>
      </w:r>
      <w:r>
        <w:rPr>
          <w:lang w:val="uk-UA"/>
        </w:rPr>
        <w:t>.</w:t>
      </w:r>
    </w:p>
    <w:p w:rsidR="00642FB4" w:rsidRDefault="00642FB4">
      <w:pPr>
        <w:numPr>
          <w:ilvl w:val="0"/>
          <w:numId w:val="17"/>
        </w:numPr>
        <w:spacing w:before="60" w:after="60" w:line="288" w:lineRule="auto"/>
        <w:jc w:val="both"/>
        <w:rPr>
          <w:i/>
          <w:lang w:val="uk-UA"/>
        </w:rPr>
      </w:pPr>
      <w:r>
        <w:rPr>
          <w:i/>
          <w:lang w:val="uk-UA"/>
        </w:rPr>
        <w:t xml:space="preserve">Пріоритет 2.1 – </w:t>
      </w:r>
      <w:r>
        <w:rPr>
          <w:rFonts w:cs="Arial"/>
          <w:lang w:val="uk-UA"/>
        </w:rPr>
        <w:t>Консервація</w:t>
      </w:r>
      <w:r>
        <w:rPr>
          <w:rFonts w:cs="Arial"/>
          <w:i/>
          <w:lang w:val="uk-UA"/>
        </w:rPr>
        <w:t xml:space="preserve"> </w:t>
      </w:r>
      <w:r>
        <w:rPr>
          <w:rFonts w:cs="Arial"/>
          <w:lang w:val="uk-UA"/>
        </w:rPr>
        <w:t>та просування культурної та історичної спадщини</w:t>
      </w:r>
    </w:p>
    <w:p w:rsidR="00642FB4" w:rsidRDefault="00642FB4">
      <w:pPr>
        <w:spacing w:before="60" w:after="60" w:line="288" w:lineRule="auto"/>
        <w:jc w:val="both"/>
        <w:rPr>
          <w:lang w:val="uk-UA"/>
        </w:rPr>
      </w:pPr>
    </w:p>
    <w:p w:rsidR="00642FB4" w:rsidRDefault="00642FB4">
      <w:pPr>
        <w:numPr>
          <w:ilvl w:val="0"/>
          <w:numId w:val="29"/>
        </w:numPr>
        <w:spacing w:before="60" w:after="60" w:line="288" w:lineRule="auto"/>
        <w:jc w:val="both"/>
        <w:rPr>
          <w:b/>
          <w:i/>
          <w:lang w:val="uk-UA"/>
        </w:rPr>
      </w:pPr>
      <w:r>
        <w:rPr>
          <w:b/>
          <w:i/>
          <w:lang w:val="uk-UA"/>
        </w:rPr>
        <w:t xml:space="preserve">ТЦ7 - </w:t>
      </w:r>
      <w:r>
        <w:rPr>
          <w:rFonts w:cs="Arial"/>
          <w:lang w:val="uk-UA"/>
        </w:rPr>
        <w:t>Підвищення доступності в регіонах, розвиток транспортних та комунікаційних систем та мереж</w:t>
      </w:r>
      <w:r>
        <w:rPr>
          <w:i/>
          <w:lang w:val="uk-UA"/>
        </w:rPr>
        <w:t>:</w:t>
      </w:r>
    </w:p>
    <w:p w:rsidR="00642FB4" w:rsidRDefault="00642FB4">
      <w:pPr>
        <w:spacing w:before="60" w:after="60" w:line="288" w:lineRule="auto"/>
        <w:ind w:firstLine="360"/>
        <w:jc w:val="both"/>
        <w:rPr>
          <w:lang w:val="uk-UA"/>
        </w:rPr>
      </w:pPr>
      <w:r>
        <w:rPr>
          <w:b/>
          <w:i/>
          <w:lang w:val="uk-UA"/>
        </w:rPr>
        <w:t>Мета 3</w:t>
      </w:r>
      <w:r>
        <w:rPr>
          <w:lang w:val="uk-UA"/>
        </w:rPr>
        <w:t xml:space="preserve">: </w:t>
      </w:r>
      <w:r>
        <w:rPr>
          <w:rFonts w:cs="Arial"/>
          <w:lang w:val="uk-UA"/>
        </w:rPr>
        <w:t>Поліпшення послуг в галузі громадського транспорту, інфраструктури, співпраці та мереж ІТК</w:t>
      </w:r>
    </w:p>
    <w:p w:rsidR="00642FB4" w:rsidRDefault="00642FB4">
      <w:pPr>
        <w:spacing w:before="60" w:after="60" w:line="288" w:lineRule="auto"/>
        <w:jc w:val="both"/>
        <w:rPr>
          <w:rFonts w:cs="Arial"/>
          <w:lang w:val="uk-UA"/>
        </w:rPr>
      </w:pPr>
      <w:r>
        <w:rPr>
          <w:i/>
          <w:lang w:val="uk-UA"/>
        </w:rPr>
        <w:t xml:space="preserve"> </w:t>
      </w:r>
    </w:p>
    <w:p w:rsidR="00642FB4" w:rsidRDefault="00642FB4">
      <w:pPr>
        <w:numPr>
          <w:ilvl w:val="0"/>
          <w:numId w:val="18"/>
        </w:numPr>
        <w:spacing w:before="60" w:after="60" w:line="288" w:lineRule="auto"/>
        <w:jc w:val="both"/>
        <w:rPr>
          <w:i/>
          <w:lang w:val="uk-UA"/>
        </w:rPr>
      </w:pPr>
      <w:r>
        <w:rPr>
          <w:i/>
          <w:lang w:val="uk-UA"/>
        </w:rPr>
        <w:t>Пріоритет 3.1 –</w:t>
      </w:r>
      <w:r>
        <w:rPr>
          <w:lang w:val="uk-UA"/>
        </w:rPr>
        <w:t xml:space="preserve"> </w:t>
      </w:r>
      <w:r>
        <w:rPr>
          <w:rFonts w:cs="Arial"/>
          <w:lang w:val="uk-UA"/>
        </w:rPr>
        <w:t>Розвиток транскордонної транспортної інфраструктури та інструментів ITК</w:t>
      </w:r>
      <w:r>
        <w:rPr>
          <w:lang w:val="uk-UA"/>
        </w:rPr>
        <w:t>.</w:t>
      </w:r>
    </w:p>
    <w:p w:rsidR="00642FB4" w:rsidRDefault="00642FB4">
      <w:pPr>
        <w:spacing w:before="60" w:after="60" w:line="288" w:lineRule="auto"/>
        <w:ind w:left="2160"/>
        <w:jc w:val="both"/>
        <w:rPr>
          <w:i/>
          <w:lang w:val="uk-UA"/>
        </w:rPr>
      </w:pPr>
    </w:p>
    <w:p w:rsidR="00642FB4" w:rsidRDefault="00642FB4">
      <w:pPr>
        <w:numPr>
          <w:ilvl w:val="0"/>
          <w:numId w:val="29"/>
        </w:numPr>
        <w:spacing w:before="60" w:after="60" w:line="288" w:lineRule="auto"/>
        <w:jc w:val="both"/>
        <w:rPr>
          <w:b/>
          <w:i/>
          <w:lang w:val="uk-UA"/>
        </w:rPr>
      </w:pPr>
      <w:r>
        <w:rPr>
          <w:b/>
          <w:i/>
          <w:lang w:val="uk-UA"/>
        </w:rPr>
        <w:t xml:space="preserve">ТЦ8 - </w:t>
      </w:r>
      <w:r>
        <w:rPr>
          <w:rFonts w:cs="Arial"/>
          <w:b/>
          <w:lang w:val="uk-UA"/>
        </w:rPr>
        <w:t>Спільні виклики у сфері безпеки та захисту</w:t>
      </w:r>
    </w:p>
    <w:p w:rsidR="00642FB4" w:rsidRDefault="00642FB4">
      <w:pPr>
        <w:spacing w:before="60" w:after="60" w:line="288" w:lineRule="auto"/>
        <w:ind w:firstLine="360"/>
        <w:jc w:val="both"/>
        <w:rPr>
          <w:i/>
          <w:lang w:val="uk-UA"/>
        </w:rPr>
      </w:pPr>
      <w:r>
        <w:rPr>
          <w:b/>
          <w:i/>
          <w:lang w:val="uk-UA"/>
        </w:rPr>
        <w:t xml:space="preserve">Мета 4: </w:t>
      </w:r>
      <w:r>
        <w:rPr>
          <w:rFonts w:cs="Arial"/>
          <w:i/>
          <w:lang w:val="uk-UA"/>
        </w:rPr>
        <w:t>Спільні виклики у галузі транскордонної  безпеки, доступ до охорони здоров'я, управління природних та антропогенних ризиків та надзвичайних ситуацій у спільних проектах</w:t>
      </w:r>
      <w:r>
        <w:rPr>
          <w:lang w:val="uk-UA"/>
        </w:rPr>
        <w:t xml:space="preserve"> </w:t>
      </w:r>
    </w:p>
    <w:p w:rsidR="00642FB4" w:rsidRDefault="00642FB4">
      <w:pPr>
        <w:pStyle w:val="ListParagraph"/>
        <w:numPr>
          <w:ilvl w:val="0"/>
          <w:numId w:val="18"/>
        </w:numPr>
        <w:spacing w:before="60" w:after="60" w:line="288" w:lineRule="auto"/>
        <w:jc w:val="both"/>
        <w:rPr>
          <w:rFonts w:cs="Arial"/>
          <w:b/>
          <w:lang w:val="uk-UA"/>
        </w:rPr>
      </w:pPr>
      <w:r>
        <w:rPr>
          <w:i/>
          <w:lang w:val="uk-UA"/>
        </w:rPr>
        <w:t>Пріоритет 4.1 –</w:t>
      </w:r>
      <w:r>
        <w:rPr>
          <w:lang w:val="uk-UA"/>
        </w:rPr>
        <w:t xml:space="preserve"> </w:t>
      </w:r>
      <w:r>
        <w:rPr>
          <w:rFonts w:cs="Arial"/>
          <w:lang w:val="uk-UA"/>
        </w:rPr>
        <w:t>Підтримка розвитку медичних послуг та доступ до охорони здоров'я</w:t>
      </w:r>
      <w:r>
        <w:rPr>
          <w:lang w:val="uk-UA"/>
        </w:rPr>
        <w:t>;</w:t>
      </w:r>
    </w:p>
    <w:p w:rsidR="00642FB4" w:rsidRDefault="00642FB4">
      <w:pPr>
        <w:numPr>
          <w:ilvl w:val="0"/>
          <w:numId w:val="18"/>
        </w:numPr>
        <w:spacing w:before="60" w:after="60" w:line="288" w:lineRule="auto"/>
        <w:jc w:val="both"/>
        <w:rPr>
          <w:i/>
          <w:lang w:val="uk-UA"/>
        </w:rPr>
      </w:pPr>
      <w:r>
        <w:rPr>
          <w:i/>
          <w:lang w:val="uk-UA"/>
        </w:rPr>
        <w:t xml:space="preserve">Пріоритет 4.2 – </w:t>
      </w:r>
      <w:r>
        <w:rPr>
          <w:rFonts w:cs="Arial"/>
          <w:lang w:val="uk-UA"/>
        </w:rPr>
        <w:t>Підтримка спільних заходів щодо попередження природних катастроф і катастроф викликаних людьми та спільні заходи під час надзвичайних ситуацій</w:t>
      </w:r>
      <w:r>
        <w:rPr>
          <w:lang w:val="uk-UA"/>
        </w:rPr>
        <w:t>;</w:t>
      </w:r>
    </w:p>
    <w:p w:rsidR="00642FB4" w:rsidRDefault="00642FB4">
      <w:pPr>
        <w:numPr>
          <w:ilvl w:val="0"/>
          <w:numId w:val="18"/>
        </w:numPr>
        <w:spacing w:before="60" w:after="60" w:line="288" w:lineRule="auto"/>
        <w:jc w:val="both"/>
        <w:rPr>
          <w:i/>
          <w:lang w:val="uk-UA"/>
        </w:rPr>
      </w:pPr>
      <w:r>
        <w:rPr>
          <w:i/>
          <w:lang w:val="uk-UA"/>
        </w:rPr>
        <w:t xml:space="preserve">Пріоритет 4.3 - </w:t>
      </w:r>
      <w:r>
        <w:rPr>
          <w:lang w:val="uk-UA"/>
        </w:rPr>
        <w:t xml:space="preserve"> </w:t>
      </w:r>
      <w:r>
        <w:rPr>
          <w:rFonts w:cs="Arial"/>
          <w:lang w:val="uk-UA"/>
        </w:rPr>
        <w:t>Запобігання та боротьба з організованою злочинністю і співробітництво між органами поліції</w:t>
      </w:r>
    </w:p>
    <w:p w:rsidR="00642FB4" w:rsidRDefault="00642FB4">
      <w:pPr>
        <w:spacing w:before="60" w:after="60" w:line="288" w:lineRule="auto"/>
        <w:ind w:firstLine="720"/>
        <w:jc w:val="both"/>
        <w:rPr>
          <w:lang w:val="uk-UA"/>
        </w:rPr>
      </w:pPr>
      <w:r>
        <w:rPr>
          <w:lang w:val="uk-UA"/>
        </w:rPr>
        <w:t>Ці 4-х тематичні цілі були визначені у рамках Спільного програмного комітету, де був завершений і попередній список Великих інфраструктурних проектів, з майбутнім визначенням тих проектів, які будуть мати найбільше значення для програмної території.</w:t>
      </w:r>
    </w:p>
    <w:p w:rsidR="00642FB4" w:rsidRDefault="00642FB4">
      <w:pPr>
        <w:spacing w:before="60" w:after="60" w:line="288" w:lineRule="auto"/>
        <w:ind w:firstLine="720"/>
        <w:jc w:val="both"/>
        <w:rPr>
          <w:lang w:val="uk-UA"/>
        </w:rPr>
      </w:pPr>
      <w:r>
        <w:rPr>
          <w:lang w:val="uk-UA"/>
        </w:rPr>
        <w:t xml:space="preserve">В період 2014 </w:t>
      </w:r>
      <w:r>
        <w:rPr>
          <w:rFonts w:cs="Arial"/>
          <w:lang w:val="uk-UA"/>
        </w:rPr>
        <w:t>÷</w:t>
      </w:r>
      <w:r>
        <w:rPr>
          <w:lang w:val="uk-UA"/>
        </w:rPr>
        <w:t xml:space="preserve"> 2020, Європейський союз фінансуватиме Спільну операційну програму Румунія - Україна, за допомогою Європейського інструменту сусідства (ЄІС).</w:t>
      </w:r>
    </w:p>
    <w:p w:rsidR="00642FB4" w:rsidRDefault="00642FB4">
      <w:pPr>
        <w:spacing w:before="60" w:after="60" w:line="288" w:lineRule="auto"/>
        <w:ind w:firstLine="720"/>
        <w:jc w:val="both"/>
        <w:rPr>
          <w:lang w:val="uk-UA"/>
        </w:rPr>
      </w:pPr>
      <w:r>
        <w:rPr>
          <w:lang w:val="uk-UA"/>
        </w:rPr>
        <w:t>Програма призначається для прилеглих регіонів на кордоні між Румунією та Україною і сприятиме досягненню загальної мети Європейського інструменту сусідства: еволюція регіону на шлях процвітання та добросусідських відносин, досягнуті за допомогою прикордонного співробітництва на благо сусідніх держав та держав ЄС.</w:t>
      </w:r>
    </w:p>
    <w:p w:rsidR="00642FB4" w:rsidRDefault="00642FB4">
      <w:pPr>
        <w:spacing w:before="60" w:after="60" w:line="288" w:lineRule="auto"/>
        <w:jc w:val="both"/>
        <w:rPr>
          <w:rFonts w:eastAsia="EUAlbertina-Regular-Identity-H"/>
          <w:lang w:val="uk-UA" w:eastAsia="en-US"/>
        </w:rPr>
      </w:pPr>
    </w:p>
    <w:p w:rsidR="00642FB4" w:rsidRDefault="00642FB4">
      <w:pPr>
        <w:pStyle w:val="Heading1"/>
        <w:jc w:val="both"/>
        <w:rPr>
          <w:rFonts w:ascii="Arial" w:hAnsi="Arial" w:cs="Arial"/>
          <w:sz w:val="24"/>
          <w:szCs w:val="24"/>
          <w:lang w:val="uk-UA" w:eastAsia="en-US"/>
        </w:rPr>
      </w:pPr>
      <w:bookmarkStart w:id="4" w:name="_Toc419199656"/>
      <w:r>
        <w:rPr>
          <w:rFonts w:ascii="Arial" w:hAnsi="Arial" w:cs="Arial"/>
          <w:sz w:val="24"/>
          <w:szCs w:val="24"/>
          <w:lang w:val="uk-UA" w:eastAsia="en-US"/>
        </w:rPr>
        <w:t>2.2  Програмна територія</w:t>
      </w:r>
      <w:bookmarkEnd w:id="4"/>
    </w:p>
    <w:p w:rsidR="00642FB4" w:rsidRDefault="00642FB4">
      <w:pPr>
        <w:spacing w:before="60" w:after="60" w:line="288" w:lineRule="auto"/>
        <w:jc w:val="both"/>
        <w:rPr>
          <w:rFonts w:eastAsia="EUAlbertina-Regular-Identity-H"/>
          <w:lang w:val="uk-UA" w:eastAsia="en-US"/>
        </w:rPr>
      </w:pPr>
    </w:p>
    <w:p w:rsidR="00642FB4" w:rsidRDefault="00642FB4">
      <w:pPr>
        <w:spacing w:before="60" w:after="60" w:line="288" w:lineRule="auto"/>
        <w:ind w:firstLine="709"/>
        <w:jc w:val="both"/>
        <w:rPr>
          <w:rFonts w:cs="Arial"/>
          <w:lang w:val="uk-UA"/>
        </w:rPr>
      </w:pPr>
      <w:r>
        <w:rPr>
          <w:rStyle w:val="hps"/>
          <w:rFonts w:cs="Arial"/>
          <w:lang w:val="uk-UA"/>
        </w:rPr>
        <w:t>Спільна Операційна Програма</w:t>
      </w:r>
      <w:r>
        <w:rPr>
          <w:rFonts w:cs="Arial"/>
          <w:lang w:val="uk-UA"/>
        </w:rPr>
        <w:t xml:space="preserve"> Румунія – Україна </w:t>
      </w:r>
      <w:r>
        <w:rPr>
          <w:rStyle w:val="hps"/>
          <w:rFonts w:cs="Arial"/>
          <w:lang w:val="uk-UA"/>
        </w:rPr>
        <w:t>2014 ÷ 2020</w:t>
      </w:r>
      <w:r>
        <w:rPr>
          <w:rFonts w:cs="Arial"/>
          <w:lang w:val="uk-UA"/>
        </w:rPr>
        <w:t xml:space="preserve"> охоплює наступні регіони:</w:t>
      </w:r>
    </w:p>
    <w:p w:rsidR="00642FB4" w:rsidRDefault="00642FB4">
      <w:pPr>
        <w:spacing w:before="60" w:after="60" w:line="288" w:lineRule="auto"/>
        <w:ind w:firstLine="709"/>
        <w:jc w:val="both"/>
        <w:rPr>
          <w:i/>
          <w:lang w:val="uk-UA"/>
        </w:rPr>
      </w:pPr>
      <w:r>
        <w:rPr>
          <w:b/>
          <w:bCs/>
          <w:lang w:val="uk-UA"/>
        </w:rPr>
        <w:t>Румунія:</w:t>
      </w:r>
      <w:r>
        <w:rPr>
          <w:lang w:val="uk-UA"/>
        </w:rPr>
        <w:t> </w:t>
      </w:r>
      <w:r>
        <w:rPr>
          <w:lang w:val="uk-UA"/>
        </w:rPr>
        <w:tab/>
      </w:r>
      <w:r>
        <w:rPr>
          <w:b/>
          <w:lang w:val="uk-UA"/>
        </w:rPr>
        <w:t>5 повітів</w:t>
      </w:r>
      <w:r>
        <w:rPr>
          <w:lang w:val="uk-UA"/>
        </w:rPr>
        <w:t xml:space="preserve">: </w:t>
      </w:r>
      <w:r>
        <w:rPr>
          <w:i/>
          <w:lang w:val="uk-UA"/>
        </w:rPr>
        <w:t>Сату-Маре, Марамуреш, Ботошань, Сучава, Тулча;</w:t>
      </w:r>
    </w:p>
    <w:p w:rsidR="00642FB4" w:rsidRDefault="00642FB4">
      <w:pPr>
        <w:spacing w:before="60" w:after="60" w:line="288" w:lineRule="auto"/>
        <w:ind w:firstLine="709"/>
        <w:jc w:val="both"/>
        <w:rPr>
          <w:lang w:val="uk-UA"/>
        </w:rPr>
      </w:pPr>
      <w:r>
        <w:rPr>
          <w:b/>
          <w:bCs/>
          <w:lang w:val="uk-UA"/>
        </w:rPr>
        <w:t>Україна:</w:t>
      </w:r>
      <w:r>
        <w:rPr>
          <w:lang w:val="uk-UA"/>
        </w:rPr>
        <w:t xml:space="preserve">  </w:t>
      </w:r>
      <w:r>
        <w:rPr>
          <w:lang w:val="uk-UA"/>
        </w:rPr>
        <w:tab/>
      </w:r>
      <w:r>
        <w:rPr>
          <w:b/>
          <w:lang w:val="uk-UA"/>
        </w:rPr>
        <w:t>4 області</w:t>
      </w:r>
      <w:r>
        <w:rPr>
          <w:lang w:val="uk-UA"/>
        </w:rPr>
        <w:t xml:space="preserve">: </w:t>
      </w:r>
      <w:r>
        <w:rPr>
          <w:i/>
          <w:lang w:val="uk-UA"/>
        </w:rPr>
        <w:t>Івано-Франківськ, Закарпатська, Чернівецька, Одеська.</w:t>
      </w:r>
    </w:p>
    <w:p w:rsidR="00642FB4" w:rsidRDefault="00642FB4">
      <w:pPr>
        <w:jc w:val="both"/>
        <w:rPr>
          <w:rFonts w:ascii="Times New Roman" w:eastAsia="Calibri" w:hAnsi="Times New Roman"/>
          <w:sz w:val="20"/>
          <w:szCs w:val="20"/>
          <w:lang w:val="uk-UA"/>
        </w:rPr>
      </w:pPr>
    </w:p>
    <w:p w:rsidR="00642FB4" w:rsidRDefault="00642FB4">
      <w:pPr>
        <w:spacing w:before="60" w:after="60" w:line="288" w:lineRule="auto"/>
        <w:ind w:firstLine="709"/>
        <w:jc w:val="both"/>
        <w:rPr>
          <w:rFonts w:eastAsia="EUAlbertina-Regular-Identity-H"/>
          <w:lang w:val="uk-UA" w:eastAsia="en-US"/>
        </w:rPr>
      </w:pPr>
      <w:r>
        <w:rPr>
          <w:rFonts w:eastAsia="EUAlbertina-Regular-Identity-H"/>
          <w:lang w:val="uk-UA" w:eastAsia="en-US"/>
        </w:rPr>
        <w:t>Прийнятні основні регіони включають загалом площу в 100.860 км</w:t>
      </w:r>
      <w:r>
        <w:rPr>
          <w:rFonts w:eastAsia="EUAlbertina-Regular-Identity-H"/>
          <w:vertAlign w:val="superscript"/>
          <w:lang w:val="uk-UA" w:eastAsia="en-US"/>
        </w:rPr>
        <w:t>2</w:t>
      </w:r>
      <w:r>
        <w:rPr>
          <w:rFonts w:eastAsia="EUAlbertina-Regular-Identity-H"/>
          <w:lang w:val="uk-UA" w:eastAsia="en-US"/>
        </w:rPr>
        <w:t>, з яких:</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eastAsia="EUAlbertina-Regular-Identity-H"/>
          <w:i/>
          <w:lang w:val="uk-UA" w:eastAsia="en-US"/>
        </w:rPr>
        <w:t>румунська територія</w:t>
      </w:r>
      <w:r>
        <w:rPr>
          <w:rFonts w:eastAsia="EUAlbertina-Regular-Identity-H"/>
          <w:lang w:val="uk-UA" w:eastAsia="en-US"/>
        </w:rPr>
        <w:t>:      32.760 км</w:t>
      </w:r>
      <w:r>
        <w:rPr>
          <w:rFonts w:eastAsia="EUAlbertina-Regular-Identity-H"/>
          <w:vertAlign w:val="superscript"/>
          <w:lang w:val="uk-UA" w:eastAsia="en-US"/>
        </w:rPr>
        <w:t>2</w:t>
      </w:r>
      <w:r>
        <w:rPr>
          <w:rFonts w:eastAsia="EUAlbertina-Regular-Identity-H"/>
          <w:lang w:val="uk-UA" w:eastAsia="en-US"/>
        </w:rPr>
        <w:t xml:space="preserve"> (</w:t>
      </w:r>
      <w:r>
        <w:rPr>
          <w:i/>
          <w:lang w:val="uk-UA"/>
        </w:rPr>
        <w:t>Сучава</w:t>
      </w:r>
      <w:r>
        <w:rPr>
          <w:rFonts w:eastAsia="EUAlbertina-Regular-Identity-H"/>
          <w:lang w:val="uk-UA" w:eastAsia="en-US"/>
        </w:rPr>
        <w:t xml:space="preserve"> 8.553 км</w:t>
      </w:r>
      <w:r>
        <w:rPr>
          <w:rFonts w:eastAsia="EUAlbertina-Regular-Identity-H"/>
          <w:vertAlign w:val="superscript"/>
          <w:lang w:val="uk-UA" w:eastAsia="en-US"/>
        </w:rPr>
        <w:t>2</w:t>
      </w:r>
      <w:r>
        <w:rPr>
          <w:rFonts w:eastAsia="EUAlbertina-Regular-Identity-H"/>
          <w:lang w:val="uk-UA" w:eastAsia="en-US"/>
        </w:rPr>
        <w:t xml:space="preserve">, </w:t>
      </w:r>
      <w:r>
        <w:rPr>
          <w:i/>
          <w:lang w:val="uk-UA"/>
        </w:rPr>
        <w:t>Ботошань</w:t>
      </w:r>
      <w:r>
        <w:rPr>
          <w:rFonts w:eastAsia="EUAlbertina-Regular-Identity-H"/>
          <w:lang w:val="uk-UA" w:eastAsia="en-US"/>
        </w:rPr>
        <w:t xml:space="preserve"> 4.986 км</w:t>
      </w:r>
      <w:r>
        <w:rPr>
          <w:rFonts w:eastAsia="EUAlbertina-Regular-Identity-H"/>
          <w:vertAlign w:val="superscript"/>
          <w:lang w:val="uk-UA" w:eastAsia="en-US"/>
        </w:rPr>
        <w:t>2</w:t>
      </w:r>
      <w:r>
        <w:rPr>
          <w:rFonts w:eastAsia="EUAlbertina-Regular-Identity-H"/>
          <w:lang w:val="uk-UA" w:eastAsia="en-US"/>
        </w:rPr>
        <w:t xml:space="preserve">, </w:t>
      </w:r>
      <w:r>
        <w:rPr>
          <w:i/>
          <w:lang w:val="uk-UA"/>
        </w:rPr>
        <w:t>Сату-Маре</w:t>
      </w:r>
      <w:r>
        <w:rPr>
          <w:rFonts w:eastAsia="EUAlbertina-Regular-Identity-H"/>
          <w:lang w:val="uk-UA" w:eastAsia="en-US"/>
        </w:rPr>
        <w:t xml:space="preserve"> 4418 км</w:t>
      </w:r>
      <w:r>
        <w:rPr>
          <w:rFonts w:eastAsia="EUAlbertina-Regular-Identity-H"/>
          <w:vertAlign w:val="superscript"/>
          <w:lang w:val="uk-UA" w:eastAsia="en-US"/>
        </w:rPr>
        <w:t>2</w:t>
      </w:r>
      <w:r>
        <w:rPr>
          <w:rFonts w:eastAsia="EUAlbertina-Regular-Identity-H"/>
          <w:lang w:val="uk-UA" w:eastAsia="en-US"/>
        </w:rPr>
        <w:t xml:space="preserve">, </w:t>
      </w:r>
      <w:r>
        <w:rPr>
          <w:i/>
          <w:lang w:val="uk-UA"/>
        </w:rPr>
        <w:t>Марамуреш</w:t>
      </w:r>
      <w:r>
        <w:rPr>
          <w:rFonts w:eastAsia="EUAlbertina-Regular-Identity-H"/>
          <w:lang w:val="uk-UA" w:eastAsia="en-US"/>
        </w:rPr>
        <w:t xml:space="preserve"> 6.304 км</w:t>
      </w:r>
      <w:r>
        <w:rPr>
          <w:rFonts w:eastAsia="EUAlbertina-Regular-Identity-H"/>
          <w:vertAlign w:val="superscript"/>
          <w:lang w:val="uk-UA" w:eastAsia="en-US"/>
        </w:rPr>
        <w:t>2</w:t>
      </w:r>
      <w:r>
        <w:rPr>
          <w:rFonts w:eastAsia="EUAlbertina-Regular-Identity-H"/>
          <w:lang w:val="uk-UA" w:eastAsia="en-US"/>
        </w:rPr>
        <w:t xml:space="preserve">, </w:t>
      </w:r>
      <w:r>
        <w:rPr>
          <w:i/>
          <w:lang w:val="uk-UA"/>
        </w:rPr>
        <w:t>Тулча</w:t>
      </w:r>
      <w:r>
        <w:rPr>
          <w:rFonts w:eastAsia="EUAlbertina-Regular-Identity-H"/>
          <w:lang w:val="uk-UA" w:eastAsia="en-US"/>
        </w:rPr>
        <w:t xml:space="preserve"> 8.499 км</w:t>
      </w:r>
      <w:r>
        <w:rPr>
          <w:rFonts w:eastAsia="EUAlbertina-Regular-Identity-H"/>
          <w:vertAlign w:val="superscript"/>
          <w:lang w:val="uk-UA" w:eastAsia="en-US"/>
        </w:rPr>
        <w:t>2</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eastAsia="EUAlbertina-Regular-Identity-H"/>
          <w:i/>
          <w:lang w:val="uk-UA" w:eastAsia="en-US"/>
        </w:rPr>
        <w:t>українська територія:</w:t>
      </w:r>
      <w:r>
        <w:rPr>
          <w:rFonts w:eastAsia="EUAlbertina-Regular-Identity-H"/>
          <w:lang w:val="uk-UA" w:eastAsia="en-US"/>
        </w:rPr>
        <w:t xml:space="preserve"> </w:t>
      </w:r>
      <w:r>
        <w:rPr>
          <w:rFonts w:eastAsia="EUAlbertina-Regular-Identity-H"/>
          <w:lang w:val="uk-UA" w:eastAsia="en-US"/>
        </w:rPr>
        <w:tab/>
        <w:t>68.100 км</w:t>
      </w:r>
      <w:r>
        <w:rPr>
          <w:rFonts w:eastAsia="EUAlbertina-Regular-Identity-H"/>
          <w:vertAlign w:val="superscript"/>
          <w:lang w:val="uk-UA" w:eastAsia="en-US"/>
        </w:rPr>
        <w:t>2</w:t>
      </w:r>
      <w:r>
        <w:rPr>
          <w:rFonts w:eastAsia="EUAlbertina-Regular-Identity-H"/>
          <w:lang w:val="uk-UA" w:eastAsia="en-US"/>
        </w:rPr>
        <w:t xml:space="preserve"> (Закарпаття 12.800 км</w:t>
      </w:r>
      <w:r>
        <w:rPr>
          <w:rFonts w:eastAsia="EUAlbertina-Regular-Identity-H"/>
          <w:vertAlign w:val="superscript"/>
          <w:lang w:val="uk-UA" w:eastAsia="en-US"/>
        </w:rPr>
        <w:t>2</w:t>
      </w:r>
      <w:r>
        <w:rPr>
          <w:rFonts w:eastAsia="EUAlbertina-Regular-Identity-H"/>
          <w:lang w:val="uk-UA" w:eastAsia="en-US"/>
        </w:rPr>
        <w:t xml:space="preserve">, </w:t>
      </w:r>
      <w:r>
        <w:rPr>
          <w:i/>
          <w:lang w:val="uk-UA"/>
        </w:rPr>
        <w:t>Івано-Франківськ</w:t>
      </w:r>
      <w:r>
        <w:rPr>
          <w:rFonts w:eastAsia="EUAlbertina-Regular-Identity-H"/>
          <w:lang w:val="uk-UA" w:eastAsia="en-US"/>
        </w:rPr>
        <w:t xml:space="preserve"> 13.900 км</w:t>
      </w:r>
      <w:r>
        <w:rPr>
          <w:rFonts w:eastAsia="EUAlbertina-Regular-Identity-H"/>
          <w:vertAlign w:val="superscript"/>
          <w:lang w:val="uk-UA" w:eastAsia="en-US"/>
        </w:rPr>
        <w:t>2</w:t>
      </w:r>
      <w:r>
        <w:rPr>
          <w:rFonts w:eastAsia="EUAlbertina-Regular-Identity-H"/>
          <w:lang w:val="uk-UA" w:eastAsia="en-US"/>
        </w:rPr>
        <w:t>, Одеса 33.300 км</w:t>
      </w:r>
      <w:r>
        <w:rPr>
          <w:rFonts w:eastAsia="EUAlbertina-Regular-Identity-H"/>
          <w:vertAlign w:val="superscript"/>
          <w:lang w:val="uk-UA" w:eastAsia="en-US"/>
        </w:rPr>
        <w:t>2</w:t>
      </w:r>
      <w:r>
        <w:rPr>
          <w:rFonts w:eastAsia="EUAlbertina-Regular-Identity-H"/>
          <w:lang w:val="uk-UA" w:eastAsia="en-US"/>
        </w:rPr>
        <w:t>, Чернівці 8.100 км</w:t>
      </w:r>
      <w:r>
        <w:rPr>
          <w:rFonts w:eastAsia="EUAlbertina-Regular-Identity-H"/>
          <w:vertAlign w:val="superscript"/>
          <w:lang w:val="uk-UA" w:eastAsia="en-US"/>
        </w:rPr>
        <w:t>2</w:t>
      </w:r>
      <w:r>
        <w:rPr>
          <w:rFonts w:eastAsia="EUAlbertina-Regular-Identity-H"/>
          <w:lang w:val="uk-UA" w:eastAsia="en-US"/>
        </w:rPr>
        <w:t xml:space="preserve">). </w:t>
      </w:r>
    </w:p>
    <w:p w:rsidR="00642FB4" w:rsidRDefault="00642FB4">
      <w:pPr>
        <w:spacing w:before="60" w:after="60" w:line="288" w:lineRule="auto"/>
        <w:ind w:firstLine="709"/>
        <w:jc w:val="both"/>
        <w:rPr>
          <w:rFonts w:eastAsia="EUAlbertina-Regular-Identity-H"/>
          <w:lang w:val="uk-UA" w:eastAsia="en-US"/>
        </w:rPr>
      </w:pPr>
      <w:r>
        <w:rPr>
          <w:rFonts w:eastAsia="EUAlbertina-Regular-Identity-H"/>
          <w:lang w:val="uk-UA" w:eastAsia="en-US"/>
        </w:rPr>
        <w:t>У тому що стосується пропорційності, українська прийнятна площа більш ніж в два рази перевищує румунську прийнятну площу.</w:t>
      </w:r>
    </w:p>
    <w:p w:rsidR="00642FB4" w:rsidRDefault="00642FB4">
      <w:pPr>
        <w:spacing w:before="60" w:after="60" w:line="288" w:lineRule="auto"/>
        <w:ind w:firstLine="705"/>
        <w:jc w:val="both"/>
        <w:rPr>
          <w:lang w:val="uk-UA" w:eastAsia="en-US"/>
        </w:rPr>
      </w:pPr>
      <w:r>
        <w:rPr>
          <w:lang w:val="uk-UA" w:eastAsia="en-US"/>
        </w:rPr>
        <w:t>Спільний кордон між двома країнами це частина поточного віртуального кордону Європейського Союзу, а північно - західні, північно - східні і південно - східні румунські регіони це зовнішні кордони ЄС в регіоні.</w:t>
      </w:r>
    </w:p>
    <w:p w:rsidR="00642FB4" w:rsidRDefault="00642FB4">
      <w:pPr>
        <w:spacing w:before="60" w:after="60" w:line="288" w:lineRule="auto"/>
        <w:jc w:val="both"/>
        <w:rPr>
          <w:rFonts w:eastAsia="EUAlbertina-Regular-Identity-H"/>
          <w:lang w:val="uk-UA" w:eastAsia="en-US"/>
        </w:rPr>
      </w:pPr>
    </w:p>
    <w:p w:rsidR="00642FB4" w:rsidRDefault="00642FB4">
      <w:pPr>
        <w:spacing w:before="60" w:after="60" w:line="288" w:lineRule="auto"/>
        <w:ind w:firstLine="705"/>
        <w:jc w:val="both"/>
        <w:rPr>
          <w:rFonts w:eastAsia="EUAlbertina-Regular-Identity-H"/>
          <w:i/>
          <w:lang w:val="uk-UA" w:eastAsia="en-US"/>
        </w:rPr>
      </w:pPr>
      <w:r>
        <w:rPr>
          <w:rFonts w:eastAsia="EUAlbertina-Regular-Identity-H"/>
          <w:i/>
          <w:lang w:val="uk-UA" w:eastAsia="en-US"/>
        </w:rPr>
        <w:t xml:space="preserve">Кордон між Румунією і Україною </w:t>
      </w:r>
    </w:p>
    <w:p w:rsidR="00642FB4" w:rsidRDefault="00642FB4">
      <w:pPr>
        <w:spacing w:before="60" w:after="60" w:line="288" w:lineRule="auto"/>
        <w:ind w:firstLine="705"/>
        <w:jc w:val="both"/>
        <w:rPr>
          <w:rFonts w:eastAsia="EUAlbertina-Regular-Identity-H"/>
          <w:i/>
          <w:lang w:val="uk-UA" w:eastAsia="en-US"/>
        </w:rPr>
      </w:pPr>
      <w:r>
        <w:rPr>
          <w:lang w:val="uk-UA" w:eastAsia="en-US"/>
        </w:rPr>
        <w:t xml:space="preserve">Загальна протяжність кордону становить 649,4 км. </w:t>
      </w:r>
    </w:p>
    <w:p w:rsidR="00642FB4" w:rsidRDefault="00642FB4">
      <w:pPr>
        <w:spacing w:before="60" w:after="60" w:line="288" w:lineRule="auto"/>
        <w:ind w:firstLine="705"/>
        <w:jc w:val="both"/>
        <w:rPr>
          <w:rFonts w:eastAsia="EUAlbertina-Regular-Identity-H"/>
          <w:i/>
          <w:lang w:val="uk-UA" w:eastAsia="en-US"/>
        </w:rPr>
      </w:pPr>
      <w:r>
        <w:rPr>
          <w:lang w:val="uk-UA" w:eastAsia="en-US"/>
        </w:rPr>
        <w:t xml:space="preserve">Загальна протяжність кордону становить 649,4 км. </w:t>
      </w:r>
      <w:r>
        <w:rPr>
          <w:rFonts w:eastAsia="EUAlbertina-Regular-Identity-H"/>
          <w:lang w:val="uk-UA" w:eastAsia="en-US"/>
        </w:rPr>
        <w:t>Кордон між Румунією і Україною</w:t>
      </w:r>
      <w:r>
        <w:rPr>
          <w:lang w:val="uk-UA" w:eastAsia="en-US"/>
        </w:rPr>
        <w:t xml:space="preserve"> є комплексним: сухопутний – 273,8 км, річковий – 343,9 км, морський – 31,7 км. Крім того, південна частина румунсько-українського кордону розділює спільну біосферу Дельти Дунаю. Між двома країнами існують шість пунктів пропуску для автомобільного та залізничного транспорту: </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eastAsia="EUAlbertina-Regular-Identity-H"/>
          <w:lang w:val="uk-UA" w:eastAsia="en-US"/>
        </w:rPr>
        <w:t xml:space="preserve">Халмеу – Дяково  </w:t>
      </w:r>
      <w:r>
        <w:rPr>
          <w:rFonts w:eastAsia="EUAlbertina-Regular-Identity-H"/>
          <w:lang w:val="uk-UA" w:eastAsia="en-US"/>
        </w:rPr>
        <w:tab/>
      </w:r>
      <w:r>
        <w:rPr>
          <w:rFonts w:eastAsia="EUAlbertina-Regular-Identity-H"/>
          <w:lang w:val="uk-UA" w:eastAsia="en-US"/>
        </w:rPr>
        <w:tab/>
      </w:r>
      <w:r>
        <w:rPr>
          <w:rFonts w:eastAsia="EUAlbertina-Regular-Identity-H"/>
          <w:lang w:val="uk-UA" w:eastAsia="en-US"/>
        </w:rPr>
        <w:tab/>
        <w:t xml:space="preserve">пункт пропуску залізничного та </w:t>
      </w:r>
      <w:r>
        <w:rPr>
          <w:lang w:val="uk-UA" w:eastAsia="en-US"/>
        </w:rPr>
        <w:t xml:space="preserve">автомобільного </w:t>
      </w:r>
      <w:r>
        <w:rPr>
          <w:rFonts w:eastAsia="EUAlbertina-Regular-Identity-H"/>
          <w:lang w:val="uk-UA" w:eastAsia="en-US"/>
        </w:rPr>
        <w:t>сполучення;</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eastAsia="EUAlbertina-Regular-Identity-H"/>
          <w:lang w:val="uk-UA" w:eastAsia="en-US"/>
        </w:rPr>
        <w:t xml:space="preserve">Кимпулунг ла Тиса – Тересва  </w:t>
      </w:r>
      <w:r>
        <w:rPr>
          <w:rFonts w:eastAsia="EUAlbertina-Regular-Identity-H"/>
          <w:lang w:val="uk-UA" w:eastAsia="en-US"/>
        </w:rPr>
        <w:tab/>
        <w:t>пункт пропуску залізничного сполучення, але нефункціонального;</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eastAsia="EUAlbertina-Regular-Identity-H"/>
          <w:lang w:val="uk-UA" w:eastAsia="en-US"/>
        </w:rPr>
        <w:t xml:space="preserve">Сігету Мармаціей – Солотвино </w:t>
      </w:r>
      <w:r>
        <w:rPr>
          <w:rFonts w:eastAsia="EUAlbertina-Regular-Identity-H"/>
          <w:lang w:val="uk-UA" w:eastAsia="en-US"/>
        </w:rPr>
        <w:tab/>
        <w:t>пункт пропуску автомобільного сполучення</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eastAsia="EUAlbertina-Regular-Identity-H"/>
          <w:lang w:val="uk-UA" w:eastAsia="en-US"/>
        </w:rPr>
        <w:t xml:space="preserve">Валеа Вішеулуй – Ділове  </w:t>
      </w:r>
      <w:r>
        <w:rPr>
          <w:rFonts w:eastAsia="EUAlbertina-Regular-Identity-H"/>
          <w:lang w:val="uk-UA" w:eastAsia="en-US"/>
        </w:rPr>
        <w:tab/>
      </w:r>
      <w:r>
        <w:rPr>
          <w:rFonts w:eastAsia="EUAlbertina-Regular-Identity-H"/>
          <w:lang w:val="uk-UA" w:eastAsia="en-US"/>
        </w:rPr>
        <w:tab/>
        <w:t xml:space="preserve">пункт пропуску залізничного сполучення; </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eastAsia="EUAlbertina-Regular-Identity-H"/>
          <w:lang w:val="uk-UA" w:eastAsia="en-US"/>
        </w:rPr>
        <w:t xml:space="preserve">Вікшані – Ваду Сірет  </w:t>
      </w:r>
      <w:r>
        <w:rPr>
          <w:rFonts w:eastAsia="EUAlbertina-Regular-Identity-H"/>
          <w:lang w:val="uk-UA" w:eastAsia="en-US"/>
        </w:rPr>
        <w:tab/>
      </w:r>
      <w:r>
        <w:rPr>
          <w:rFonts w:eastAsia="EUAlbertina-Regular-Identity-H"/>
          <w:lang w:val="uk-UA" w:eastAsia="en-US"/>
        </w:rPr>
        <w:tab/>
      </w:r>
      <w:r>
        <w:rPr>
          <w:rFonts w:eastAsia="EUAlbertina-Regular-Identity-H"/>
          <w:lang w:val="uk-UA" w:eastAsia="en-US"/>
        </w:rPr>
        <w:tab/>
        <w:t>пункт пропуску залізничного сполучення, але нефункціонального;</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eastAsia="EUAlbertina-Regular-Identity-H"/>
          <w:lang w:val="uk-UA" w:eastAsia="en-US"/>
        </w:rPr>
        <w:t xml:space="preserve">Сірет – Порубне  </w:t>
      </w:r>
      <w:r>
        <w:rPr>
          <w:rFonts w:eastAsia="EUAlbertina-Regular-Identity-H"/>
          <w:lang w:val="uk-UA" w:eastAsia="en-US"/>
        </w:rPr>
        <w:tab/>
      </w:r>
      <w:r>
        <w:rPr>
          <w:rFonts w:eastAsia="EUAlbertina-Regular-Identity-H"/>
          <w:lang w:val="uk-UA" w:eastAsia="en-US"/>
        </w:rPr>
        <w:tab/>
      </w:r>
      <w:r>
        <w:rPr>
          <w:rFonts w:eastAsia="EUAlbertina-Regular-Identity-H"/>
          <w:lang w:val="uk-UA" w:eastAsia="en-US"/>
        </w:rPr>
        <w:tab/>
        <w:t>пункт пропуску автомобільного сполучення.</w:t>
      </w:r>
    </w:p>
    <w:p w:rsidR="00642FB4" w:rsidRDefault="00642FB4">
      <w:pPr>
        <w:spacing w:before="60" w:after="60" w:line="288" w:lineRule="auto"/>
        <w:jc w:val="both"/>
        <w:rPr>
          <w:rFonts w:eastAsia="EUAlbertina-Regular-Identity-H"/>
          <w:lang w:val="uk-UA" w:eastAsia="en-US"/>
        </w:rPr>
      </w:pPr>
    </w:p>
    <w:p w:rsidR="00642FB4" w:rsidRDefault="001C33BE">
      <w:pPr>
        <w:jc w:val="center"/>
        <w:rPr>
          <w:rFonts w:cs="Arial"/>
          <w:lang w:val="uk-UA" w:eastAsia="en-US"/>
        </w:rPr>
      </w:pPr>
      <w:bookmarkStart w:id="5" w:name="_Toc413757294"/>
      <w:bookmarkStart w:id="6" w:name="_Toc413833652"/>
      <w:bookmarkStart w:id="7" w:name="_Toc414266770"/>
      <w:r>
        <w:rPr>
          <w:noProof/>
          <w:lang w:val="en-US" w:eastAsia="en-US"/>
        </w:rPr>
        <w:drawing>
          <wp:inline distT="0" distB="0" distL="0" distR="0" wp14:anchorId="036F2BC3" wp14:editId="5AEE7FED">
            <wp:extent cx="5263515" cy="4214495"/>
            <wp:effectExtent l="1905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5263515" cy="4214495"/>
                    </a:xfrm>
                    <a:prstGeom prst="rect">
                      <a:avLst/>
                    </a:prstGeom>
                    <a:solidFill>
                      <a:srgbClr val="FFFFFF"/>
                    </a:solidFill>
                    <a:ln w="9525">
                      <a:noFill/>
                      <a:miter lim="800000"/>
                      <a:headEnd/>
                      <a:tailEnd/>
                    </a:ln>
                  </pic:spPr>
                </pic:pic>
              </a:graphicData>
            </a:graphic>
          </wp:inline>
        </w:drawing>
      </w:r>
      <w:bookmarkEnd w:id="5"/>
      <w:bookmarkEnd w:id="6"/>
      <w:bookmarkEnd w:id="7"/>
    </w:p>
    <w:p w:rsidR="00642FB4" w:rsidRDefault="00642FB4">
      <w:pPr>
        <w:jc w:val="both"/>
        <w:rPr>
          <w:lang w:val="uk-UA" w:eastAsia="en-US"/>
        </w:rPr>
      </w:pPr>
    </w:p>
    <w:p w:rsidR="00642FB4" w:rsidRDefault="00642FB4">
      <w:pPr>
        <w:spacing w:before="60" w:after="60" w:line="288" w:lineRule="auto"/>
        <w:ind w:firstLine="705"/>
        <w:jc w:val="both"/>
        <w:rPr>
          <w:lang w:val="uk-UA" w:eastAsia="en-US"/>
        </w:rPr>
      </w:pPr>
      <w:bookmarkStart w:id="8" w:name="_Toc395779355"/>
      <w:r>
        <w:rPr>
          <w:lang w:val="uk-UA"/>
        </w:rPr>
        <w:t xml:space="preserve">На програмній території мешкає приблизно </w:t>
      </w:r>
      <w:r>
        <w:rPr>
          <w:lang w:val="uk-UA" w:eastAsia="en-US"/>
        </w:rPr>
        <w:t xml:space="preserve">8.022.042 мешканців. </w:t>
      </w:r>
      <w:r>
        <w:rPr>
          <w:rStyle w:val="apple-converted-space"/>
          <w:rFonts w:cs="Arial"/>
          <w:color w:val="545454"/>
          <w:shd w:val="clear" w:color="auto" w:fill="FFFFFF"/>
          <w:lang w:val="uk-UA"/>
        </w:rPr>
        <w:t> </w:t>
      </w:r>
      <w:r>
        <w:rPr>
          <w:rStyle w:val="Emphasis"/>
          <w:rFonts w:cs="Arial"/>
          <w:bCs/>
          <w:i w:val="0"/>
          <w:iCs w:val="0"/>
          <w:shd w:val="clear" w:color="auto" w:fill="FFFFFF"/>
          <w:lang w:val="uk-UA"/>
        </w:rPr>
        <w:t>За</w:t>
      </w:r>
      <w:r>
        <w:rPr>
          <w:rStyle w:val="apple-converted-space"/>
          <w:rFonts w:cs="Arial"/>
          <w:shd w:val="clear" w:color="auto" w:fill="FFFFFF"/>
          <w:lang w:val="uk-UA"/>
        </w:rPr>
        <w:t> </w:t>
      </w:r>
      <w:r>
        <w:rPr>
          <w:rFonts w:cs="Arial"/>
          <w:shd w:val="clear" w:color="auto" w:fill="FFFFFF"/>
          <w:lang w:val="uk-UA"/>
        </w:rPr>
        <w:t>чисельністю</w:t>
      </w:r>
      <w:r>
        <w:rPr>
          <w:rStyle w:val="apple-converted-space"/>
          <w:rFonts w:cs="Arial"/>
          <w:shd w:val="clear" w:color="auto" w:fill="FFFFFF"/>
          <w:lang w:val="uk-UA"/>
        </w:rPr>
        <w:t> </w:t>
      </w:r>
      <w:r>
        <w:rPr>
          <w:rStyle w:val="Emphasis"/>
          <w:rFonts w:cs="Arial"/>
          <w:bCs/>
          <w:i w:val="0"/>
          <w:iCs w:val="0"/>
          <w:shd w:val="clear" w:color="auto" w:fill="FFFFFF"/>
          <w:lang w:val="uk-UA"/>
        </w:rPr>
        <w:t>населення</w:t>
      </w:r>
      <w:r>
        <w:rPr>
          <w:lang w:val="uk-UA" w:eastAsia="en-US"/>
        </w:rPr>
        <w:t xml:space="preserve"> 26% (2.083.538 мешканців) проживають на румунській стороні кордону, а 74 % (5.938.504 мешканців) на українській стороні.</w:t>
      </w:r>
    </w:p>
    <w:bookmarkEnd w:id="8"/>
    <w:p w:rsidR="00642FB4" w:rsidRDefault="00642F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900"/>
        <w:jc w:val="both"/>
        <w:rPr>
          <w:rFonts w:cs="Arial"/>
          <w:lang w:val="uk-UA" w:eastAsia="en-US"/>
        </w:rPr>
      </w:pPr>
      <w:r>
        <w:rPr>
          <w:rFonts w:cs="Arial"/>
          <w:lang w:val="uk-UA" w:eastAsia="en-US"/>
        </w:rPr>
        <w:t>В</w:t>
      </w:r>
      <w:r>
        <w:rPr>
          <w:lang w:val="uk-UA"/>
        </w:rPr>
        <w:t xml:space="preserve"> програмних</w:t>
      </w:r>
      <w:r>
        <w:rPr>
          <w:rFonts w:cs="Arial"/>
          <w:lang w:val="uk-UA" w:eastAsia="en-US"/>
        </w:rPr>
        <w:t xml:space="preserve"> регіонах проживає чисельне населення у віці від 15 до 64 років. Територіальні порівняння показують, що українські області зазнають ріст населення на 0,6 ‰, в той час як в румунських повітах зареєстровані негативні значення -3,78 ‰. </w:t>
      </w:r>
    </w:p>
    <w:p w:rsidR="00642FB4" w:rsidRDefault="00642F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jc w:val="both"/>
        <w:rPr>
          <w:rFonts w:cs="Arial"/>
          <w:lang w:val="uk-UA" w:eastAsia="en-US"/>
        </w:rPr>
      </w:pPr>
      <w:r>
        <w:rPr>
          <w:rFonts w:cs="Arial"/>
          <w:b/>
          <w:i/>
          <w:lang w:val="uk-UA" w:eastAsia="en-US"/>
        </w:rPr>
        <w:tab/>
      </w:r>
      <w:r>
        <w:rPr>
          <w:rFonts w:cs="Arial"/>
          <w:b/>
          <w:lang w:val="uk-UA" w:eastAsia="en-US"/>
        </w:rPr>
        <w:t>Інфраструктура охорони здоров'я</w:t>
      </w:r>
      <w:r>
        <w:rPr>
          <w:rFonts w:cs="Arial"/>
          <w:lang w:val="uk-UA" w:eastAsia="en-US"/>
        </w:rPr>
        <w:t xml:space="preserve"> на </w:t>
      </w:r>
      <w:r>
        <w:rPr>
          <w:lang w:val="uk-UA"/>
        </w:rPr>
        <w:t>програмній території</w:t>
      </w:r>
      <w:r>
        <w:rPr>
          <w:rFonts w:cs="Arial"/>
          <w:lang w:val="uk-UA" w:eastAsia="en-US"/>
        </w:rPr>
        <w:t xml:space="preserve"> обмежена  і недостатньо розвинена, особливо в сільських населених пунктах. Розвиток потенціалу системи охорони здоров'я знаходиться на нижчому рівні  ніж середні національні  показники.</w:t>
      </w:r>
    </w:p>
    <w:p w:rsidR="00642FB4" w:rsidRDefault="00642F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900"/>
        <w:jc w:val="both"/>
        <w:rPr>
          <w:rFonts w:cs="Arial"/>
          <w:lang w:val="uk-UA" w:eastAsia="en-US"/>
        </w:rPr>
      </w:pPr>
      <w:r>
        <w:rPr>
          <w:rFonts w:cs="Arial"/>
          <w:lang w:val="uk-UA" w:eastAsia="en-US"/>
        </w:rPr>
        <w:t>У Румунії, середня тривалість життя становить 71 років для чоловіків і 78 років для жінок, в той час як в Україні середня тривалість життя становить 66 років для чоловіків і 76 років для жінок. У порівнянні з попередніми роками, середня тривалість життя збільшилася, але як і раніше є нижчою середніх європейських показників.</w:t>
      </w:r>
    </w:p>
    <w:p w:rsidR="00642FB4" w:rsidRDefault="00642F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900"/>
        <w:jc w:val="both"/>
        <w:rPr>
          <w:rFonts w:cs="Arial"/>
          <w:lang w:val="uk-UA" w:eastAsia="en-US"/>
        </w:rPr>
      </w:pPr>
      <w:r>
        <w:rPr>
          <w:rFonts w:cs="Arial"/>
          <w:lang w:val="uk-UA" w:eastAsia="en-US"/>
        </w:rPr>
        <w:t xml:space="preserve"> На розглянутій території, </w:t>
      </w:r>
      <w:r>
        <w:rPr>
          <w:rFonts w:cs="Arial"/>
          <w:b/>
          <w:i/>
          <w:lang w:val="uk-UA" w:eastAsia="en-US"/>
        </w:rPr>
        <w:t>активне населення</w:t>
      </w:r>
      <w:r>
        <w:rPr>
          <w:rFonts w:cs="Arial"/>
          <w:lang w:val="uk-UA" w:eastAsia="en-US"/>
        </w:rPr>
        <w:t xml:space="preserve"> складає 45.09% від загальної чисельності населення, з яких 93,83% працюють, в той час як 6,15% не працюють. 25.35% активного населення працює в сільському господарстві. Територіальні відмінності досить суттєві, а саме: в Румунії 42.58% робочої сили зайняті в сільському господарстві, в той час як в Україні в цьому секторі працюють тільки 20,35%.</w:t>
      </w:r>
    </w:p>
    <w:p w:rsidR="00642FB4" w:rsidRDefault="00642F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900"/>
        <w:jc w:val="both"/>
        <w:rPr>
          <w:rFonts w:cs="Arial"/>
          <w:lang w:val="uk-UA" w:eastAsia="en-US"/>
        </w:rPr>
      </w:pPr>
      <w:r>
        <w:rPr>
          <w:rFonts w:cs="Arial"/>
          <w:lang w:val="uk-UA" w:eastAsia="en-US"/>
        </w:rPr>
        <w:t>Середній щомісячний валовий дохід в аналізованих регіонах є одним з найнижчим на національному та європейському рівні. Середній місячний заробіток досягав в  2012 році - 360 євро в Румунії і 241 євро в Україні. Сільськогосподарський сектор є найбільшим сектором з точки зору зайнятості, однак, доходи від цього сектора є одними з найменших,  зареєстровані показники цього сектора нижче середнього. Програмна територія має один з найнижчих рівнів розвитку, в порівнянні з іншими країнами і сусідніми регіонами.</w:t>
      </w:r>
    </w:p>
    <w:p w:rsidR="00642FB4" w:rsidRDefault="00642F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900"/>
        <w:jc w:val="both"/>
        <w:rPr>
          <w:rFonts w:cs="Arial"/>
          <w:lang w:val="uk-UA" w:eastAsia="en-US"/>
        </w:rPr>
      </w:pPr>
      <w:r>
        <w:rPr>
          <w:rFonts w:cs="Arial"/>
          <w:b/>
          <w:lang w:val="uk-UA" w:eastAsia="en-US"/>
        </w:rPr>
        <w:t>Конкурентоспроможність</w:t>
      </w:r>
      <w:r>
        <w:rPr>
          <w:rFonts w:cs="Arial"/>
          <w:lang w:val="uk-UA" w:eastAsia="en-US"/>
        </w:rPr>
        <w:t xml:space="preserve"> є досить низькою в розглянутих районах. Основною причиною цього є переважання сільського господарства і промисловості як основний вид економічної діяльності, низький рівень інвестицій в дослідження і незастосування інвестицій в промисловості і технології, низька продуктивність, низька доступність через поганий стан транспортної інфраструктури.</w:t>
      </w:r>
    </w:p>
    <w:p w:rsidR="00642FB4" w:rsidRDefault="00642F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900"/>
        <w:jc w:val="both"/>
        <w:rPr>
          <w:rFonts w:cs="Arial"/>
          <w:lang w:val="uk-UA" w:eastAsia="en-US"/>
        </w:rPr>
      </w:pPr>
      <w:r>
        <w:rPr>
          <w:rFonts w:cs="Arial"/>
          <w:lang w:val="uk-UA" w:eastAsia="en-US"/>
        </w:rPr>
        <w:t xml:space="preserve">Слабо розвинена </w:t>
      </w:r>
      <w:r>
        <w:rPr>
          <w:rFonts w:cs="Arial"/>
          <w:b/>
          <w:i/>
          <w:lang w:val="uk-UA" w:eastAsia="en-US"/>
        </w:rPr>
        <w:t>транспортна інфраструктура</w:t>
      </w:r>
      <w:r>
        <w:rPr>
          <w:rFonts w:cs="Arial"/>
          <w:lang w:val="uk-UA" w:eastAsia="en-US"/>
        </w:rPr>
        <w:t xml:space="preserve"> в розглянутих районах не відповідає вимогам європейських стандартів, тому з’являється ефект ізоляції.</w:t>
      </w:r>
    </w:p>
    <w:p w:rsidR="00642FB4" w:rsidRDefault="00642F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900"/>
        <w:jc w:val="both"/>
        <w:rPr>
          <w:rFonts w:cs="Arial"/>
          <w:lang w:val="uk-UA" w:eastAsia="en-US"/>
        </w:rPr>
      </w:pPr>
      <w:r>
        <w:rPr>
          <w:rFonts w:cs="Arial"/>
          <w:lang w:val="uk-UA" w:eastAsia="en-US"/>
        </w:rPr>
        <w:t>Інтермодальні перевезення все ще обмежені і недостатньо розвинені в плані морських і повітряних зв'язків, хоча регіон Тулча - Одеса має великий потенціал у цьому відношенні. Місцеві дороги не дістають інвестицій через бюрократію і мають  обмежені можливості фінансування у порівнянні з європейськими та національними дорогами, які отримують значно більше уваги.</w:t>
      </w:r>
    </w:p>
    <w:p w:rsidR="00642FB4" w:rsidRDefault="00642F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709"/>
        <w:jc w:val="both"/>
        <w:rPr>
          <w:rFonts w:cs="Arial"/>
          <w:lang w:val="uk-UA" w:eastAsia="en-US"/>
        </w:rPr>
      </w:pPr>
      <w:r>
        <w:rPr>
          <w:rFonts w:cs="Arial"/>
          <w:lang w:val="uk-UA" w:eastAsia="en-US"/>
        </w:rPr>
        <w:t xml:space="preserve">Стан </w:t>
      </w:r>
      <w:r>
        <w:rPr>
          <w:rFonts w:cs="Arial"/>
          <w:b/>
          <w:i/>
          <w:lang w:val="uk-UA" w:eastAsia="en-US"/>
        </w:rPr>
        <w:t>інфраструктури комунальних та соціальних послуг,</w:t>
      </w:r>
      <w:r>
        <w:rPr>
          <w:rFonts w:cs="Arial"/>
          <w:lang w:val="uk-UA" w:eastAsia="en-US"/>
        </w:rPr>
        <w:t xml:space="preserve"> які обслуговують міські і сільські населені пункти підіймає ряд питань. Навіть якщо значний процент  населених пунктів території пов'язані цими мережами, їхня якість досить погана. </w:t>
      </w:r>
    </w:p>
    <w:p w:rsidR="00642FB4" w:rsidRDefault="00642F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709"/>
        <w:jc w:val="both"/>
        <w:rPr>
          <w:rFonts w:cs="Arial"/>
          <w:lang w:val="uk-UA" w:eastAsia="en-US"/>
        </w:rPr>
      </w:pPr>
      <w:r>
        <w:rPr>
          <w:rFonts w:cs="Arial"/>
          <w:lang w:val="uk-UA" w:eastAsia="en-US"/>
        </w:rPr>
        <w:t xml:space="preserve">Велика частина інфраструктури була побудована до 1989 року, а в останні роки в цьому секторі не залучались інвестицій. Це створює проблеми з точки зору охорони навколишнього середовища, тому що спричиняє скидання неочищених стічних вод і погане управління відходами, які разом чинять негативний вплив на ґрунти та якість води. У цих районах </w:t>
      </w:r>
      <w:r>
        <w:rPr>
          <w:rFonts w:cs="Arial"/>
          <w:shd w:val="clear" w:color="auto" w:fill="FFFFFF"/>
          <w:lang w:val="uk-UA"/>
        </w:rPr>
        <w:t xml:space="preserve">результат </w:t>
      </w:r>
      <w:r>
        <w:rPr>
          <w:rFonts w:cs="Arial"/>
          <w:lang w:val="uk-UA" w:eastAsia="en-US"/>
        </w:rPr>
        <w:t xml:space="preserve">здійснення специфічної діяльності (промислова та сільськогосподарська) - </w:t>
      </w:r>
      <w:r>
        <w:rPr>
          <w:rFonts w:cs="Arial"/>
          <w:shd w:val="clear" w:color="auto" w:fill="FFFFFF"/>
          <w:lang w:val="uk-UA"/>
        </w:rPr>
        <w:t>надмірне</w:t>
      </w:r>
      <w:r>
        <w:rPr>
          <w:rStyle w:val="apple-converted-space"/>
          <w:rFonts w:cs="Arial"/>
          <w:shd w:val="clear" w:color="auto" w:fill="FFFFFF"/>
          <w:lang w:val="uk-UA"/>
        </w:rPr>
        <w:t> </w:t>
      </w:r>
      <w:r>
        <w:rPr>
          <w:rStyle w:val="Emphasis"/>
          <w:rFonts w:cs="Arial"/>
          <w:bCs/>
          <w:i w:val="0"/>
          <w:iCs w:val="0"/>
          <w:shd w:val="clear" w:color="auto" w:fill="FFFFFF"/>
          <w:lang w:val="uk-UA"/>
        </w:rPr>
        <w:t xml:space="preserve">споживання </w:t>
      </w:r>
      <w:r>
        <w:rPr>
          <w:rFonts w:cs="Arial"/>
          <w:lang w:val="uk-UA" w:eastAsia="en-US"/>
        </w:rPr>
        <w:t>енергії</w:t>
      </w:r>
      <w:r>
        <w:rPr>
          <w:rStyle w:val="Emphasis"/>
          <w:rFonts w:cs="Arial"/>
          <w:bCs/>
          <w:i w:val="0"/>
          <w:iCs w:val="0"/>
          <w:shd w:val="clear" w:color="auto" w:fill="FFFFFF"/>
          <w:lang w:val="uk-UA"/>
        </w:rPr>
        <w:t xml:space="preserve"> для </w:t>
      </w:r>
      <w:r>
        <w:rPr>
          <w:rFonts w:cs="Arial"/>
          <w:lang w:val="uk-UA" w:eastAsia="en-US"/>
        </w:rPr>
        <w:t>житлового та інституційного опалення.</w:t>
      </w:r>
    </w:p>
    <w:p w:rsidR="00642FB4" w:rsidRDefault="00642F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720"/>
        <w:jc w:val="both"/>
        <w:rPr>
          <w:rFonts w:cs="Arial"/>
          <w:lang w:val="uk-UA" w:eastAsia="en-US"/>
        </w:rPr>
      </w:pPr>
      <w:r>
        <w:rPr>
          <w:rFonts w:cs="Arial"/>
          <w:lang w:val="uk-UA" w:eastAsia="en-US"/>
        </w:rPr>
        <w:t>Українські області</w:t>
      </w:r>
      <w:r>
        <w:rPr>
          <w:lang w:val="uk-UA"/>
        </w:rPr>
        <w:t xml:space="preserve"> </w:t>
      </w:r>
      <w:r>
        <w:rPr>
          <w:rFonts w:cs="Arial"/>
          <w:lang w:val="uk-UA" w:eastAsia="en-US"/>
        </w:rPr>
        <w:t>витрачають більше енергії в порівнянні з повітами Румунії. Крім того, українські області є великими споживачами вугілля і природного газу, що спричинило значне збільшення викидів частинок в повітрі.</w:t>
      </w:r>
    </w:p>
    <w:p w:rsidR="00642FB4" w:rsidRDefault="00642F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line="288" w:lineRule="auto"/>
        <w:ind w:firstLine="720"/>
        <w:jc w:val="both"/>
        <w:rPr>
          <w:rFonts w:cs="Arial"/>
          <w:lang w:val="uk-UA" w:eastAsia="en-US"/>
        </w:rPr>
      </w:pPr>
      <w:r>
        <w:rPr>
          <w:rFonts w:cs="Arial"/>
          <w:lang w:val="uk-UA" w:eastAsia="en-US"/>
        </w:rPr>
        <w:t xml:space="preserve">На Програмній території існують багато </w:t>
      </w:r>
      <w:r>
        <w:rPr>
          <w:rStyle w:val="Emphasis"/>
          <w:rFonts w:cs="Arial"/>
          <w:bCs/>
          <w:i w:val="0"/>
          <w:iCs w:val="0"/>
          <w:shd w:val="clear" w:color="auto" w:fill="FFFFFF"/>
          <w:lang w:val="uk-UA"/>
        </w:rPr>
        <w:t xml:space="preserve">охоронюваних </w:t>
      </w:r>
      <w:r>
        <w:rPr>
          <w:rFonts w:cs="Arial"/>
          <w:shd w:val="clear" w:color="auto" w:fill="FFFFFF"/>
          <w:lang w:val="uk-UA"/>
        </w:rPr>
        <w:t>природних</w:t>
      </w:r>
      <w:r>
        <w:rPr>
          <w:rStyle w:val="apple-converted-space"/>
          <w:rFonts w:cs="Arial"/>
          <w:shd w:val="clear" w:color="auto" w:fill="FFFFFF"/>
          <w:lang w:val="uk-UA"/>
        </w:rPr>
        <w:t> </w:t>
      </w:r>
      <w:r>
        <w:rPr>
          <w:rStyle w:val="Emphasis"/>
          <w:rFonts w:cs="Arial"/>
          <w:bCs/>
          <w:i w:val="0"/>
          <w:iCs w:val="0"/>
          <w:shd w:val="clear" w:color="auto" w:fill="FFFFFF"/>
          <w:lang w:val="uk-UA"/>
        </w:rPr>
        <w:t xml:space="preserve">територій </w:t>
      </w:r>
      <w:r>
        <w:rPr>
          <w:rFonts w:cs="Arial"/>
          <w:lang w:val="uk-UA" w:eastAsia="en-US"/>
        </w:rPr>
        <w:t>національного і міжнародного значення та культурних, історичних та археологічних</w:t>
      </w:r>
      <w:r>
        <w:rPr>
          <w:rStyle w:val="ft"/>
          <w:rFonts w:cs="Arial"/>
          <w:shd w:val="clear" w:color="auto" w:fill="FFFFFF"/>
          <w:lang w:val="uk-UA"/>
        </w:rPr>
        <w:t xml:space="preserve"> об'єктів</w:t>
      </w:r>
      <w:r>
        <w:rPr>
          <w:rFonts w:cs="Arial"/>
          <w:lang w:val="uk-UA" w:eastAsia="en-US"/>
        </w:rPr>
        <w:t>, які за останні два роки призвели до значного зростання кількості туристів.</w:t>
      </w:r>
    </w:p>
    <w:p w:rsidR="00642FB4" w:rsidRDefault="00642FB4">
      <w:pPr>
        <w:spacing w:before="60" w:after="60" w:line="288" w:lineRule="auto"/>
        <w:ind w:firstLine="705"/>
        <w:jc w:val="both"/>
        <w:rPr>
          <w:bCs/>
          <w:lang w:val="uk-UA" w:eastAsia="en-US"/>
        </w:rPr>
      </w:pPr>
    </w:p>
    <w:p w:rsidR="00642FB4" w:rsidRDefault="00642FB4">
      <w:pPr>
        <w:spacing w:before="60" w:after="60" w:line="288" w:lineRule="auto"/>
        <w:ind w:firstLine="720"/>
        <w:jc w:val="both"/>
        <w:rPr>
          <w:rFonts w:eastAsia="Calibri" w:cs="Arial"/>
          <w:i/>
          <w:lang w:val="uk-UA" w:eastAsia="en-US"/>
        </w:rPr>
      </w:pPr>
      <w:r>
        <w:rPr>
          <w:rFonts w:eastAsia="Calibri" w:cs="Arial"/>
          <w:i/>
          <w:lang w:val="uk-UA" w:eastAsia="en-US"/>
        </w:rPr>
        <w:t xml:space="preserve">Головні економічні, соціальні та культурні центри </w:t>
      </w:r>
    </w:p>
    <w:p w:rsidR="00642FB4" w:rsidRDefault="00642FB4">
      <w:pPr>
        <w:spacing w:before="60" w:after="60" w:line="288" w:lineRule="auto"/>
        <w:ind w:firstLine="720"/>
        <w:jc w:val="both"/>
        <w:rPr>
          <w:rFonts w:eastAsia="Calibri" w:cs="Arial"/>
          <w:lang w:val="uk-UA" w:eastAsia="en-US"/>
        </w:rPr>
      </w:pPr>
      <w:r>
        <w:rPr>
          <w:rFonts w:eastAsia="Calibri" w:cs="Arial"/>
          <w:lang w:val="uk-UA" w:eastAsia="en-US"/>
        </w:rPr>
        <w:t>Відповідно до ст. 8 (3) Регламенту ЄС № 232/2014, Спільна робоча група вирішила включити до програмної території два важливі економічні, соціальні та культурні</w:t>
      </w:r>
      <w:r>
        <w:rPr>
          <w:rFonts w:eastAsia="Calibri" w:cs="Arial"/>
          <w:i/>
          <w:lang w:val="uk-UA" w:eastAsia="en-US"/>
        </w:rPr>
        <w:t xml:space="preserve"> </w:t>
      </w:r>
      <w:r>
        <w:rPr>
          <w:rFonts w:eastAsia="Calibri" w:cs="Arial"/>
          <w:lang w:val="uk-UA" w:eastAsia="en-US"/>
        </w:rPr>
        <w:t xml:space="preserve">центра: </w:t>
      </w:r>
      <w:r>
        <w:rPr>
          <w:rFonts w:eastAsia="Calibri" w:cs="Arial"/>
          <w:b/>
          <w:lang w:val="uk-UA" w:eastAsia="en-US"/>
        </w:rPr>
        <w:t>Бухарест і Київ.</w:t>
      </w:r>
    </w:p>
    <w:p w:rsidR="00642FB4" w:rsidRDefault="00642FB4">
      <w:pPr>
        <w:ind w:firstLine="720"/>
        <w:jc w:val="both"/>
        <w:rPr>
          <w:rFonts w:eastAsia="EUAlbertina-Regular-Identity-H"/>
          <w:i/>
          <w:lang w:val="uk-UA" w:eastAsia="en-US"/>
        </w:rPr>
      </w:pPr>
      <w:r>
        <w:rPr>
          <w:rFonts w:eastAsia="EUAlbertina-Regular-Identity-H"/>
          <w:i/>
          <w:lang w:val="uk-UA" w:eastAsia="en-US"/>
        </w:rPr>
        <w:t>Правило гнучкості</w:t>
      </w:r>
    </w:p>
    <w:p w:rsidR="00642FB4" w:rsidRDefault="00642FB4">
      <w:pPr>
        <w:ind w:firstLine="720"/>
        <w:jc w:val="both"/>
        <w:rPr>
          <w:lang w:val="uk-UA" w:eastAsia="en-US"/>
        </w:rPr>
      </w:pPr>
      <w:r>
        <w:rPr>
          <w:rFonts w:eastAsia="EUAlbertina-Regular-Identity-H"/>
          <w:lang w:val="uk-UA" w:eastAsia="en-US"/>
        </w:rPr>
        <w:t>Відповідно до статті 39, пункт 2 буква б і статті 45, пункт 4 Регламенту 897 від 2014 році, країни-партнери вирішили внести правило максимальної гнучкості до 10% від розподілу фінансування Програми, які будуть використовувані бенефіціарам, розташованих за межами програмної території та / або для діяльності здійсненої за межами програмної території.</w:t>
      </w:r>
    </w:p>
    <w:p w:rsidR="00642FB4" w:rsidRDefault="00642FB4">
      <w:pPr>
        <w:jc w:val="both"/>
        <w:rPr>
          <w:lang w:val="uk-UA" w:eastAsia="en-US"/>
        </w:rPr>
      </w:pPr>
    </w:p>
    <w:p w:rsidR="00642FB4" w:rsidRDefault="001C33BE">
      <w:pPr>
        <w:jc w:val="center"/>
        <w:rPr>
          <w:lang w:val="uk-UA" w:eastAsia="en-US"/>
        </w:rPr>
      </w:pPr>
      <w:r>
        <w:rPr>
          <w:noProof/>
          <w:lang w:val="en-US" w:eastAsia="en-US"/>
        </w:rPr>
        <w:drawing>
          <wp:inline distT="0" distB="0" distL="0" distR="0" wp14:anchorId="0AAE87C2" wp14:editId="649ADD17">
            <wp:extent cx="5836285" cy="3084830"/>
            <wp:effectExtent l="19050" t="0" r="0" b="0"/>
            <wp:docPr id="4" name="Picture 3" descr="Description: C:\Users\user\Desktop\ROUA-Final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Users\user\Desktop\ROUA-Final - Copy.jpg"/>
                    <pic:cNvPicPr>
                      <a:picLocks noChangeAspect="1" noChangeArrowheads="1"/>
                    </pic:cNvPicPr>
                  </pic:nvPicPr>
                  <pic:blipFill>
                    <a:blip r:embed="rId10" cstate="print"/>
                    <a:srcRect/>
                    <a:stretch>
                      <a:fillRect/>
                    </a:stretch>
                  </pic:blipFill>
                  <pic:spPr bwMode="auto">
                    <a:xfrm>
                      <a:off x="0" y="0"/>
                      <a:ext cx="5836285" cy="3084830"/>
                    </a:xfrm>
                    <a:prstGeom prst="rect">
                      <a:avLst/>
                    </a:prstGeom>
                    <a:noFill/>
                    <a:ln w="9525">
                      <a:noFill/>
                      <a:miter lim="800000"/>
                      <a:headEnd/>
                      <a:tailEnd/>
                    </a:ln>
                  </pic:spPr>
                </pic:pic>
              </a:graphicData>
            </a:graphic>
          </wp:inline>
        </w:drawing>
      </w:r>
    </w:p>
    <w:p w:rsidR="00642FB4" w:rsidRDefault="00642FB4">
      <w:pPr>
        <w:jc w:val="both"/>
        <w:rPr>
          <w:lang w:val="uk-UA" w:eastAsia="en-US"/>
        </w:rPr>
      </w:pPr>
    </w:p>
    <w:p w:rsidR="00642FB4" w:rsidRDefault="00642FB4">
      <w:pPr>
        <w:jc w:val="both"/>
        <w:rPr>
          <w:lang w:val="uk-UA" w:eastAsia="en-US"/>
        </w:rPr>
      </w:pPr>
    </w:p>
    <w:p w:rsidR="00642FB4" w:rsidRDefault="00642FB4">
      <w:pPr>
        <w:jc w:val="both"/>
        <w:rPr>
          <w:lang w:val="uk-UA" w:eastAsia="en-US"/>
        </w:rPr>
      </w:pPr>
    </w:p>
    <w:p w:rsidR="00642FB4" w:rsidRDefault="00642FB4">
      <w:pPr>
        <w:pStyle w:val="Heading1"/>
        <w:jc w:val="both"/>
        <w:rPr>
          <w:rFonts w:ascii="Arial" w:hAnsi="Arial" w:cs="Arial"/>
          <w:sz w:val="24"/>
          <w:szCs w:val="24"/>
          <w:lang w:val="uk-UA" w:eastAsia="en-US"/>
        </w:rPr>
      </w:pPr>
      <w:bookmarkStart w:id="9" w:name="_Toc419199657"/>
      <w:r>
        <w:rPr>
          <w:rFonts w:ascii="Arial" w:hAnsi="Arial" w:cs="Arial"/>
          <w:sz w:val="24"/>
          <w:szCs w:val="24"/>
          <w:lang w:val="uk-UA" w:eastAsia="en-US"/>
        </w:rPr>
        <w:t>2.</w:t>
      </w:r>
      <w:r>
        <w:rPr>
          <w:rFonts w:ascii="Times New Roman" w:eastAsia="Calibri" w:hAnsi="Times New Roman"/>
          <w:b w:val="0"/>
          <w:bCs w:val="0"/>
          <w:noProof/>
          <w:kern w:val="0"/>
          <w:sz w:val="20"/>
          <w:szCs w:val="20"/>
          <w:lang w:val="uk-UA"/>
        </w:rPr>
        <w:t xml:space="preserve"> </w:t>
      </w:r>
      <w:r>
        <w:rPr>
          <w:rFonts w:ascii="Arial" w:hAnsi="Arial" w:cs="Arial"/>
          <w:sz w:val="24"/>
          <w:szCs w:val="24"/>
          <w:lang w:val="uk-UA" w:eastAsia="en-US"/>
        </w:rPr>
        <w:t>3 Опис Програми</w:t>
      </w:r>
      <w:bookmarkEnd w:id="9"/>
    </w:p>
    <w:p w:rsidR="00642FB4" w:rsidRDefault="00642FB4">
      <w:pPr>
        <w:jc w:val="both"/>
        <w:rPr>
          <w:rFonts w:eastAsia="EUAlbertina-Regular-Identity-H"/>
          <w:lang w:val="uk-UA" w:eastAsia="en-US"/>
        </w:rPr>
      </w:pPr>
    </w:p>
    <w:p w:rsidR="00642FB4" w:rsidRDefault="00642FB4">
      <w:pPr>
        <w:spacing w:before="60" w:after="60" w:line="288" w:lineRule="auto"/>
        <w:ind w:firstLine="720"/>
        <w:jc w:val="both"/>
        <w:rPr>
          <w:rFonts w:eastAsia="EUAlbertina-Regular-Identity-H"/>
          <w:b/>
          <w:bCs/>
          <w:i/>
          <w:iCs/>
          <w:lang w:val="uk-UA" w:eastAsia="en-US"/>
        </w:rPr>
      </w:pPr>
      <w:r>
        <w:rPr>
          <w:b/>
          <w:i/>
          <w:lang w:val="uk-UA"/>
        </w:rPr>
        <w:t>Загальна мета Спільної операційної програми Румунія - Україна 2014 ÷ 2020  це ріст економічного розвитку і поліпшення життя в прикордонній зоні за допомогою спільних інвестицій в освіту, економічний розвиток, культуру, інфраструктуру та охорону здоров'я.</w:t>
      </w:r>
    </w:p>
    <w:p w:rsidR="00642FB4" w:rsidRDefault="00642FB4">
      <w:pPr>
        <w:spacing w:before="60" w:after="60" w:line="288" w:lineRule="auto"/>
        <w:ind w:firstLine="709"/>
        <w:jc w:val="both"/>
        <w:rPr>
          <w:rFonts w:eastAsia="EUAlbertina-Regular-Identity-H"/>
          <w:lang w:val="uk-UA" w:eastAsia="en-US"/>
        </w:rPr>
      </w:pPr>
      <w:r>
        <w:rPr>
          <w:rFonts w:eastAsia="EUAlbertina-Regular-Identity-H"/>
          <w:lang w:val="uk-UA" w:eastAsia="en-US"/>
        </w:rPr>
        <w:t>В рамках програми Ро-Уа були визначені 4 специфічні тематичних цілей, для яких наведені нижче індикативні діяльності і бенефіціари.</w:t>
      </w:r>
    </w:p>
    <w:p w:rsidR="00642FB4" w:rsidRDefault="00642FB4">
      <w:pPr>
        <w:spacing w:before="60" w:after="60" w:line="288" w:lineRule="auto"/>
        <w:ind w:firstLine="709"/>
        <w:jc w:val="both"/>
        <w:rPr>
          <w:rFonts w:eastAsia="EUAlbertina-Regular-Identity-H"/>
          <w:lang w:val="uk-UA" w:eastAsia="en-US"/>
        </w:rPr>
      </w:pPr>
    </w:p>
    <w:p w:rsidR="00642FB4" w:rsidRDefault="00642FB4">
      <w:pPr>
        <w:spacing w:before="60" w:after="60" w:line="288" w:lineRule="auto"/>
        <w:ind w:firstLine="709"/>
        <w:jc w:val="both"/>
        <w:rPr>
          <w:rFonts w:cs="Arial"/>
          <w:b/>
          <w:lang w:val="uk-UA"/>
        </w:rPr>
      </w:pPr>
      <w:r>
        <w:rPr>
          <w:rFonts w:cs="Arial"/>
          <w:b/>
          <w:lang w:val="uk-UA"/>
        </w:rPr>
        <w:t>ТЦ 2 - Підтримка освіти, досліджень, розвитку та технологічних інновацій</w:t>
      </w:r>
    </w:p>
    <w:p w:rsidR="00642FB4" w:rsidRDefault="00642FB4">
      <w:pPr>
        <w:spacing w:before="60" w:after="60" w:line="288" w:lineRule="auto"/>
        <w:jc w:val="both"/>
        <w:rPr>
          <w:rFonts w:cs="Arial"/>
          <w:i/>
          <w:lang w:val="uk-UA"/>
        </w:rPr>
      </w:pPr>
      <w:r>
        <w:rPr>
          <w:rFonts w:cs="Arial"/>
          <w:i/>
          <w:lang w:val="uk-UA"/>
        </w:rPr>
        <w:t>Мета 1: Розвиток системи освіти, підтримка досліджень та інновацій на програмній території шляхом сприяння співробітництва на місцевому, регіональному та центральному рівні.</w:t>
      </w:r>
    </w:p>
    <w:p w:rsidR="00642FB4" w:rsidRDefault="00642FB4">
      <w:pPr>
        <w:spacing w:before="60" w:after="60" w:line="288" w:lineRule="auto"/>
        <w:ind w:firstLine="720"/>
        <w:jc w:val="both"/>
        <w:rPr>
          <w:rFonts w:cs="Arial"/>
          <w:b/>
          <w:lang w:val="uk-UA"/>
        </w:rPr>
      </w:pPr>
      <w:r>
        <w:rPr>
          <w:rFonts w:cs="Arial"/>
          <w:b/>
          <w:lang w:val="uk-UA"/>
        </w:rPr>
        <w:t>Пріоритет 1.1 - Інституційне співробітництво в галузі освіти для розширення доступу до освіти та підвищення якості освіти</w:t>
      </w:r>
    </w:p>
    <w:p w:rsidR="00642FB4" w:rsidRDefault="00642FB4">
      <w:pPr>
        <w:spacing w:before="60" w:after="60" w:line="288" w:lineRule="auto"/>
        <w:jc w:val="both"/>
        <w:rPr>
          <w:rFonts w:eastAsia="EUAlbertina-Regular-Identity-H"/>
          <w:b/>
          <w:i/>
          <w:lang w:val="uk-UA" w:eastAsia="en-US"/>
        </w:rPr>
      </w:pPr>
      <w:r>
        <w:rPr>
          <w:rFonts w:cs="Arial"/>
          <w:b/>
          <w:lang w:val="uk-UA"/>
        </w:rPr>
        <w:t>Індикативна діяльність</w:t>
      </w:r>
      <w:r>
        <w:rPr>
          <w:rFonts w:eastAsia="EUAlbertina-Regular-Identity-H"/>
          <w:b/>
          <w:iCs/>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Спільне планування та розробка освітніх стратегій</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Обмін досвідом, обміни між викладачами, передача передового досвіду між установами по обидва сторони кордону з метою підвищення ефективності освіти шляхом диверсифікації навчальних програм для працівників в освітній системі:</w:t>
      </w:r>
    </w:p>
    <w:p w:rsidR="00642FB4" w:rsidRDefault="00642FB4">
      <w:pPr>
        <w:pStyle w:val="ListParagraph"/>
        <w:numPr>
          <w:ilvl w:val="0"/>
          <w:numId w:val="71"/>
        </w:numPr>
        <w:spacing w:before="60" w:after="60" w:line="288" w:lineRule="auto"/>
        <w:jc w:val="both"/>
        <w:rPr>
          <w:lang w:val="uk-UA"/>
        </w:rPr>
      </w:pPr>
      <w:r>
        <w:rPr>
          <w:rFonts w:cs="Arial"/>
          <w:lang w:val="uk-UA"/>
        </w:rPr>
        <w:t>розвиток  шкільної системи, шкільного менеджменту, розвиток відносин між школою та суспільством</w:t>
      </w:r>
      <w:r>
        <w:rPr>
          <w:lang w:val="uk-UA"/>
        </w:rPr>
        <w:t>;</w:t>
      </w:r>
    </w:p>
    <w:p w:rsidR="00642FB4" w:rsidRDefault="00642FB4">
      <w:pPr>
        <w:pStyle w:val="ListParagraph"/>
        <w:numPr>
          <w:ilvl w:val="0"/>
          <w:numId w:val="71"/>
        </w:numPr>
        <w:spacing w:before="60" w:after="60" w:line="288" w:lineRule="auto"/>
        <w:jc w:val="both"/>
        <w:rPr>
          <w:lang w:val="uk-UA"/>
        </w:rPr>
      </w:pPr>
      <w:r>
        <w:rPr>
          <w:rFonts w:cs="Arial"/>
          <w:lang w:val="uk-UA"/>
        </w:rPr>
        <w:t>розробка і застосування інноваційних методів навчання для підвищення кваліфікації викладачів, для полегшення навчання і підвищення вмотивованості студентів</w:t>
      </w:r>
      <w:r>
        <w:rPr>
          <w:lang w:val="uk-UA"/>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Розробка спільних освітніх програм в області підприємництва, програм, які стимулюють творчість, інновації та активне громадянство</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Реабілітація / модернізація / розширення / придбання обладнання для розвитку освітньої інфраструктури та забезпечення матеріальних передумов для отримання якісної освіти та підвищення участі в освітньому процесі</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Розробка та впровадження партнерських відносин між освітніми установами на обох сторонах кордону для</w:t>
      </w:r>
      <w:r>
        <w:rPr>
          <w:rFonts w:eastAsia="EUAlbertina-Regular-Identity-H"/>
          <w:lang w:val="uk-UA" w:eastAsia="en-US"/>
        </w:rPr>
        <w:t>:</w:t>
      </w:r>
    </w:p>
    <w:p w:rsidR="00642FB4" w:rsidRDefault="00642FB4">
      <w:pPr>
        <w:numPr>
          <w:ilvl w:val="0"/>
          <w:numId w:val="31"/>
        </w:numPr>
        <w:spacing w:before="60" w:after="60" w:line="288" w:lineRule="auto"/>
        <w:jc w:val="both"/>
        <w:rPr>
          <w:lang w:val="uk-UA"/>
        </w:rPr>
      </w:pPr>
      <w:r>
        <w:rPr>
          <w:rFonts w:cs="Arial"/>
          <w:lang w:val="uk-UA"/>
        </w:rPr>
        <w:t>запобігання і коректування явища відсіву учнів та раннього залишення школи в рамках комплексних програм (у тому числі через інформаційні кампаній для усвідомлення), щоб запобігти вибуття учнів з курсів і заохочувати їх участь в шкільному процесі та реінтеграції тих, хто покинув систему освіти до закінчення  освіти</w:t>
      </w:r>
      <w:r>
        <w:rPr>
          <w:lang w:val="uk-UA"/>
        </w:rPr>
        <w:t>;</w:t>
      </w:r>
    </w:p>
    <w:p w:rsidR="00642FB4" w:rsidRDefault="00642FB4">
      <w:pPr>
        <w:numPr>
          <w:ilvl w:val="0"/>
          <w:numId w:val="31"/>
        </w:numPr>
        <w:spacing w:before="60" w:after="60" w:line="288" w:lineRule="auto"/>
        <w:jc w:val="both"/>
        <w:rPr>
          <w:lang w:val="uk-UA"/>
        </w:rPr>
      </w:pPr>
      <w:r>
        <w:rPr>
          <w:rFonts w:cs="Arial"/>
          <w:lang w:val="uk-UA"/>
        </w:rPr>
        <w:t>розробка програм "після школи" та позакласних заходів</w:t>
      </w:r>
      <w:r>
        <w:rPr>
          <w:lang w:val="uk-UA"/>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Розробка і реалізація спільних дії для підтримки вразливих груп населення, наприклад</w:t>
      </w:r>
      <w:r>
        <w:rPr>
          <w:rFonts w:eastAsia="EUAlbertina-Regular-Identity-H"/>
          <w:lang w:val="uk-UA" w:eastAsia="en-US"/>
        </w:rPr>
        <w:t>:</w:t>
      </w:r>
    </w:p>
    <w:p w:rsidR="00642FB4" w:rsidRDefault="00642FB4">
      <w:pPr>
        <w:numPr>
          <w:ilvl w:val="0"/>
          <w:numId w:val="31"/>
        </w:numPr>
        <w:spacing w:before="60" w:after="60" w:line="288" w:lineRule="auto"/>
        <w:jc w:val="both"/>
        <w:rPr>
          <w:lang w:val="uk-UA"/>
        </w:rPr>
      </w:pPr>
      <w:r>
        <w:rPr>
          <w:rFonts w:cs="Arial"/>
          <w:lang w:val="uk-UA"/>
        </w:rPr>
        <w:t>інтегровані дії, спрямовані на підтримку дітей та молоді які мають батьків, що проживають за кордоном (які можуть включати, серед іншого, консультування та інформування, програми "після школи", освітні та культурні заходи)</w:t>
      </w:r>
      <w:r>
        <w:rPr>
          <w:lang w:val="uk-UA"/>
        </w:rPr>
        <w:t xml:space="preserve"> ;</w:t>
      </w:r>
    </w:p>
    <w:p w:rsidR="00642FB4" w:rsidRDefault="00642FB4">
      <w:pPr>
        <w:numPr>
          <w:ilvl w:val="0"/>
          <w:numId w:val="31"/>
        </w:numPr>
        <w:spacing w:before="60" w:after="60" w:line="288" w:lineRule="auto"/>
        <w:jc w:val="both"/>
        <w:rPr>
          <w:lang w:val="uk-UA"/>
        </w:rPr>
      </w:pPr>
      <w:r>
        <w:rPr>
          <w:rFonts w:cs="Arial"/>
          <w:lang w:val="uk-UA"/>
        </w:rPr>
        <w:t>дії, спрямовані на сприяння соціальній інтеграції людей з обмеженими фізичними можливостями (діти, молодь та дорослі)</w:t>
      </w:r>
      <w:r>
        <w:rPr>
          <w:lang w:val="uk-UA"/>
        </w:rPr>
        <w:t xml:space="preserve">); </w:t>
      </w:r>
    </w:p>
    <w:p w:rsidR="00642FB4" w:rsidRDefault="00642FB4">
      <w:pPr>
        <w:numPr>
          <w:ilvl w:val="0"/>
          <w:numId w:val="30"/>
        </w:numPr>
        <w:spacing w:before="60" w:after="60" w:line="288" w:lineRule="auto"/>
        <w:ind w:left="993" w:hanging="284"/>
        <w:jc w:val="both"/>
        <w:rPr>
          <w:rFonts w:eastAsia="EUAlbertina-Regular-Identity-H"/>
          <w:i/>
          <w:lang w:val="uk-UA" w:eastAsia="en-US"/>
        </w:rPr>
      </w:pPr>
      <w:r>
        <w:rPr>
          <w:rFonts w:cs="Arial"/>
          <w:lang w:val="uk-UA"/>
        </w:rPr>
        <w:t>Підтримка молоді (в тому числі через освітні кампанії) для запобігання зловживання наркотиками, торгівлю людьми, зловживання алкоголем і т.д</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i/>
          <w:lang w:val="uk-UA" w:eastAsia="en-US"/>
        </w:rPr>
      </w:pPr>
      <w:r>
        <w:rPr>
          <w:rFonts w:cs="Arial"/>
          <w:lang w:val="uk-UA"/>
        </w:rPr>
        <w:t>Розробка і реалізація транскордонних програм і заходів щодо поліпшення / підвищення кваліфікації, спрощення отримання навичок і компетенції, необхідних  на ринку праці.</w:t>
      </w:r>
    </w:p>
    <w:p w:rsidR="00642FB4" w:rsidRDefault="00642FB4">
      <w:pPr>
        <w:spacing w:before="60" w:after="60" w:line="288" w:lineRule="auto"/>
        <w:ind w:left="993"/>
        <w:jc w:val="both"/>
        <w:rPr>
          <w:rFonts w:eastAsia="EUAlbertina-Regular-Identity-H"/>
          <w:sz w:val="22"/>
          <w:szCs w:val="22"/>
          <w:lang w:val="uk-UA" w:eastAsia="en-US"/>
        </w:rPr>
      </w:pPr>
      <w:r>
        <w:rPr>
          <w:rFonts w:eastAsia="EUAlbertina-Regular-Identity-H"/>
          <w:sz w:val="22"/>
          <w:szCs w:val="22"/>
          <w:lang w:val="uk-UA" w:eastAsia="en-US"/>
        </w:rPr>
        <w:t xml:space="preserve">* </w:t>
      </w:r>
      <w:r>
        <w:rPr>
          <w:rFonts w:eastAsia="EUAlbertina-Regular-Identity-H"/>
          <w:i/>
          <w:sz w:val="22"/>
          <w:szCs w:val="22"/>
          <w:lang w:val="uk-UA" w:eastAsia="en-US"/>
        </w:rPr>
        <w:t>Будуть підтримуватися тільки заходи, які не приносять економічні вигоди бенефіціарам</w:t>
      </w:r>
      <w:r>
        <w:rPr>
          <w:rFonts w:eastAsia="EUAlbertina-Regular-Identity-H"/>
          <w:sz w:val="22"/>
          <w:szCs w:val="22"/>
          <w:lang w:val="uk-UA" w:eastAsia="en-US"/>
        </w:rPr>
        <w:t xml:space="preserve"> </w:t>
      </w:r>
    </w:p>
    <w:p w:rsidR="00642FB4" w:rsidRDefault="00642FB4">
      <w:pPr>
        <w:spacing w:before="60" w:after="60" w:line="288" w:lineRule="auto"/>
        <w:ind w:left="993"/>
        <w:jc w:val="both"/>
        <w:rPr>
          <w:rFonts w:eastAsia="EUAlbertina-Regular-Identity-H"/>
          <w:i/>
          <w:sz w:val="22"/>
          <w:szCs w:val="22"/>
          <w:lang w:val="uk-UA" w:eastAsia="en-US"/>
        </w:rPr>
      </w:pPr>
      <w:r>
        <w:rPr>
          <w:rFonts w:eastAsia="EUAlbertina-Regular-Identity-H"/>
          <w:sz w:val="22"/>
          <w:szCs w:val="22"/>
          <w:lang w:val="uk-UA" w:eastAsia="en-US"/>
        </w:rPr>
        <w:t xml:space="preserve">** </w:t>
      </w:r>
      <w:r>
        <w:rPr>
          <w:rFonts w:eastAsia="EUAlbertina-Regular-Identity-H"/>
          <w:i/>
          <w:sz w:val="22"/>
          <w:szCs w:val="22"/>
          <w:lang w:val="uk-UA" w:eastAsia="en-US"/>
        </w:rPr>
        <w:t>Для відбору такого проекту ці дії повинні проходити в рамках освітніх кампаній у співпраці з освітніми установами.</w:t>
      </w:r>
    </w:p>
    <w:p w:rsidR="00642FB4" w:rsidRDefault="00642FB4">
      <w:pPr>
        <w:spacing w:before="60" w:after="60" w:line="288" w:lineRule="auto"/>
        <w:jc w:val="both"/>
        <w:rPr>
          <w:rFonts w:eastAsia="EUAlbertina-Regular-Identity-H"/>
          <w:b/>
          <w:i/>
          <w:lang w:val="uk-UA" w:eastAsia="en-US"/>
        </w:rPr>
      </w:pPr>
      <w:r>
        <w:rPr>
          <w:rFonts w:eastAsia="EUAlbertina-Regular-Identity-H"/>
          <w:b/>
          <w:i/>
          <w:lang w:val="uk-UA" w:eastAsia="en-US"/>
        </w:rPr>
        <w:t>Індикативні бенефіціари:</w:t>
      </w:r>
    </w:p>
    <w:p w:rsidR="00642FB4" w:rsidRDefault="00642FB4">
      <w:pPr>
        <w:numPr>
          <w:ilvl w:val="0"/>
          <w:numId w:val="19"/>
        </w:numPr>
        <w:spacing w:before="60" w:after="60" w:line="288" w:lineRule="auto"/>
        <w:jc w:val="both"/>
        <w:rPr>
          <w:lang w:val="uk-UA"/>
        </w:rPr>
      </w:pPr>
      <w:r>
        <w:rPr>
          <w:lang w:val="uk-UA"/>
        </w:rPr>
        <w:t>Установи державного управління  на національному / регіональному / місцевому та інші державні установи;</w:t>
      </w:r>
    </w:p>
    <w:p w:rsidR="00642FB4" w:rsidRDefault="00642FB4">
      <w:pPr>
        <w:numPr>
          <w:ilvl w:val="0"/>
          <w:numId w:val="19"/>
        </w:numPr>
        <w:spacing w:before="60" w:after="60" w:line="288" w:lineRule="auto"/>
        <w:jc w:val="both"/>
        <w:rPr>
          <w:lang w:val="uk-UA"/>
        </w:rPr>
      </w:pPr>
      <w:r>
        <w:rPr>
          <w:lang w:val="uk-UA"/>
        </w:rPr>
        <w:t>Навчальні заклади;</w:t>
      </w:r>
    </w:p>
    <w:p w:rsidR="00642FB4" w:rsidRDefault="00642FB4">
      <w:pPr>
        <w:numPr>
          <w:ilvl w:val="0"/>
          <w:numId w:val="19"/>
        </w:numPr>
        <w:spacing w:before="60" w:after="60" w:line="288" w:lineRule="auto"/>
        <w:jc w:val="both"/>
        <w:rPr>
          <w:lang w:val="uk-UA"/>
        </w:rPr>
      </w:pPr>
      <w:r>
        <w:rPr>
          <w:lang w:val="uk-UA"/>
        </w:rPr>
        <w:t>НУО / професійні об'єднання вчителів / інші відповідні асоціацій;</w:t>
      </w:r>
    </w:p>
    <w:p w:rsidR="00642FB4" w:rsidRDefault="00642FB4">
      <w:pPr>
        <w:numPr>
          <w:ilvl w:val="0"/>
          <w:numId w:val="19"/>
        </w:numPr>
        <w:spacing w:before="60" w:after="60" w:line="288" w:lineRule="auto"/>
        <w:jc w:val="both"/>
        <w:rPr>
          <w:rFonts w:eastAsia="EUAlbertina-Regular-Identity-H"/>
          <w:i/>
          <w:lang w:val="uk-UA" w:eastAsia="en-US"/>
        </w:rPr>
      </w:pPr>
      <w:r>
        <w:rPr>
          <w:lang w:val="uk-UA"/>
        </w:rPr>
        <w:t xml:space="preserve">Організації з галузі охорони здоров'я, яка діє для профілактики і лікування </w:t>
      </w:r>
      <w:r>
        <w:rPr>
          <w:rFonts w:cs="Arial"/>
          <w:shd w:val="clear" w:color="auto" w:fill="FFFFFF"/>
          <w:lang w:val="uk-UA"/>
        </w:rPr>
        <w:t>алкоголізму</w:t>
      </w:r>
      <w:r>
        <w:rPr>
          <w:lang w:val="uk-UA"/>
        </w:rPr>
        <w:t xml:space="preserve"> і споживання наркотиків ***.</w:t>
      </w:r>
    </w:p>
    <w:p w:rsidR="00642FB4" w:rsidRDefault="00642FB4">
      <w:pPr>
        <w:spacing w:before="60" w:after="60" w:line="288" w:lineRule="auto"/>
        <w:ind w:left="993"/>
        <w:jc w:val="both"/>
        <w:rPr>
          <w:rFonts w:eastAsia="EUAlbertina-Regular-Identity-H"/>
          <w:i/>
          <w:sz w:val="22"/>
          <w:szCs w:val="22"/>
          <w:lang w:val="uk-UA" w:eastAsia="en-US"/>
        </w:rPr>
      </w:pPr>
      <w:r>
        <w:rPr>
          <w:rFonts w:eastAsia="EUAlbertina-Regular-Identity-H"/>
          <w:i/>
          <w:sz w:val="22"/>
          <w:szCs w:val="22"/>
          <w:lang w:val="uk-UA" w:eastAsia="en-US"/>
        </w:rPr>
        <w:t>*** Можуть бути відібрані бенефіціари, які мають партнерство / співробітництво з освітніми установами.</w:t>
      </w:r>
    </w:p>
    <w:p w:rsidR="00642FB4" w:rsidRDefault="00642FB4">
      <w:pPr>
        <w:spacing w:before="60" w:after="60" w:line="288" w:lineRule="auto"/>
        <w:ind w:left="993"/>
        <w:jc w:val="both"/>
        <w:rPr>
          <w:rFonts w:eastAsia="EUAlbertina-Regular-Identity-H"/>
          <w:i/>
          <w:sz w:val="22"/>
          <w:szCs w:val="22"/>
          <w:lang w:val="uk-UA" w:eastAsia="en-US"/>
        </w:rPr>
      </w:pPr>
    </w:p>
    <w:p w:rsidR="00642FB4" w:rsidRDefault="00642FB4">
      <w:pPr>
        <w:spacing w:before="60" w:after="60" w:line="288" w:lineRule="auto"/>
        <w:jc w:val="both"/>
        <w:rPr>
          <w:rFonts w:cs="Arial"/>
          <w:b/>
          <w:lang w:val="uk-UA"/>
        </w:rPr>
      </w:pPr>
      <w:r>
        <w:rPr>
          <w:rFonts w:cs="Arial"/>
          <w:b/>
          <w:lang w:val="uk-UA"/>
        </w:rPr>
        <w:t>Пріоритет 1.2 - Розвиток і підтримка досліджень та інновацій</w:t>
      </w:r>
    </w:p>
    <w:p w:rsidR="00642FB4" w:rsidRDefault="00642FB4">
      <w:pPr>
        <w:spacing w:before="60" w:after="60" w:line="288" w:lineRule="auto"/>
        <w:jc w:val="both"/>
        <w:rPr>
          <w:rFonts w:eastAsia="EUAlbertina-Regular-Identity-H"/>
          <w:b/>
          <w:i/>
          <w:lang w:val="uk-UA" w:eastAsia="en-US"/>
        </w:rPr>
      </w:pPr>
      <w:r>
        <w:rPr>
          <w:rFonts w:cs="Arial"/>
          <w:b/>
          <w:i/>
          <w:lang w:val="uk-UA"/>
        </w:rPr>
        <w:t>Індикативна діяльність</w:t>
      </w:r>
      <w:r>
        <w:rPr>
          <w:rFonts w:eastAsia="EUAlbertina-Regular-Identity-H"/>
          <w:b/>
          <w:i/>
          <w:iCs/>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Розвиток партнерств / мереж між університетами для спільної теоретичної науково-дослідної діяльності</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Спільні дослідження (у тому числі придбання обладнання) в галузі навколишнього середовища (зміна клімату, збереження біорізноманіття, відновлюваних джерел енергії та підвищення ефективності використання ресурсів і т.д.).</w:t>
      </w:r>
      <w:r>
        <w:rPr>
          <w:rFonts w:eastAsia="EUAlbertina-Regular-Identity-H"/>
          <w:lang w:val="uk-UA" w:eastAsia="en-US"/>
        </w:rPr>
        <w:t>;</w:t>
      </w:r>
      <w:r>
        <w:rPr>
          <w:rFonts w:cs="Arial"/>
          <w:lang w:val="uk-UA"/>
        </w:rPr>
        <w:t xml:space="preserve"> </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Просування і підтримка досліджень та інновацій через реабілітації / модернізації / розширення конкретної інфраструктури, в тому числі придбання спеціального обладнання</w:t>
      </w:r>
      <w:r>
        <w:rPr>
          <w:rFonts w:eastAsia="EUAlbertina-Regular-Identity-H"/>
          <w:lang w:val="uk-UA" w:eastAsia="en-US"/>
        </w:rPr>
        <w:t>.</w:t>
      </w:r>
    </w:p>
    <w:p w:rsidR="00642FB4" w:rsidRDefault="00642FB4">
      <w:pPr>
        <w:spacing w:before="60" w:after="60" w:line="288" w:lineRule="auto"/>
        <w:jc w:val="both"/>
        <w:rPr>
          <w:rFonts w:eastAsia="EUAlbertina-Regular-Identity-H"/>
          <w:b/>
          <w:i/>
          <w:lang w:val="uk-UA" w:eastAsia="en-US"/>
        </w:rPr>
      </w:pPr>
      <w:r>
        <w:rPr>
          <w:rFonts w:eastAsia="EUAlbertina-Regular-Identity-H"/>
          <w:b/>
          <w:i/>
          <w:lang w:val="uk-UA" w:eastAsia="en-US"/>
        </w:rPr>
        <w:t>Індикативні бенефіціари:</w:t>
      </w:r>
    </w:p>
    <w:p w:rsidR="00642FB4" w:rsidRDefault="00642FB4">
      <w:pPr>
        <w:numPr>
          <w:ilvl w:val="0"/>
          <w:numId w:val="20"/>
        </w:numPr>
        <w:spacing w:before="60" w:after="60" w:line="288" w:lineRule="auto"/>
        <w:jc w:val="both"/>
        <w:rPr>
          <w:rFonts w:cs="Arial"/>
          <w:lang w:val="uk-UA"/>
        </w:rPr>
      </w:pPr>
      <w:r>
        <w:rPr>
          <w:rFonts w:cs="Arial"/>
          <w:lang w:val="uk-UA"/>
        </w:rPr>
        <w:t>Університети;</w:t>
      </w:r>
    </w:p>
    <w:p w:rsidR="00642FB4" w:rsidRDefault="00642FB4">
      <w:pPr>
        <w:numPr>
          <w:ilvl w:val="0"/>
          <w:numId w:val="20"/>
        </w:numPr>
        <w:spacing w:before="60" w:after="60" w:line="288" w:lineRule="auto"/>
        <w:jc w:val="both"/>
        <w:rPr>
          <w:rFonts w:cs="Arial"/>
          <w:lang w:val="uk-UA"/>
        </w:rPr>
      </w:pPr>
      <w:r>
        <w:rPr>
          <w:rFonts w:cs="Arial"/>
          <w:lang w:val="uk-UA"/>
        </w:rPr>
        <w:t>Інститути / науково-дослідні організації, НУО;</w:t>
      </w:r>
    </w:p>
    <w:p w:rsidR="00642FB4" w:rsidRDefault="00642FB4">
      <w:pPr>
        <w:numPr>
          <w:ilvl w:val="0"/>
          <w:numId w:val="19"/>
        </w:numPr>
        <w:spacing w:before="60" w:after="60" w:line="288" w:lineRule="auto"/>
        <w:jc w:val="both"/>
        <w:rPr>
          <w:lang w:val="uk-UA"/>
        </w:rPr>
      </w:pPr>
      <w:r>
        <w:rPr>
          <w:lang w:val="uk-UA"/>
        </w:rPr>
        <w:t>Установи державного управління  на національному / регіональному / місцевому та інші державні установи;</w:t>
      </w:r>
    </w:p>
    <w:p w:rsidR="00642FB4" w:rsidRDefault="00642FB4">
      <w:pPr>
        <w:numPr>
          <w:ilvl w:val="0"/>
          <w:numId w:val="20"/>
        </w:numPr>
        <w:spacing w:before="60" w:after="60" w:line="288" w:lineRule="auto"/>
        <w:jc w:val="both"/>
        <w:rPr>
          <w:rFonts w:cs="Arial"/>
          <w:lang w:val="uk-UA"/>
        </w:rPr>
      </w:pPr>
      <w:r>
        <w:rPr>
          <w:rFonts w:cs="Arial"/>
          <w:lang w:val="uk-UA"/>
        </w:rPr>
        <w:t>Професійні асоціації або інші відповідні організації..</w:t>
      </w:r>
    </w:p>
    <w:p w:rsidR="00642FB4" w:rsidRDefault="00642FB4">
      <w:pPr>
        <w:spacing w:before="60" w:after="60" w:line="288" w:lineRule="auto"/>
        <w:jc w:val="both"/>
        <w:rPr>
          <w:rFonts w:eastAsia="EUAlbertina-Regular-Identity-H"/>
          <w:lang w:val="uk-UA" w:eastAsia="en-US"/>
        </w:rPr>
      </w:pPr>
    </w:p>
    <w:p w:rsidR="00642FB4" w:rsidRDefault="00642FB4">
      <w:pPr>
        <w:spacing w:before="60" w:after="60" w:line="288" w:lineRule="auto"/>
        <w:jc w:val="both"/>
        <w:rPr>
          <w:rFonts w:cs="Arial"/>
          <w:b/>
          <w:lang w:val="uk-UA"/>
        </w:rPr>
      </w:pPr>
      <w:r>
        <w:rPr>
          <w:b/>
          <w:lang w:val="uk-UA"/>
        </w:rPr>
        <w:t xml:space="preserve">TЦ3- </w:t>
      </w:r>
      <w:r>
        <w:rPr>
          <w:rFonts w:cs="Arial"/>
          <w:b/>
          <w:lang w:val="uk-UA"/>
        </w:rPr>
        <w:t>Просування місцевої культури і збереження історичної спадщини</w:t>
      </w:r>
    </w:p>
    <w:p w:rsidR="00642FB4" w:rsidRDefault="00642FB4">
      <w:pPr>
        <w:spacing w:before="60" w:after="60" w:line="288" w:lineRule="auto"/>
        <w:ind w:firstLine="720"/>
        <w:jc w:val="both"/>
        <w:rPr>
          <w:rFonts w:cs="Arial"/>
          <w:i/>
          <w:lang w:val="uk-UA"/>
        </w:rPr>
      </w:pPr>
      <w:r>
        <w:rPr>
          <w:rFonts w:cs="Arial"/>
          <w:b/>
          <w:i/>
          <w:lang w:val="uk-UA"/>
        </w:rPr>
        <w:t>Мета 2:</w:t>
      </w:r>
      <w:r>
        <w:rPr>
          <w:rFonts w:cs="Arial"/>
          <w:i/>
          <w:lang w:val="uk-UA"/>
        </w:rPr>
        <w:t xml:space="preserve"> Консервація культурної та історичної спадщини на програмній території, підтримка розвитку місцевої культури, культурної самобутності та культурного діалогу, сприяючи підвищенню привабливості прийнятній території </w:t>
      </w:r>
    </w:p>
    <w:p w:rsidR="00642FB4" w:rsidRDefault="00642FB4">
      <w:pPr>
        <w:spacing w:before="60" w:after="60" w:line="288" w:lineRule="auto"/>
        <w:ind w:firstLine="720"/>
        <w:jc w:val="both"/>
        <w:rPr>
          <w:rFonts w:cs="Arial"/>
          <w:b/>
          <w:lang w:val="uk-UA"/>
        </w:rPr>
      </w:pPr>
      <w:r>
        <w:rPr>
          <w:rFonts w:cs="Arial"/>
          <w:b/>
          <w:lang w:val="uk-UA"/>
        </w:rPr>
        <w:t>Пріоритет 2.1 - Консервація</w:t>
      </w:r>
      <w:r>
        <w:rPr>
          <w:rFonts w:cs="Arial"/>
          <w:b/>
          <w:i/>
          <w:lang w:val="uk-UA"/>
        </w:rPr>
        <w:t xml:space="preserve"> </w:t>
      </w:r>
      <w:r>
        <w:rPr>
          <w:rFonts w:cs="Arial"/>
          <w:b/>
          <w:lang w:val="uk-UA"/>
        </w:rPr>
        <w:t>і просування культурної та історичної спадщини</w:t>
      </w:r>
    </w:p>
    <w:p w:rsidR="00642FB4" w:rsidRDefault="00642FB4">
      <w:pPr>
        <w:spacing w:before="60" w:after="60" w:line="288" w:lineRule="auto"/>
        <w:jc w:val="both"/>
        <w:rPr>
          <w:rFonts w:cs="Arial"/>
          <w:lang w:val="uk-UA"/>
        </w:rPr>
      </w:pPr>
      <w:r>
        <w:rPr>
          <w:rFonts w:cs="Arial"/>
          <w:lang w:val="uk-UA"/>
        </w:rPr>
        <w:t>Відновлення, консервація, зміцнення, захист, забезпечення культурних та історичних пам'яток (у тому числі під'їзних доріг), музеї, художні колекції, об'єкти та стратегії їхнього спільного просування / відповідні транскордонні концепцій</w:t>
      </w:r>
      <w:r>
        <w:rPr>
          <w:rFonts w:eastAsia="EUAlbertina-Regular-Identity-H"/>
          <w:lang w:val="uk-UA" w:eastAsia="en-US"/>
        </w:rPr>
        <w:t xml:space="preserve">; </w:t>
      </w:r>
      <w:r>
        <w:rPr>
          <w:rFonts w:cs="Arial"/>
          <w:lang w:val="uk-UA"/>
        </w:rPr>
        <w:t>Консервація, охорона та спільне підвищення цінності пам'ятників та історичних та культурних цінностях</w:t>
      </w:r>
    </w:p>
    <w:p w:rsidR="00642FB4" w:rsidRDefault="00642FB4">
      <w:pPr>
        <w:spacing w:before="60" w:after="60" w:line="288" w:lineRule="auto"/>
        <w:ind w:firstLine="709"/>
        <w:jc w:val="both"/>
        <w:rPr>
          <w:rFonts w:eastAsia="EUAlbertina-Regular-Identity-H"/>
          <w:b/>
          <w:i/>
          <w:lang w:val="uk-UA" w:eastAsia="en-US"/>
        </w:rPr>
      </w:pPr>
      <w:r>
        <w:rPr>
          <w:rFonts w:cs="Arial"/>
          <w:b/>
          <w:i/>
          <w:lang w:val="uk-UA"/>
        </w:rPr>
        <w:t>Індикативна діяльність</w:t>
      </w:r>
      <w:r>
        <w:rPr>
          <w:rFonts w:eastAsia="EUAlbertina-Regular-Identity-H"/>
          <w:b/>
          <w:i/>
          <w:iCs/>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Підтримка партнерських відносин між установами культури з метою просування культурної та історичної спадщини</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Підтримка конкретних традиційних ремесел важливих для  збереження місцевої культури та ідентичності</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Просування традиційних видів діяльності на прийнятній території (у тому числі транскордонні культурні заходи місцевого значення</w:t>
      </w:r>
      <w:r>
        <w:rPr>
          <w:rFonts w:eastAsia="EUAlbertina-Regular-Identity-H"/>
          <w:lang w:val="uk-UA" w:eastAsia="en-US"/>
        </w:rPr>
        <w:t xml:space="preserve"> </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Збереження, просування і розвиток культурної та історичної спадщини, зокрема за допомогою культурних подій з транскордонним значенням</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Підвищення цінності історично-культурної спадщини за допомогою розробки спільних стратегій для просування продукції і та спільних послуг</w:t>
      </w:r>
      <w:r>
        <w:rPr>
          <w:rFonts w:eastAsia="EUAlbertina-Regular-Identity-H"/>
          <w:lang w:val="uk-UA" w:eastAsia="en-US"/>
        </w:rPr>
        <w:t>.</w:t>
      </w:r>
    </w:p>
    <w:p w:rsidR="00642FB4" w:rsidRDefault="00642FB4">
      <w:pPr>
        <w:spacing w:before="60" w:after="60" w:line="288" w:lineRule="auto"/>
        <w:ind w:firstLine="360"/>
        <w:jc w:val="both"/>
        <w:rPr>
          <w:rFonts w:eastAsia="EUAlbertina-Regular-Identity-H"/>
          <w:b/>
          <w:i/>
          <w:lang w:val="uk-UA" w:eastAsia="en-US"/>
        </w:rPr>
      </w:pPr>
      <w:r>
        <w:rPr>
          <w:rFonts w:eastAsia="EUAlbertina-Regular-Identity-H"/>
          <w:b/>
          <w:i/>
          <w:lang w:val="uk-UA" w:eastAsia="en-US"/>
        </w:rPr>
        <w:t>Індикативні бенефіціари:</w:t>
      </w:r>
    </w:p>
    <w:p w:rsidR="00642FB4" w:rsidRDefault="00642FB4">
      <w:pPr>
        <w:numPr>
          <w:ilvl w:val="0"/>
          <w:numId w:val="21"/>
        </w:numPr>
        <w:spacing w:before="60" w:after="60" w:line="288" w:lineRule="auto"/>
        <w:jc w:val="both"/>
        <w:rPr>
          <w:rFonts w:eastAsia="EUAlbertina-Regular-Identity-H"/>
          <w:lang w:val="uk-UA" w:eastAsia="en-US"/>
        </w:rPr>
      </w:pPr>
      <w:r>
        <w:rPr>
          <w:rFonts w:eastAsia="EUAlbertina-Regular-Identity-H"/>
          <w:lang w:val="uk-UA" w:eastAsia="en-US"/>
        </w:rPr>
        <w:t>Музеї, вищі культурні / релігійні установи;</w:t>
      </w:r>
    </w:p>
    <w:p w:rsidR="00642FB4" w:rsidRDefault="00642FB4">
      <w:pPr>
        <w:numPr>
          <w:ilvl w:val="0"/>
          <w:numId w:val="21"/>
        </w:numPr>
        <w:spacing w:before="60" w:after="60" w:line="288" w:lineRule="auto"/>
        <w:jc w:val="both"/>
        <w:rPr>
          <w:lang w:val="uk-UA"/>
        </w:rPr>
      </w:pPr>
      <w:r>
        <w:rPr>
          <w:lang w:val="uk-UA"/>
        </w:rPr>
        <w:t>Установи державного управління  на національному / регіональному / місцевому та інші державні установи;</w:t>
      </w:r>
    </w:p>
    <w:p w:rsidR="00642FB4" w:rsidRDefault="00642FB4">
      <w:pPr>
        <w:numPr>
          <w:ilvl w:val="0"/>
          <w:numId w:val="21"/>
        </w:numPr>
        <w:spacing w:before="60" w:after="60" w:line="288" w:lineRule="auto"/>
        <w:jc w:val="both"/>
        <w:rPr>
          <w:rFonts w:eastAsia="EUAlbertina-Regular-Identity-H"/>
          <w:lang w:val="uk-UA" w:eastAsia="en-US"/>
        </w:rPr>
      </w:pPr>
      <w:r>
        <w:rPr>
          <w:rFonts w:eastAsia="EUAlbertina-Regular-Identity-H"/>
          <w:lang w:val="uk-UA" w:eastAsia="en-US"/>
        </w:rPr>
        <w:t>НУО, культурні та туристичні асоціації;</w:t>
      </w:r>
    </w:p>
    <w:p w:rsidR="00642FB4" w:rsidRDefault="00642FB4">
      <w:pPr>
        <w:numPr>
          <w:ilvl w:val="0"/>
          <w:numId w:val="21"/>
        </w:numPr>
        <w:spacing w:before="60" w:after="60" w:line="288" w:lineRule="auto"/>
        <w:jc w:val="both"/>
        <w:rPr>
          <w:rFonts w:eastAsia="EUAlbertina-Regular-Identity-H"/>
          <w:lang w:val="uk-UA" w:eastAsia="en-US"/>
        </w:rPr>
      </w:pPr>
      <w:r>
        <w:rPr>
          <w:rFonts w:eastAsia="EUAlbertina-Regular-Identity-H"/>
          <w:lang w:val="uk-UA" w:eastAsia="en-US"/>
        </w:rPr>
        <w:t>Місцеві асоціації в галузі традиційних видів діяльності та ремесел;</w:t>
      </w:r>
    </w:p>
    <w:p w:rsidR="00642FB4" w:rsidRDefault="00642FB4">
      <w:pPr>
        <w:numPr>
          <w:ilvl w:val="0"/>
          <w:numId w:val="21"/>
        </w:numPr>
        <w:spacing w:before="60" w:after="60" w:line="288" w:lineRule="auto"/>
        <w:jc w:val="both"/>
        <w:rPr>
          <w:rFonts w:eastAsia="EUAlbertina-Regular-Identity-H"/>
          <w:lang w:val="uk-UA" w:eastAsia="en-US"/>
        </w:rPr>
      </w:pPr>
      <w:r>
        <w:rPr>
          <w:rFonts w:eastAsia="EUAlbertina-Regular-Identity-H"/>
          <w:lang w:val="uk-UA" w:eastAsia="en-US"/>
        </w:rPr>
        <w:t xml:space="preserve">Міжнародні організації. </w:t>
      </w:r>
    </w:p>
    <w:p w:rsidR="00642FB4" w:rsidRDefault="00642FB4">
      <w:pPr>
        <w:spacing w:line="259" w:lineRule="auto"/>
        <w:jc w:val="both"/>
        <w:rPr>
          <w:rFonts w:eastAsia="Calibri" w:cs="Arial"/>
          <w:b/>
          <w:bCs/>
          <w:color w:val="3476B1"/>
          <w:lang w:val="uk-UA" w:eastAsia="en-US"/>
        </w:rPr>
      </w:pPr>
    </w:p>
    <w:p w:rsidR="00642FB4" w:rsidRDefault="00642FB4">
      <w:pPr>
        <w:spacing w:before="60" w:after="60" w:line="288" w:lineRule="auto"/>
        <w:jc w:val="both"/>
        <w:rPr>
          <w:rFonts w:cs="Arial"/>
          <w:lang w:val="uk-UA"/>
        </w:rPr>
      </w:pPr>
      <w:r>
        <w:rPr>
          <w:rFonts w:cs="Arial"/>
          <w:b/>
          <w:lang w:val="uk-UA"/>
        </w:rPr>
        <w:t xml:space="preserve">ТЦ7 – ПІДВИЩЕННЯ ДОСТУПНОСТІ В РЕГІОНАХ, РОЗВИТОК ТРАНСПОРТНИХ ТА КОМУНІКАЦІЇНИХ СИСТЕМ ТА МЕРЕЖ </w:t>
      </w:r>
    </w:p>
    <w:p w:rsidR="00642FB4" w:rsidRDefault="00642FB4">
      <w:pPr>
        <w:spacing w:before="60" w:after="60" w:line="288" w:lineRule="auto"/>
        <w:jc w:val="both"/>
        <w:rPr>
          <w:rFonts w:cs="Arial"/>
          <w:i/>
          <w:lang w:val="uk-UA"/>
        </w:rPr>
      </w:pPr>
      <w:r>
        <w:rPr>
          <w:rFonts w:cs="Arial"/>
          <w:b/>
          <w:i/>
          <w:lang w:val="uk-UA"/>
        </w:rPr>
        <w:t>Мета 3</w:t>
      </w:r>
      <w:r>
        <w:rPr>
          <w:rFonts w:cs="Arial"/>
          <w:i/>
          <w:lang w:val="uk-UA"/>
        </w:rPr>
        <w:t>:  Поліпшення послуг в галузі громадського транспорту, інфраструктури, співпраці та мереж ІТК</w:t>
      </w:r>
    </w:p>
    <w:p w:rsidR="00642FB4" w:rsidRDefault="00642FB4">
      <w:pPr>
        <w:spacing w:before="60" w:after="60" w:line="288" w:lineRule="auto"/>
        <w:jc w:val="both"/>
        <w:rPr>
          <w:rFonts w:cs="Arial"/>
          <w:b/>
          <w:lang w:val="uk-UA"/>
        </w:rPr>
      </w:pPr>
      <w:r>
        <w:rPr>
          <w:rFonts w:cs="Arial"/>
          <w:b/>
          <w:lang w:val="uk-UA"/>
        </w:rPr>
        <w:t>Пріоритет 3.1 - Розвиток транскордонної транспортної інфраструктури та інструментів ITК</w:t>
      </w:r>
    </w:p>
    <w:p w:rsidR="00642FB4" w:rsidRDefault="00642FB4">
      <w:pPr>
        <w:spacing w:before="60" w:after="60" w:line="288" w:lineRule="auto"/>
        <w:jc w:val="both"/>
        <w:rPr>
          <w:rFonts w:eastAsia="EUAlbertina-Regular-Identity-H"/>
          <w:b/>
          <w:i/>
          <w:lang w:val="uk-UA" w:eastAsia="en-US"/>
        </w:rPr>
      </w:pPr>
      <w:r>
        <w:rPr>
          <w:rFonts w:cs="Arial"/>
          <w:b/>
          <w:i/>
          <w:lang w:val="uk-UA"/>
        </w:rPr>
        <w:t>Індикативна діяльність</w:t>
      </w:r>
      <w:r>
        <w:rPr>
          <w:rFonts w:eastAsia="EUAlbertina-Regular-Identity-H"/>
          <w:b/>
          <w:i/>
          <w:iCs/>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Реконструкція, реабілітація, модернізація систем прикордонного транспорту</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Розвиток екологічно чистих транспортних транскордонних ініціатив та інноваційних рішень</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Покращення послуг мультимодальних транспортних систем (дорожній / річковий транспорт) згідно з транскордонними інтересам</w:t>
      </w:r>
      <w:r>
        <w:rPr>
          <w:rFonts w:eastAsia="EUAlbertina-Regular-Identity-H"/>
          <w:lang w:val="uk-UA" w:eastAsia="en-US"/>
        </w:rPr>
        <w:t>;</w:t>
      </w:r>
    </w:p>
    <w:p w:rsidR="00642FB4" w:rsidRDefault="00642FB4">
      <w:pPr>
        <w:numPr>
          <w:ilvl w:val="0"/>
          <w:numId w:val="30"/>
        </w:numPr>
        <w:spacing w:before="60" w:after="60" w:line="288" w:lineRule="auto"/>
        <w:ind w:left="990" w:hanging="270"/>
        <w:jc w:val="both"/>
        <w:rPr>
          <w:rFonts w:eastAsia="EUAlbertina-Regular-Identity-H"/>
          <w:lang w:val="uk-UA" w:eastAsia="en-US"/>
        </w:rPr>
      </w:pPr>
      <w:r>
        <w:rPr>
          <w:rFonts w:cs="Arial"/>
          <w:lang w:val="uk-UA"/>
        </w:rPr>
        <w:t>Реконструкція, реабілітація, розширення доріг або дорожніх сегментів, що з'єднують населені пункти вздовж головної дороги, що веде до кордону</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Поліпшення / відновлення / будівництво доріг або дорожніх сегментів для доступу до центрів транскордонного інтересу</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Розробка спільних стратегій / політики / планів для поліпшення транскордонної транспортної інфраструктури</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Розвиток транскордонних зв'язків, інформації та інтегрованих комунікаційних мереж та послуг</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Модернізація існуючих засобів для поліпшення зв'язків між громадами та соціальними послугами, які сприяють співпраці на ширшій міжнародній і транскордонній  основі</w:t>
      </w:r>
      <w:r>
        <w:rPr>
          <w:rFonts w:eastAsia="EUAlbertina-Regular-Identity-H"/>
          <w:lang w:val="uk-UA" w:eastAsia="en-US"/>
        </w:rPr>
        <w:t>.</w:t>
      </w:r>
    </w:p>
    <w:p w:rsidR="00642FB4" w:rsidRDefault="00642FB4">
      <w:pPr>
        <w:spacing w:before="60" w:after="60" w:line="288" w:lineRule="auto"/>
        <w:jc w:val="both"/>
        <w:rPr>
          <w:rFonts w:eastAsia="EUAlbertina-Regular-Identity-H"/>
          <w:b/>
          <w:i/>
          <w:lang w:val="uk-UA" w:eastAsia="en-US"/>
        </w:rPr>
      </w:pPr>
      <w:r>
        <w:rPr>
          <w:rFonts w:eastAsia="EUAlbertina-Regular-Identity-H"/>
          <w:b/>
          <w:i/>
          <w:lang w:val="uk-UA" w:eastAsia="en-US"/>
        </w:rPr>
        <w:t>Індикативні бенефіціари:</w:t>
      </w:r>
    </w:p>
    <w:p w:rsidR="00642FB4" w:rsidRDefault="00642FB4">
      <w:pPr>
        <w:numPr>
          <w:ilvl w:val="0"/>
          <w:numId w:val="22"/>
        </w:numPr>
        <w:spacing w:before="60" w:after="60" w:line="288" w:lineRule="auto"/>
        <w:jc w:val="both"/>
        <w:rPr>
          <w:lang w:val="uk-UA"/>
        </w:rPr>
      </w:pPr>
      <w:r>
        <w:rPr>
          <w:lang w:val="uk-UA"/>
        </w:rPr>
        <w:t>Установи державного управління  на національному / регіональному / місцевому та інші державні установи</w:t>
      </w:r>
      <w:r>
        <w:rPr>
          <w:rFonts w:eastAsia="EUAlbertina-Regular-Identity-H"/>
          <w:lang w:val="uk-UA" w:eastAsia="en-US"/>
        </w:rPr>
        <w:t>;</w:t>
      </w:r>
    </w:p>
    <w:p w:rsidR="00642FB4" w:rsidRDefault="00642FB4">
      <w:pPr>
        <w:numPr>
          <w:ilvl w:val="0"/>
          <w:numId w:val="22"/>
        </w:numPr>
        <w:spacing w:before="60" w:after="60" w:line="288" w:lineRule="auto"/>
        <w:jc w:val="both"/>
        <w:rPr>
          <w:rFonts w:eastAsia="EUAlbertina-Regular-Identity-H"/>
          <w:bCs/>
          <w:lang w:val="uk-UA" w:eastAsia="en-US"/>
        </w:rPr>
      </w:pPr>
      <w:r>
        <w:rPr>
          <w:rFonts w:eastAsia="EUAlbertina-Regular-Identity-H"/>
          <w:lang w:val="uk-UA" w:eastAsia="en-US"/>
        </w:rPr>
        <w:t>Державні компанії, що займаються управлінням транспортної та комунікаційної інфраструктури.</w:t>
      </w:r>
    </w:p>
    <w:p w:rsidR="00642FB4" w:rsidRDefault="00642FB4">
      <w:pPr>
        <w:widowControl w:val="0"/>
        <w:suppressAutoHyphens/>
        <w:jc w:val="both"/>
        <w:rPr>
          <w:rFonts w:eastAsia="SimSun" w:cs="Arial"/>
          <w:kern w:val="1"/>
          <w:lang w:val="uk-UA" w:eastAsia="zh-CN" w:bidi="hi-IN"/>
        </w:rPr>
      </w:pPr>
    </w:p>
    <w:p w:rsidR="00642FB4" w:rsidRDefault="00642FB4">
      <w:pPr>
        <w:spacing w:before="60" w:after="60" w:line="288" w:lineRule="auto"/>
        <w:ind w:firstLine="360"/>
        <w:jc w:val="both"/>
        <w:rPr>
          <w:rFonts w:cs="Arial"/>
          <w:b/>
          <w:lang w:val="uk-UA"/>
        </w:rPr>
      </w:pPr>
      <w:r>
        <w:rPr>
          <w:rFonts w:cs="Arial"/>
          <w:b/>
          <w:lang w:val="uk-UA"/>
        </w:rPr>
        <w:t>ТЦ8 – СПІЛЬНІ ВИКЛИКИ У СФЕРІ БЕЗПЕКИ ТА ЗАХИСТУ</w:t>
      </w:r>
    </w:p>
    <w:p w:rsidR="00642FB4" w:rsidRDefault="00642FB4">
      <w:pPr>
        <w:spacing w:before="60" w:after="60" w:line="288" w:lineRule="auto"/>
        <w:jc w:val="both"/>
        <w:rPr>
          <w:rFonts w:cs="Arial"/>
          <w:i/>
          <w:lang w:val="uk-UA"/>
        </w:rPr>
      </w:pPr>
      <w:r>
        <w:rPr>
          <w:rFonts w:cs="Arial"/>
          <w:b/>
          <w:i/>
          <w:lang w:val="uk-UA"/>
        </w:rPr>
        <w:t xml:space="preserve">Мета 4: </w:t>
      </w:r>
      <w:r>
        <w:rPr>
          <w:rFonts w:cs="Arial"/>
          <w:i/>
          <w:lang w:val="uk-UA"/>
        </w:rPr>
        <w:t>Спільні виклики у галузі транскордонної  безпеки, доступ до охорони здоров'я, управління природних та антропогенних ризиків та надзвичайних ситуацій у спільних проектах</w:t>
      </w:r>
    </w:p>
    <w:p w:rsidR="00642FB4" w:rsidRDefault="00642FB4">
      <w:pPr>
        <w:spacing w:before="60" w:after="60" w:line="288" w:lineRule="auto"/>
        <w:ind w:firstLine="720"/>
        <w:jc w:val="both"/>
        <w:rPr>
          <w:rFonts w:cs="Arial"/>
          <w:b/>
          <w:lang w:val="uk-UA"/>
        </w:rPr>
      </w:pPr>
      <w:r>
        <w:rPr>
          <w:rFonts w:cs="Arial"/>
          <w:b/>
          <w:lang w:val="uk-UA"/>
        </w:rPr>
        <w:t>Пріоритет 4.1 - Підтримка розвитку медичних послуг та доступ до охорони здоров'я</w:t>
      </w:r>
    </w:p>
    <w:p w:rsidR="00642FB4" w:rsidRDefault="00642FB4">
      <w:pPr>
        <w:spacing w:before="60" w:after="60" w:line="288" w:lineRule="auto"/>
        <w:jc w:val="both"/>
        <w:rPr>
          <w:rFonts w:eastAsia="EUAlbertina-Regular-Identity-H"/>
          <w:b/>
          <w:i/>
          <w:lang w:val="uk-UA" w:eastAsia="en-US"/>
        </w:rPr>
      </w:pPr>
      <w:r>
        <w:rPr>
          <w:rFonts w:cs="Arial"/>
          <w:b/>
          <w:i/>
          <w:lang w:val="uk-UA"/>
        </w:rPr>
        <w:t>Індикативна діяльність</w:t>
      </w:r>
      <w:r>
        <w:rPr>
          <w:rFonts w:eastAsia="EUAlbertina-Regular-Identity-H"/>
          <w:b/>
          <w:i/>
          <w:iCs/>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Спільні заходи, спрямовані на розширення доступу до охорони здоров'я в прикордонній зоні за допомогою будівництва / реабілітації / модернізації інфраструктури охорони здоров'я (у тому числі з використанням відновлюваних джерел енергії тощо)</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Розвиток фіксованих та мобільних лабораторій для виявлення / моніторингу та запобігання  транскордонних епідемій</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Обладнання інфраструктури охорони здоров'я (амбулаторні підрозділи, засоби для швидкої допомоги, медичні центри, інтегроване соціальне втручання і т.д</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Спільні навчальні програми та обмін досвідом, мережі для підтримання роботи послуг охорони здоров'я, телемедицина</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Обмін досвідом, спільні заходи з метою забезпечення узгодженості принципів лікування, спільні діагностичні програми</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Кампанії з підвищення громадської освіти з питань здоров'я, хвороб та епідемій</w:t>
      </w:r>
      <w:r>
        <w:rPr>
          <w:rFonts w:eastAsia="EUAlbertina-Regular-Identity-H"/>
          <w:lang w:val="uk-UA" w:eastAsia="en-US"/>
        </w:rPr>
        <w:t>.</w:t>
      </w:r>
    </w:p>
    <w:p w:rsidR="00642FB4" w:rsidRDefault="00642FB4">
      <w:pPr>
        <w:spacing w:before="60" w:after="60" w:line="288" w:lineRule="auto"/>
        <w:jc w:val="both"/>
        <w:rPr>
          <w:rFonts w:eastAsia="EUAlbertina-Regular-Identity-H"/>
          <w:b/>
          <w:i/>
          <w:lang w:val="uk-UA" w:eastAsia="en-US"/>
        </w:rPr>
      </w:pPr>
      <w:r>
        <w:rPr>
          <w:rFonts w:eastAsia="EUAlbertina-Regular-Identity-H"/>
          <w:b/>
          <w:i/>
          <w:lang w:val="uk-UA" w:eastAsia="en-US"/>
        </w:rPr>
        <w:t>Індикативні бенефіціари:</w:t>
      </w:r>
    </w:p>
    <w:p w:rsidR="00642FB4" w:rsidRDefault="00642FB4">
      <w:pPr>
        <w:numPr>
          <w:ilvl w:val="0"/>
          <w:numId w:val="23"/>
        </w:numPr>
        <w:spacing w:before="60" w:after="60" w:line="288" w:lineRule="auto"/>
        <w:jc w:val="both"/>
        <w:rPr>
          <w:lang w:val="uk-UA"/>
        </w:rPr>
      </w:pPr>
      <w:r>
        <w:rPr>
          <w:lang w:val="uk-UA"/>
        </w:rPr>
        <w:t>Установи державного управління  на національному / регіональному / місцевому та інші державні установи</w:t>
      </w:r>
      <w:r>
        <w:rPr>
          <w:rFonts w:eastAsia="EUAlbertina-Regular-Identity-H"/>
          <w:lang w:val="uk-UA" w:eastAsia="en-US"/>
        </w:rPr>
        <w:t>;</w:t>
      </w:r>
    </w:p>
    <w:p w:rsidR="00642FB4" w:rsidRDefault="00642FB4">
      <w:pPr>
        <w:numPr>
          <w:ilvl w:val="0"/>
          <w:numId w:val="23"/>
        </w:numPr>
        <w:spacing w:before="60" w:after="60" w:line="288" w:lineRule="auto"/>
        <w:jc w:val="both"/>
        <w:rPr>
          <w:rFonts w:eastAsia="EUAlbertina-Regular-Identity-H"/>
          <w:bCs/>
          <w:iCs/>
          <w:lang w:val="uk-UA" w:eastAsia="en-US"/>
        </w:rPr>
      </w:pPr>
      <w:r>
        <w:rPr>
          <w:rFonts w:eastAsia="EUAlbertina-Regular-Identity-H"/>
          <w:bCs/>
          <w:iCs/>
          <w:lang w:val="uk-UA" w:eastAsia="en-US"/>
        </w:rPr>
        <w:t>Установи на національному / регіональному / місцевому рівні, які діють в галузі соціальної політики і здоров'я;</w:t>
      </w:r>
    </w:p>
    <w:p w:rsidR="00642FB4" w:rsidRDefault="00642FB4">
      <w:pPr>
        <w:numPr>
          <w:ilvl w:val="0"/>
          <w:numId w:val="23"/>
        </w:numPr>
        <w:spacing w:before="60" w:after="60" w:line="288" w:lineRule="auto"/>
        <w:jc w:val="both"/>
        <w:rPr>
          <w:rFonts w:eastAsia="EUAlbertina-Regular-Identity-H"/>
          <w:bCs/>
          <w:lang w:val="uk-UA" w:eastAsia="en-US"/>
        </w:rPr>
      </w:pPr>
      <w:r>
        <w:rPr>
          <w:rFonts w:eastAsia="EUAlbertina-Regular-Identity-H"/>
          <w:bCs/>
          <w:iCs/>
          <w:lang w:val="uk-UA" w:eastAsia="en-US"/>
        </w:rPr>
        <w:t>НУО, університети та науково-дослідні інститути;</w:t>
      </w:r>
    </w:p>
    <w:p w:rsidR="00642FB4" w:rsidRDefault="00642FB4">
      <w:pPr>
        <w:numPr>
          <w:ilvl w:val="0"/>
          <w:numId w:val="23"/>
        </w:numPr>
        <w:spacing w:before="60" w:after="60" w:line="288" w:lineRule="auto"/>
        <w:jc w:val="both"/>
        <w:rPr>
          <w:rFonts w:eastAsia="EUAlbertina-Regular-Identity-H"/>
          <w:bCs/>
          <w:lang w:val="uk-UA" w:eastAsia="en-US"/>
        </w:rPr>
      </w:pPr>
      <w:r>
        <w:rPr>
          <w:rFonts w:eastAsia="EUAlbertina-Regular-Identity-H"/>
          <w:bCs/>
          <w:iCs/>
          <w:lang w:val="uk-UA" w:eastAsia="en-US"/>
        </w:rPr>
        <w:t>Професійні медичні асоціації та інші відповідні об'єднання.</w:t>
      </w:r>
    </w:p>
    <w:p w:rsidR="00642FB4" w:rsidRDefault="00642FB4">
      <w:pPr>
        <w:spacing w:before="60" w:after="60" w:line="288" w:lineRule="auto"/>
        <w:ind w:left="720"/>
        <w:jc w:val="both"/>
        <w:rPr>
          <w:rFonts w:eastAsia="EUAlbertina-Regular-Identity-H"/>
          <w:bCs/>
          <w:lang w:val="uk-UA" w:eastAsia="en-US"/>
        </w:rPr>
      </w:pPr>
    </w:p>
    <w:p w:rsidR="00642FB4" w:rsidRDefault="00642FB4">
      <w:pPr>
        <w:spacing w:before="60" w:after="60" w:line="288" w:lineRule="auto"/>
        <w:jc w:val="both"/>
        <w:rPr>
          <w:rFonts w:cs="Arial"/>
          <w:b/>
          <w:lang w:val="uk-UA"/>
        </w:rPr>
      </w:pPr>
      <w:r>
        <w:rPr>
          <w:rFonts w:cs="Arial"/>
          <w:b/>
          <w:lang w:val="uk-UA"/>
        </w:rPr>
        <w:t>Пріоритет 4.2 - Підтримка спільних заходів щодо попередження природних катастроф і катастроф викликаних людьми та спільні заходи під час надзвичайних ситуацій</w:t>
      </w:r>
    </w:p>
    <w:p w:rsidR="00642FB4" w:rsidRDefault="00642FB4">
      <w:pPr>
        <w:spacing w:before="60" w:after="60" w:line="288" w:lineRule="auto"/>
        <w:jc w:val="both"/>
        <w:rPr>
          <w:rFonts w:eastAsia="EUAlbertina-Regular-Identity-H"/>
          <w:b/>
          <w:i/>
          <w:lang w:val="uk-UA" w:eastAsia="en-US"/>
        </w:rPr>
      </w:pPr>
      <w:r>
        <w:rPr>
          <w:rFonts w:cs="Arial"/>
          <w:b/>
          <w:i/>
          <w:lang w:val="uk-UA"/>
        </w:rPr>
        <w:t>Індикативна діяльність</w:t>
      </w:r>
      <w:r>
        <w:rPr>
          <w:rFonts w:eastAsia="EUAlbertina-Regular-Identity-H"/>
          <w:b/>
          <w:i/>
          <w:iCs/>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Спільні заходи щодо запобігання зсувів і повнів в прикордонних територіях</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Інтегровані спільні системи ефективного моніторинга і попередження стихійних лих і пом'якшення наслідків</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Спільні стратегії та інструменти для управління та запобігання ризиків, у тому числі спільні плани заходів</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Розробка спільних карт та детальної бази даних (із зазначенням природних і техногенних ризиків та користування ділянок для влад регіонального планування, природоохоронних відомств і екстрених служб</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Обмін досвідом і знаннями, в тому числі підвищення знань в галузі попередження ризиків та ефективного управління в прикордонній території</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Розробка спільних інтегрованих стандартів для міського планування та управління ризиками</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Інвестиції та розвиток спільних інтегрованих систем для управління у разі надзвичайних ситуацій</w:t>
      </w:r>
      <w:r>
        <w:rPr>
          <w:rFonts w:eastAsia="EUAlbertina-Regular-Identity-H"/>
          <w:lang w:val="uk-UA" w:eastAsia="en-US"/>
        </w:rPr>
        <w:t xml:space="preserve">; </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Планування скоординованих дій органів влади у надзвичайних ситуаціях, викликаних природними або техногенними катастрофами (повені, пожежі, спека, землетруси, урагани).</w:t>
      </w:r>
    </w:p>
    <w:p w:rsidR="00642FB4" w:rsidRDefault="00642FB4">
      <w:pPr>
        <w:spacing w:before="60" w:after="60" w:line="288" w:lineRule="auto"/>
        <w:jc w:val="both"/>
        <w:rPr>
          <w:rFonts w:eastAsia="EUAlbertina-Regular-Identity-H"/>
          <w:b/>
          <w:i/>
          <w:lang w:val="uk-UA" w:eastAsia="en-US"/>
        </w:rPr>
      </w:pPr>
      <w:r>
        <w:rPr>
          <w:rFonts w:eastAsia="EUAlbertina-Regular-Identity-H"/>
          <w:b/>
          <w:i/>
          <w:lang w:val="uk-UA" w:eastAsia="en-US"/>
        </w:rPr>
        <w:t>Індикативні бенефіціари:</w:t>
      </w:r>
    </w:p>
    <w:p w:rsidR="00642FB4" w:rsidRDefault="00642FB4">
      <w:pPr>
        <w:numPr>
          <w:ilvl w:val="0"/>
          <w:numId w:val="24"/>
        </w:numPr>
        <w:spacing w:before="60" w:after="60" w:line="288" w:lineRule="auto"/>
        <w:jc w:val="both"/>
        <w:rPr>
          <w:rFonts w:eastAsia="EUAlbertina-Regular-Identity-H"/>
          <w:bCs/>
          <w:lang w:val="uk-UA" w:eastAsia="en-US"/>
        </w:rPr>
      </w:pPr>
      <w:r>
        <w:rPr>
          <w:lang w:val="uk-UA"/>
        </w:rPr>
        <w:t>Установи державного управління  на національному / регіональному / місцевому та інші державні установи</w:t>
      </w:r>
      <w:r>
        <w:rPr>
          <w:rFonts w:eastAsia="EUAlbertina-Regular-Identity-H"/>
          <w:bCs/>
          <w:lang w:val="uk-UA" w:eastAsia="en-US"/>
        </w:rPr>
        <w:t xml:space="preserve">, які працюють в області зниження ризиків і ліквідації наслідків стихійних лихі  надзвичайні ситуації </w:t>
      </w:r>
    </w:p>
    <w:p w:rsidR="00642FB4" w:rsidRDefault="00642FB4">
      <w:pPr>
        <w:numPr>
          <w:ilvl w:val="0"/>
          <w:numId w:val="24"/>
        </w:numPr>
        <w:spacing w:before="60" w:after="60" w:line="288" w:lineRule="auto"/>
        <w:jc w:val="both"/>
        <w:rPr>
          <w:rFonts w:eastAsia="EUAlbertina-Regular-Identity-H"/>
          <w:bCs/>
          <w:lang w:val="uk-UA" w:eastAsia="en-US"/>
        </w:rPr>
      </w:pPr>
      <w:r>
        <w:rPr>
          <w:rFonts w:eastAsia="EUAlbertina-Regular-Identity-H"/>
          <w:bCs/>
          <w:lang w:val="uk-UA" w:eastAsia="en-US"/>
        </w:rPr>
        <w:t>Установи / науково-дослідні організації, університети, неурядові організації</w:t>
      </w:r>
    </w:p>
    <w:p w:rsidR="00642FB4" w:rsidRDefault="00642FB4">
      <w:pPr>
        <w:spacing w:before="60" w:after="60" w:line="288" w:lineRule="auto"/>
        <w:ind w:left="360"/>
        <w:jc w:val="both"/>
        <w:rPr>
          <w:rFonts w:cs="Arial"/>
          <w:b/>
          <w:lang w:val="uk-UA"/>
        </w:rPr>
      </w:pPr>
    </w:p>
    <w:p w:rsidR="00642FB4" w:rsidRDefault="00642FB4">
      <w:pPr>
        <w:spacing w:before="60" w:after="60" w:line="288" w:lineRule="auto"/>
        <w:ind w:left="360"/>
        <w:jc w:val="both"/>
        <w:rPr>
          <w:rFonts w:cs="Arial"/>
          <w:b/>
          <w:lang w:val="uk-UA"/>
        </w:rPr>
      </w:pPr>
      <w:r>
        <w:rPr>
          <w:rFonts w:cs="Arial"/>
          <w:b/>
          <w:lang w:val="uk-UA"/>
        </w:rPr>
        <w:t xml:space="preserve">Пріоритет 4.3 - Запобігання та боротьба з організованою злочинністю і співробітництво між органами поліції </w:t>
      </w:r>
    </w:p>
    <w:p w:rsidR="00642FB4" w:rsidRDefault="00642FB4">
      <w:pPr>
        <w:spacing w:before="60" w:after="60" w:line="288" w:lineRule="auto"/>
        <w:jc w:val="both"/>
        <w:rPr>
          <w:rFonts w:eastAsia="EUAlbertina-Regular-Identity-H"/>
          <w:b/>
          <w:i/>
          <w:lang w:val="uk-UA" w:eastAsia="en-US"/>
        </w:rPr>
      </w:pPr>
      <w:r>
        <w:rPr>
          <w:rFonts w:cs="Arial"/>
          <w:b/>
          <w:i/>
          <w:lang w:val="uk-UA"/>
        </w:rPr>
        <w:t>Індикативна діяльність</w:t>
      </w:r>
      <w:r>
        <w:rPr>
          <w:rFonts w:eastAsia="EUAlbertina-Regular-Identity-H"/>
          <w:b/>
          <w:i/>
          <w:iCs/>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Спільні дії для підвищення мобільності та потужності адміністративних підрозділів поліції (у тому числі послуги прикордонної поліції);</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Створення робочих платформ  для підвищення ефективності поліції, прикордонної поліції та митних структур для обміну даними та інформацією</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Спільні навчальні курси поліції, митних робітників, прикордонної поліції, жандармерії, обмін передовим досвідом у конкретних областях діяльності (аналіз, кримінальні розслідування, організована злочинність)</w:t>
      </w:r>
      <w:r>
        <w:rPr>
          <w:rFonts w:eastAsia="EUAlbertina-Regular-Identity-H"/>
          <w:lang w:val="uk-UA" w:eastAsia="en-US"/>
        </w:rPr>
        <w:t>;</w:t>
      </w:r>
    </w:p>
    <w:p w:rsidR="00642FB4" w:rsidRDefault="00642FB4">
      <w:pPr>
        <w:numPr>
          <w:ilvl w:val="0"/>
          <w:numId w:val="30"/>
        </w:numPr>
        <w:spacing w:before="60" w:after="60" w:line="288" w:lineRule="auto"/>
        <w:ind w:left="993" w:hanging="284"/>
        <w:jc w:val="both"/>
        <w:rPr>
          <w:rFonts w:eastAsia="EUAlbertina-Regular-Identity-H"/>
          <w:lang w:val="uk-UA" w:eastAsia="en-US"/>
        </w:rPr>
      </w:pPr>
      <w:r>
        <w:rPr>
          <w:rFonts w:cs="Arial"/>
          <w:lang w:val="uk-UA"/>
        </w:rPr>
        <w:t>Інвестиції в будівництво, реконструкцію або модернізацію інфраструктури для органів  поліції та прикордонної поліції та інших суміжних будівель</w:t>
      </w:r>
      <w:r>
        <w:rPr>
          <w:rFonts w:eastAsia="EUAlbertina-Regular-Identity-H"/>
          <w:lang w:val="uk-UA" w:eastAsia="en-US"/>
        </w:rPr>
        <w:t>;</w:t>
      </w:r>
    </w:p>
    <w:p w:rsidR="00642FB4" w:rsidRDefault="00642FB4">
      <w:pPr>
        <w:numPr>
          <w:ilvl w:val="0"/>
          <w:numId w:val="30"/>
        </w:numPr>
        <w:spacing w:before="60" w:after="60" w:line="288" w:lineRule="auto"/>
        <w:ind w:left="993" w:hanging="283"/>
        <w:jc w:val="both"/>
        <w:rPr>
          <w:rFonts w:eastAsia="EUAlbertina-Regular-Identity-H"/>
          <w:lang w:val="uk-UA" w:eastAsia="en-US"/>
        </w:rPr>
      </w:pPr>
      <w:r>
        <w:rPr>
          <w:rFonts w:cs="Arial"/>
          <w:lang w:val="uk-UA"/>
        </w:rPr>
        <w:t>Інвестиції в експлуатаційне обладнання  і спеціальні засоби необхідні для діяльності поліції / митниці / прикордонний поліції / жандармерії (наприклад, лабораторії, обладнання, інструменти для  виявлення, комп’ютерне та програмне забезпечення, транспортні засоби</w:t>
      </w:r>
      <w:r>
        <w:rPr>
          <w:rFonts w:eastAsia="EUAlbertina-Regular-Identity-H"/>
          <w:lang w:val="uk-UA" w:eastAsia="en-US"/>
        </w:rPr>
        <w:t>);</w:t>
      </w:r>
    </w:p>
    <w:p w:rsidR="00642FB4" w:rsidRDefault="00642FB4">
      <w:pPr>
        <w:numPr>
          <w:ilvl w:val="0"/>
          <w:numId w:val="30"/>
        </w:numPr>
        <w:spacing w:before="60" w:after="60" w:line="288" w:lineRule="auto"/>
        <w:ind w:left="993" w:hanging="283"/>
        <w:jc w:val="both"/>
        <w:rPr>
          <w:rFonts w:eastAsia="EUAlbertina-Regular-Identity-H"/>
          <w:lang w:val="uk-UA" w:eastAsia="en-US"/>
        </w:rPr>
      </w:pPr>
      <w:r>
        <w:rPr>
          <w:rFonts w:cs="Arial"/>
          <w:lang w:val="uk-UA"/>
        </w:rPr>
        <w:t>Розробка спільних стратегій і політики, обмін досвідом у боротьбі з організованою злочинністю.</w:t>
      </w:r>
    </w:p>
    <w:p w:rsidR="00642FB4" w:rsidRDefault="00642FB4">
      <w:pPr>
        <w:numPr>
          <w:ilvl w:val="0"/>
          <w:numId w:val="30"/>
        </w:numPr>
        <w:spacing w:before="60" w:after="60" w:line="288" w:lineRule="auto"/>
        <w:ind w:left="993" w:hanging="283"/>
        <w:jc w:val="both"/>
        <w:rPr>
          <w:rFonts w:eastAsia="EUAlbertina-Regular-Identity-H"/>
          <w:lang w:val="uk-UA" w:eastAsia="en-US"/>
        </w:rPr>
      </w:pPr>
    </w:p>
    <w:p w:rsidR="00642FB4" w:rsidRDefault="00642FB4">
      <w:pPr>
        <w:spacing w:before="60" w:after="60" w:line="288" w:lineRule="auto"/>
        <w:ind w:left="710"/>
        <w:jc w:val="both"/>
        <w:rPr>
          <w:rFonts w:eastAsia="EUAlbertina-Regular-Identity-H"/>
          <w:lang w:val="uk-UA" w:eastAsia="en-US"/>
        </w:rPr>
      </w:pPr>
      <w:r>
        <w:rPr>
          <w:rFonts w:eastAsia="EUAlbertina-Regular-Identity-H"/>
          <w:b/>
          <w:i/>
          <w:lang w:val="uk-UA" w:eastAsia="en-US"/>
        </w:rPr>
        <w:t>Індикативні бенефіціари:</w:t>
      </w:r>
    </w:p>
    <w:p w:rsidR="00642FB4" w:rsidRDefault="00642FB4">
      <w:pPr>
        <w:numPr>
          <w:ilvl w:val="0"/>
          <w:numId w:val="25"/>
        </w:numPr>
        <w:spacing w:before="60" w:after="60" w:line="288" w:lineRule="auto"/>
        <w:jc w:val="both"/>
        <w:rPr>
          <w:rFonts w:eastAsia="EUAlbertina-Regular-Identity-H"/>
          <w:lang w:val="uk-UA" w:eastAsia="en-US"/>
        </w:rPr>
      </w:pPr>
      <w:r>
        <w:rPr>
          <w:lang w:val="uk-UA"/>
        </w:rPr>
        <w:t>Митні служби, прикордонні служби, поліція, інші державні національні / регіональні / місцеві установи, які працюють в галузі попередження злочинності і поліцейські асоціацій.</w:t>
      </w:r>
    </w:p>
    <w:p w:rsidR="00642FB4" w:rsidRDefault="00642FB4">
      <w:pPr>
        <w:spacing w:before="60" w:after="60" w:line="288" w:lineRule="auto"/>
        <w:ind w:left="360"/>
        <w:jc w:val="both"/>
        <w:rPr>
          <w:rFonts w:eastAsia="EUAlbertina-Regular-Identity-H"/>
          <w:b/>
          <w:lang w:val="uk-UA" w:eastAsia="en-US"/>
        </w:rPr>
      </w:pPr>
    </w:p>
    <w:p w:rsidR="00642FB4" w:rsidRDefault="00642FB4">
      <w:pPr>
        <w:spacing w:before="60" w:after="60" w:line="288" w:lineRule="auto"/>
        <w:ind w:left="360"/>
        <w:jc w:val="both"/>
        <w:rPr>
          <w:rFonts w:eastAsia="EUAlbertina-Regular-Identity-H"/>
          <w:b/>
          <w:lang w:val="uk-UA" w:eastAsia="en-US"/>
        </w:rPr>
      </w:pPr>
    </w:p>
    <w:p w:rsidR="00642FB4" w:rsidRDefault="00642FB4">
      <w:pPr>
        <w:spacing w:before="60" w:after="60" w:line="288" w:lineRule="auto"/>
        <w:ind w:left="360"/>
        <w:jc w:val="both"/>
        <w:rPr>
          <w:rFonts w:eastAsia="EUAlbertina-Regular-Identity-H"/>
          <w:b/>
          <w:lang w:val="uk-UA" w:eastAsia="en-US"/>
        </w:rPr>
      </w:pPr>
    </w:p>
    <w:p w:rsidR="00642FB4" w:rsidRDefault="00642FB4">
      <w:pPr>
        <w:spacing w:after="200" w:line="276" w:lineRule="auto"/>
        <w:rPr>
          <w:rFonts w:eastAsia="EUAlbertina-Regular-Identity-H"/>
          <w:lang w:val="uk-UA" w:eastAsia="en-US"/>
        </w:rPr>
      </w:pPr>
      <w:r>
        <w:rPr>
          <w:rFonts w:eastAsia="EUAlbertina-Regular-Identity-H"/>
          <w:b/>
          <w:lang w:val="uk-UA" w:eastAsia="en-US"/>
        </w:rPr>
        <w:t>Великі інфраструктурні проекти</w:t>
      </w:r>
    </w:p>
    <w:p w:rsidR="00642FB4" w:rsidRDefault="00642FB4">
      <w:pPr>
        <w:spacing w:after="200" w:line="276" w:lineRule="auto"/>
        <w:ind w:firstLine="360"/>
        <w:rPr>
          <w:rFonts w:eastAsia="EUAlbertina-Regular-Identity-H"/>
          <w:lang w:val="uk-UA" w:eastAsia="en-US"/>
        </w:rPr>
      </w:pPr>
      <w:r>
        <w:rPr>
          <w:rFonts w:eastAsia="EUAlbertina-Regular-Identity-H"/>
          <w:lang w:val="uk-UA" w:eastAsia="en-US"/>
        </w:rPr>
        <w:t>Програма пропонує фінансування для великих інфраструктурних проектів, як описано нижче:</w:t>
      </w:r>
    </w:p>
    <w:p w:rsidR="00642FB4" w:rsidRDefault="00642FB4">
      <w:pPr>
        <w:numPr>
          <w:ilvl w:val="0"/>
          <w:numId w:val="65"/>
        </w:numPr>
        <w:spacing w:line="276" w:lineRule="auto"/>
        <w:rPr>
          <w:b/>
          <w:lang w:val="uk-UA"/>
        </w:rPr>
      </w:pPr>
      <w:r>
        <w:rPr>
          <w:b/>
          <w:lang w:val="uk-UA"/>
        </w:rPr>
        <w:t>“Чиста ріка” – Дунай (ТЦ8) 4.2</w:t>
      </w:r>
    </w:p>
    <w:p w:rsidR="00642FB4" w:rsidRDefault="00642FB4">
      <w:pPr>
        <w:spacing w:line="276" w:lineRule="auto"/>
        <w:rPr>
          <w:lang w:val="uk-UA"/>
        </w:rPr>
      </w:pPr>
      <w:r>
        <w:rPr>
          <w:lang w:val="uk-UA"/>
        </w:rPr>
        <w:t>Діяльність:</w:t>
      </w:r>
    </w:p>
    <w:p w:rsidR="00642FB4" w:rsidRDefault="00642FB4">
      <w:pPr>
        <w:numPr>
          <w:ilvl w:val="0"/>
          <w:numId w:val="66"/>
        </w:numPr>
        <w:spacing w:line="276" w:lineRule="auto"/>
        <w:jc w:val="both"/>
        <w:rPr>
          <w:lang w:val="uk-UA"/>
        </w:rPr>
      </w:pPr>
      <w:r>
        <w:rPr>
          <w:lang w:val="uk-UA"/>
        </w:rPr>
        <w:t>Реконструкція та модернізація каналізаційних насосних станцій (Уа)</w:t>
      </w:r>
    </w:p>
    <w:p w:rsidR="00642FB4" w:rsidRDefault="00642FB4">
      <w:pPr>
        <w:numPr>
          <w:ilvl w:val="0"/>
          <w:numId w:val="66"/>
        </w:numPr>
        <w:spacing w:line="276" w:lineRule="auto"/>
        <w:jc w:val="both"/>
        <w:rPr>
          <w:lang w:val="uk-UA"/>
        </w:rPr>
      </w:pPr>
      <w:r>
        <w:rPr>
          <w:lang w:val="uk-UA"/>
        </w:rPr>
        <w:t>Моніторинг Дунайських вод для локалізації антропогенних викидів</w:t>
      </w:r>
    </w:p>
    <w:p w:rsidR="00642FB4" w:rsidRDefault="00642FB4">
      <w:pPr>
        <w:numPr>
          <w:ilvl w:val="0"/>
          <w:numId w:val="65"/>
        </w:numPr>
        <w:spacing w:line="276" w:lineRule="auto"/>
        <w:jc w:val="both"/>
        <w:rPr>
          <w:b/>
          <w:lang w:val="uk-UA"/>
        </w:rPr>
      </w:pPr>
      <w:r>
        <w:rPr>
          <w:b/>
          <w:lang w:val="uk-UA"/>
        </w:rPr>
        <w:t>Поліпшення транскордонної інфраструктури – відкритий шлях до Європи (TЦ7) 3.1</w:t>
      </w:r>
    </w:p>
    <w:p w:rsidR="00642FB4" w:rsidRDefault="00642FB4">
      <w:pPr>
        <w:spacing w:line="276" w:lineRule="auto"/>
        <w:ind w:left="720"/>
        <w:rPr>
          <w:lang w:val="uk-UA"/>
        </w:rPr>
      </w:pPr>
      <w:r>
        <w:rPr>
          <w:lang w:val="uk-UA"/>
        </w:rPr>
        <w:t>Діяльність:</w:t>
      </w:r>
    </w:p>
    <w:p w:rsidR="00642FB4" w:rsidRDefault="00642FB4">
      <w:pPr>
        <w:numPr>
          <w:ilvl w:val="0"/>
          <w:numId w:val="67"/>
        </w:numPr>
        <w:spacing w:line="276" w:lineRule="auto"/>
        <w:jc w:val="both"/>
        <w:rPr>
          <w:lang w:val="uk-UA"/>
        </w:rPr>
      </w:pPr>
      <w:r>
        <w:rPr>
          <w:lang w:val="uk-UA"/>
        </w:rPr>
        <w:t>Реконструкція дороги Красноїльськ - точка перетину кордону "Красноїльськ – Вікову де Сус"</w:t>
      </w:r>
    </w:p>
    <w:p w:rsidR="00642FB4" w:rsidRDefault="00642FB4">
      <w:pPr>
        <w:numPr>
          <w:ilvl w:val="0"/>
          <w:numId w:val="67"/>
        </w:numPr>
        <w:spacing w:line="276" w:lineRule="auto"/>
        <w:jc w:val="both"/>
        <w:rPr>
          <w:lang w:val="uk-UA"/>
        </w:rPr>
      </w:pPr>
      <w:r>
        <w:rPr>
          <w:lang w:val="uk-UA"/>
        </w:rPr>
        <w:t>Організація в Сучаві міжнародної транспортній конференції в регіоні транскордонного співробітництва</w:t>
      </w:r>
    </w:p>
    <w:p w:rsidR="00642FB4" w:rsidRDefault="00642FB4">
      <w:pPr>
        <w:numPr>
          <w:ilvl w:val="0"/>
          <w:numId w:val="65"/>
        </w:numPr>
        <w:spacing w:line="276" w:lineRule="auto"/>
        <w:jc w:val="both"/>
        <w:rPr>
          <w:b/>
          <w:lang w:val="uk-UA"/>
        </w:rPr>
      </w:pPr>
      <w:r>
        <w:rPr>
          <w:b/>
          <w:lang w:val="uk-UA"/>
        </w:rPr>
        <w:t>Регіональне співробітництво в галузі попередження та боротьби з транскордонною злочинністю між Румунією та Україною (TЦ 8) 4.3</w:t>
      </w:r>
    </w:p>
    <w:p w:rsidR="00642FB4" w:rsidRDefault="00642FB4">
      <w:pPr>
        <w:numPr>
          <w:ilvl w:val="0"/>
          <w:numId w:val="68"/>
        </w:numPr>
        <w:spacing w:line="276" w:lineRule="auto"/>
        <w:rPr>
          <w:lang w:val="uk-UA"/>
        </w:rPr>
      </w:pPr>
      <w:r>
        <w:rPr>
          <w:lang w:val="uk-UA"/>
        </w:rPr>
        <w:t>Консолідація, розширення, ремонт територіальних поліцейських ділянок</w:t>
      </w:r>
    </w:p>
    <w:p w:rsidR="00642FB4" w:rsidRDefault="00642FB4">
      <w:pPr>
        <w:numPr>
          <w:ilvl w:val="0"/>
          <w:numId w:val="68"/>
        </w:numPr>
        <w:spacing w:line="276" w:lineRule="auto"/>
        <w:rPr>
          <w:lang w:val="uk-UA"/>
        </w:rPr>
      </w:pPr>
      <w:r>
        <w:rPr>
          <w:lang w:val="uk-UA"/>
        </w:rPr>
        <w:t>Будівництво об'єктів призначені для роботи поліції</w:t>
      </w:r>
    </w:p>
    <w:p w:rsidR="00642FB4" w:rsidRDefault="00642FB4">
      <w:pPr>
        <w:numPr>
          <w:ilvl w:val="0"/>
          <w:numId w:val="68"/>
        </w:numPr>
        <w:spacing w:line="276" w:lineRule="auto"/>
        <w:rPr>
          <w:lang w:val="uk-UA"/>
        </w:rPr>
      </w:pPr>
      <w:r>
        <w:rPr>
          <w:lang w:val="uk-UA"/>
        </w:rPr>
        <w:t>Придбання та оснащення об'єктів</w:t>
      </w:r>
    </w:p>
    <w:p w:rsidR="00642FB4" w:rsidRDefault="00642FB4">
      <w:pPr>
        <w:spacing w:line="276" w:lineRule="auto"/>
        <w:jc w:val="both"/>
        <w:rPr>
          <w:b/>
          <w:lang w:val="uk-UA"/>
        </w:rPr>
      </w:pPr>
      <w:r>
        <w:rPr>
          <w:b/>
          <w:lang w:val="uk-UA"/>
        </w:rPr>
        <w:t>4. Поліпшення безпеки населення та рівень транскордонної безпеки шляхом підвищення рівня спільного навчання та співробітництва в управлінні надзвичайних ситуацій (TЦ) 4.1</w:t>
      </w:r>
    </w:p>
    <w:p w:rsidR="00642FB4" w:rsidRDefault="00642FB4">
      <w:pPr>
        <w:numPr>
          <w:ilvl w:val="0"/>
          <w:numId w:val="69"/>
        </w:numPr>
        <w:spacing w:line="276" w:lineRule="auto"/>
        <w:rPr>
          <w:lang w:val="uk-UA"/>
        </w:rPr>
      </w:pPr>
      <w:r>
        <w:rPr>
          <w:rFonts w:eastAsia="EUAlbertina-Regular-Identity-H"/>
          <w:lang w:val="uk-UA" w:eastAsia="en-US"/>
        </w:rPr>
        <w:t xml:space="preserve">Розробка спільних планів у разі </w:t>
      </w:r>
      <w:r>
        <w:rPr>
          <w:lang w:val="uk-UA"/>
        </w:rPr>
        <w:t>надзвичайних ситуацій</w:t>
      </w:r>
    </w:p>
    <w:p w:rsidR="00642FB4" w:rsidRDefault="00642FB4">
      <w:pPr>
        <w:numPr>
          <w:ilvl w:val="0"/>
          <w:numId w:val="69"/>
        </w:numPr>
        <w:spacing w:line="276" w:lineRule="auto"/>
        <w:rPr>
          <w:lang w:val="uk-UA"/>
        </w:rPr>
      </w:pPr>
      <w:r>
        <w:rPr>
          <w:rFonts w:eastAsia="EUAlbertina-Regular-Identity-H"/>
          <w:lang w:val="uk-UA" w:eastAsia="en-US"/>
        </w:rPr>
        <w:t>Модернізація навчальних центрів / освіта</w:t>
      </w:r>
    </w:p>
    <w:p w:rsidR="00642FB4" w:rsidRDefault="00642FB4">
      <w:pPr>
        <w:numPr>
          <w:ilvl w:val="0"/>
          <w:numId w:val="69"/>
        </w:numPr>
        <w:spacing w:line="276" w:lineRule="auto"/>
        <w:rPr>
          <w:lang w:val="uk-UA"/>
        </w:rPr>
      </w:pPr>
      <w:r>
        <w:rPr>
          <w:rFonts w:eastAsia="EUAlbertina-Regular-Identity-H"/>
          <w:lang w:val="uk-UA" w:eastAsia="en-US"/>
        </w:rPr>
        <w:t>Модернізація / реабілітація  центрів контролю Державної служби з надзвичайних ситуацій (Уа)</w:t>
      </w:r>
    </w:p>
    <w:p w:rsidR="00642FB4" w:rsidRDefault="00642FB4">
      <w:pPr>
        <w:numPr>
          <w:ilvl w:val="0"/>
          <w:numId w:val="69"/>
        </w:numPr>
        <w:spacing w:line="276" w:lineRule="auto"/>
        <w:rPr>
          <w:lang w:val="uk-UA"/>
        </w:rPr>
        <w:sectPr w:rsidR="00642FB4">
          <w:headerReference w:type="default" r:id="rId11"/>
          <w:footerReference w:type="default" r:id="rId12"/>
          <w:pgSz w:w="11909" w:h="16834" w:code="9"/>
          <w:pgMar w:top="562" w:right="849" w:bottom="562" w:left="1138" w:header="288" w:footer="0" w:gutter="0"/>
          <w:cols w:space="708"/>
          <w:titlePg/>
          <w:docGrid w:linePitch="360"/>
        </w:sectPr>
      </w:pPr>
      <w:r>
        <w:rPr>
          <w:rFonts w:eastAsia="EUAlbertina-Regular-Identity-H"/>
          <w:lang w:val="uk-UA" w:eastAsia="en-US"/>
        </w:rPr>
        <w:t>Будівництво двох вертодромів (Ро)</w:t>
      </w:r>
    </w:p>
    <w:p w:rsidR="00642FB4" w:rsidRDefault="00642FB4">
      <w:pPr>
        <w:pStyle w:val="Title"/>
        <w:numPr>
          <w:ilvl w:val="0"/>
          <w:numId w:val="5"/>
        </w:numPr>
        <w:jc w:val="both"/>
        <w:rPr>
          <w:rFonts w:ascii="Arial" w:hAnsi="Arial" w:cs="Arial"/>
          <w:sz w:val="24"/>
          <w:szCs w:val="24"/>
          <w:lang w:val="uk-UA"/>
        </w:rPr>
      </w:pPr>
      <w:bookmarkStart w:id="10" w:name="_Toc419199658"/>
      <w:r>
        <w:rPr>
          <w:rFonts w:ascii="Arial" w:hAnsi="Arial" w:cs="Arial"/>
          <w:sz w:val="24"/>
          <w:szCs w:val="24"/>
          <w:lang w:val="uk-UA"/>
        </w:rPr>
        <w:t>ЗНАЧНІ АСПЕКТИ ЕКОЛОГІЧНОЇ СИТУАЦІЇ ТА ЇЇ ЙМОВІРНА ЕВОЛЮЦІЯ ЧЕРЕЗ НЕЗДІЙСНЕННЯ ПЛАНУ ЧИ ПРОГРАМИ</w:t>
      </w:r>
      <w:bookmarkEnd w:id="10"/>
    </w:p>
    <w:p w:rsidR="00642FB4" w:rsidRDefault="00642FB4">
      <w:pPr>
        <w:contextualSpacing/>
        <w:jc w:val="both"/>
        <w:rPr>
          <w:rFonts w:eastAsia="EUAlbertina-Regular-Identity-H" w:cs="Arial"/>
          <w:lang w:val="uk-UA" w:eastAsia="en-US"/>
        </w:rPr>
      </w:pPr>
    </w:p>
    <w:p w:rsidR="00642FB4" w:rsidRDefault="00642FB4">
      <w:pPr>
        <w:autoSpaceDE w:val="0"/>
        <w:autoSpaceDN w:val="0"/>
        <w:adjustRightInd w:val="0"/>
        <w:spacing w:before="60" w:after="60" w:line="288" w:lineRule="auto"/>
        <w:ind w:firstLine="720"/>
        <w:contextualSpacing/>
        <w:jc w:val="both"/>
        <w:rPr>
          <w:rFonts w:eastAsia="EUAlbertina-Regular-Identity-H" w:cs="Arial"/>
          <w:lang w:val="uk-UA" w:eastAsia="en-US"/>
        </w:rPr>
      </w:pPr>
      <w:r>
        <w:rPr>
          <w:rFonts w:eastAsia="EUAlbertina-Regular-Identity-H" w:cs="Arial"/>
          <w:lang w:val="uk-UA" w:eastAsia="en-US"/>
        </w:rPr>
        <w:t xml:space="preserve">Програмна територія має кілька екологічних проблем, які виникли в результаті агресивного процесу індустріалізації до 1989 року, але вони укладаються в </w:t>
      </w:r>
      <w:r>
        <w:rPr>
          <w:rStyle w:val="Emphasis"/>
          <w:rFonts w:cs="Arial"/>
          <w:bCs/>
          <w:i w:val="0"/>
          <w:iCs w:val="0"/>
          <w:shd w:val="clear" w:color="auto" w:fill="FFFFFF"/>
          <w:lang w:val="uk-UA"/>
        </w:rPr>
        <w:t>рамках міжнародних</w:t>
      </w:r>
      <w:r>
        <w:rPr>
          <w:rStyle w:val="apple-converted-space"/>
          <w:rFonts w:cs="Arial"/>
          <w:shd w:val="clear" w:color="auto" w:fill="FFFFFF"/>
          <w:lang w:val="uk-UA"/>
        </w:rPr>
        <w:t> </w:t>
      </w:r>
      <w:r>
        <w:rPr>
          <w:rFonts w:cs="Arial"/>
          <w:shd w:val="clear" w:color="auto" w:fill="FFFFFF"/>
          <w:lang w:val="uk-UA"/>
        </w:rPr>
        <w:t>угод у сфері охорони довкілля</w:t>
      </w:r>
      <w:r>
        <w:rPr>
          <w:rFonts w:eastAsia="EUAlbertina-Regular-Identity-H" w:cs="Arial"/>
          <w:lang w:val="uk-UA" w:eastAsia="en-US"/>
        </w:rPr>
        <w:t>. Основні проблеми виникають з чотирьох основних джерел:</w:t>
      </w:r>
    </w:p>
    <w:p w:rsidR="00642FB4" w:rsidRDefault="00642FB4">
      <w:pPr>
        <w:numPr>
          <w:ilvl w:val="0"/>
          <w:numId w:val="30"/>
        </w:numPr>
        <w:spacing w:before="60" w:after="60" w:line="288" w:lineRule="auto"/>
        <w:jc w:val="both"/>
        <w:rPr>
          <w:rFonts w:eastAsia="EUAlbertina-Regular-Identity-H"/>
          <w:lang w:val="uk-UA" w:eastAsia="en-US"/>
        </w:rPr>
      </w:pPr>
      <w:r>
        <w:rPr>
          <w:rFonts w:eastAsia="EUAlbertina-Regular-Identity-H"/>
          <w:lang w:val="uk-UA" w:eastAsia="en-US"/>
        </w:rPr>
        <w:t xml:space="preserve">промислові викиди і відходи, що утворюються при експлуатації та закриття промислових об'єктів, які мають негативний вплив на повітря, ґрунт і воду; </w:t>
      </w:r>
    </w:p>
    <w:p w:rsidR="00642FB4" w:rsidRDefault="00642FB4">
      <w:pPr>
        <w:numPr>
          <w:ilvl w:val="0"/>
          <w:numId w:val="30"/>
        </w:numPr>
        <w:spacing w:before="60" w:after="60" w:line="288" w:lineRule="auto"/>
        <w:jc w:val="both"/>
        <w:rPr>
          <w:rFonts w:eastAsia="EUAlbertina-Regular-Identity-H"/>
          <w:lang w:val="uk-UA" w:eastAsia="en-US"/>
        </w:rPr>
      </w:pPr>
      <w:r>
        <w:rPr>
          <w:rFonts w:eastAsia="EUAlbertina-Regular-Identity-H"/>
          <w:lang w:val="uk-UA" w:eastAsia="en-US"/>
        </w:rPr>
        <w:t>погане управління відходами, особливо в сільських районах, що мають прямий вплив на навколишнє середовище, особливо, тому що в цих районах не існують адекватні засоби для очищення;</w:t>
      </w:r>
    </w:p>
    <w:p w:rsidR="00642FB4" w:rsidRDefault="00642FB4">
      <w:pPr>
        <w:numPr>
          <w:ilvl w:val="0"/>
          <w:numId w:val="30"/>
        </w:numPr>
        <w:spacing w:before="60" w:after="60" w:line="288" w:lineRule="auto"/>
        <w:jc w:val="both"/>
        <w:rPr>
          <w:rFonts w:eastAsia="EUAlbertina-Regular-Identity-H"/>
          <w:lang w:val="uk-UA" w:eastAsia="en-US"/>
        </w:rPr>
      </w:pPr>
      <w:r>
        <w:rPr>
          <w:rFonts w:eastAsia="EUAlbertina-Regular-Identity-H"/>
          <w:lang w:val="uk-UA" w:eastAsia="en-US"/>
        </w:rPr>
        <w:t xml:space="preserve">використання хімічних добрив і неправильного зберігання відходів сільського господарства, які мають безпосередній вплив на ґрунти та якості води; </w:t>
      </w:r>
    </w:p>
    <w:p w:rsidR="00642FB4" w:rsidRDefault="00642FB4">
      <w:pPr>
        <w:numPr>
          <w:ilvl w:val="0"/>
          <w:numId w:val="30"/>
        </w:numPr>
        <w:spacing w:before="60" w:after="60" w:line="288" w:lineRule="auto"/>
        <w:jc w:val="both"/>
        <w:rPr>
          <w:rFonts w:eastAsia="EUAlbertina-Regular-Identity-H"/>
          <w:lang w:val="uk-UA" w:eastAsia="en-US"/>
        </w:rPr>
      </w:pPr>
      <w:r>
        <w:rPr>
          <w:rFonts w:eastAsia="EUAlbertina-Regular-Identity-H"/>
          <w:bCs/>
          <w:lang w:val="uk-UA" w:eastAsia="en-US"/>
        </w:rPr>
        <w:t>Міські центри мають значний вплив на якість повітря і навколишнього середовища в цілому, тому що головним  чином вони спричиняють викиди парникових газів (СО2).</w:t>
      </w:r>
    </w:p>
    <w:p w:rsidR="00642FB4" w:rsidRDefault="00642FB4">
      <w:pPr>
        <w:autoSpaceDE w:val="0"/>
        <w:autoSpaceDN w:val="0"/>
        <w:adjustRightInd w:val="0"/>
        <w:spacing w:before="60" w:after="60" w:line="288" w:lineRule="auto"/>
        <w:ind w:firstLine="720"/>
        <w:contextualSpacing/>
        <w:jc w:val="both"/>
        <w:rPr>
          <w:rFonts w:eastAsia="EUAlbertina-Regular-Identity-H" w:cs="Arial"/>
          <w:lang w:val="uk-UA" w:eastAsia="en-US"/>
        </w:rPr>
      </w:pPr>
      <w:r>
        <w:rPr>
          <w:rFonts w:eastAsia="EUAlbertina-Regular-Identity-H" w:cs="Arial"/>
          <w:lang w:val="uk-UA" w:eastAsia="en-US"/>
        </w:rPr>
        <w:t>На сьогоднішній день на програмній території існують більше 1000 охоронюваних територій національного та міжнародного значення та багатьох історичних місць.</w:t>
      </w:r>
    </w:p>
    <w:p w:rsidR="00642FB4" w:rsidRDefault="00642FB4">
      <w:pPr>
        <w:autoSpaceDE w:val="0"/>
        <w:autoSpaceDN w:val="0"/>
        <w:adjustRightInd w:val="0"/>
        <w:spacing w:before="60" w:after="60" w:line="288" w:lineRule="auto"/>
        <w:ind w:firstLine="720"/>
        <w:contextualSpacing/>
        <w:jc w:val="both"/>
        <w:rPr>
          <w:rFonts w:eastAsia="EUAlbertina-Regular-Identity-H" w:cs="Arial"/>
          <w:lang w:val="uk-UA" w:eastAsia="en-US"/>
        </w:rPr>
      </w:pPr>
      <w:r>
        <w:rPr>
          <w:rFonts w:eastAsia="EUAlbertina-Regular-Identity-H" w:cs="Arial"/>
          <w:lang w:val="uk-UA" w:eastAsia="en-US"/>
        </w:rPr>
        <w:t>Взагалі, екологічна ситуація на програмній території в Румунії, і в Україні не залежатиме прямо від невиконання проектів, які будуть підтримуватися Програмою Ро-Уа.</w:t>
      </w:r>
    </w:p>
    <w:p w:rsidR="00642FB4" w:rsidRDefault="00642FB4">
      <w:pPr>
        <w:autoSpaceDE w:val="0"/>
        <w:autoSpaceDN w:val="0"/>
        <w:adjustRightInd w:val="0"/>
        <w:spacing w:before="60" w:after="60" w:line="288" w:lineRule="auto"/>
        <w:ind w:firstLine="720"/>
        <w:contextualSpacing/>
        <w:jc w:val="both"/>
        <w:rPr>
          <w:rFonts w:eastAsia="EUAlbertina-Regular-Identity-H" w:cs="Arial"/>
          <w:lang w:val="uk-UA" w:eastAsia="en-US"/>
        </w:rPr>
      </w:pPr>
      <w:r>
        <w:rPr>
          <w:rFonts w:eastAsia="EUAlbertina-Regular-Identity-H" w:cs="Arial"/>
          <w:lang w:val="uk-UA" w:eastAsia="en-US"/>
        </w:rPr>
        <w:t>Проекти, які будуть здійснюватися в рамках тематичних цілей TЦ2 і ТЦ3 - концептуальні проекти та обмін досвідом в галузі освіти, наукових досліджень, розробок та інновацій, сприяння відновленню та просуванню  історичної спадщини, можуть мати лише непрямий вплив на навколишнє середовище.</w:t>
      </w:r>
    </w:p>
    <w:p w:rsidR="00642FB4" w:rsidRDefault="00642FB4">
      <w:pPr>
        <w:autoSpaceDE w:val="0"/>
        <w:autoSpaceDN w:val="0"/>
        <w:adjustRightInd w:val="0"/>
        <w:spacing w:before="60" w:after="60" w:line="288" w:lineRule="auto"/>
        <w:ind w:firstLine="720"/>
        <w:contextualSpacing/>
        <w:jc w:val="both"/>
        <w:rPr>
          <w:rFonts w:eastAsia="EUAlbertina-Regular-Identity-H" w:cs="Arial"/>
          <w:lang w:val="uk-UA" w:eastAsia="en-US"/>
        </w:rPr>
      </w:pPr>
      <w:r>
        <w:rPr>
          <w:rFonts w:eastAsia="EUAlbertina-Regular-Identity-H" w:cs="Arial"/>
          <w:lang w:val="uk-UA" w:eastAsia="en-US"/>
        </w:rPr>
        <w:t xml:space="preserve">Але проекти, які будуть реалізовані в рамках тематичних цілей TЦ8 TЦ7 матимуть позитивний вплив на навколишнє середовище за рахунок розвитку інфраструктури, зі значним </w:t>
      </w:r>
      <w:r>
        <w:rPr>
          <w:rStyle w:val="apple-converted-space"/>
          <w:rFonts w:cs="Arial"/>
          <w:color w:val="545454"/>
          <w:shd w:val="clear" w:color="auto" w:fill="FFFFFF"/>
          <w:lang w:val="uk-UA"/>
        </w:rPr>
        <w:t> </w:t>
      </w:r>
      <w:r>
        <w:rPr>
          <w:rFonts w:cs="Arial"/>
          <w:shd w:val="clear" w:color="auto" w:fill="FFFFFF"/>
          <w:lang w:val="uk-UA"/>
        </w:rPr>
        <w:t>безпосереднім</w:t>
      </w:r>
      <w:r>
        <w:rPr>
          <w:rFonts w:eastAsia="EUAlbertina-Regular-Identity-H" w:cs="Arial"/>
          <w:lang w:val="uk-UA" w:eastAsia="en-US"/>
        </w:rPr>
        <w:t xml:space="preserve"> впливом на поточну ситуацію через запобігання зсувів і повеней, які також мають позитивний вплив.</w:t>
      </w:r>
    </w:p>
    <w:p w:rsidR="00642FB4" w:rsidRDefault="00642FB4">
      <w:pPr>
        <w:autoSpaceDE w:val="0"/>
        <w:autoSpaceDN w:val="0"/>
        <w:adjustRightInd w:val="0"/>
        <w:spacing w:before="60" w:after="60" w:line="288" w:lineRule="auto"/>
        <w:ind w:firstLine="720"/>
        <w:contextualSpacing/>
        <w:jc w:val="both"/>
        <w:rPr>
          <w:rFonts w:eastAsia="EUAlbertina-Regular-Identity-H" w:cs="Arial"/>
          <w:lang w:val="uk-UA" w:eastAsia="en-US"/>
        </w:rPr>
      </w:pPr>
      <w:r>
        <w:rPr>
          <w:rFonts w:eastAsia="EUAlbertina-Regular-Identity-H" w:cs="Arial"/>
          <w:lang w:val="uk-UA" w:eastAsia="en-US"/>
        </w:rPr>
        <w:t>У разі нездійснення Програми Ро-Уа поточна екологічна ситуація на відповідній території залишиться незмінною, але існує можливість погіршення ситуації з негативним впливом на майже всі фактори навколишнього середовища: повітря, води, грунт, зміна клімату, біорізноманіття, управління відходами, архітектурні та археологічні спадщини природний ландшафт.</w:t>
      </w:r>
    </w:p>
    <w:p w:rsidR="00642FB4" w:rsidRDefault="00642FB4">
      <w:pPr>
        <w:autoSpaceDE w:val="0"/>
        <w:autoSpaceDN w:val="0"/>
        <w:adjustRightInd w:val="0"/>
        <w:spacing w:before="60" w:after="60" w:line="288" w:lineRule="auto"/>
        <w:ind w:firstLine="720"/>
        <w:contextualSpacing/>
        <w:jc w:val="both"/>
        <w:rPr>
          <w:rFonts w:eastAsia="EUAlbertina-Regular-Identity-H" w:cs="Arial"/>
          <w:lang w:val="uk-UA" w:eastAsia="en-US"/>
        </w:rPr>
        <w:sectPr w:rsidR="00642FB4">
          <w:footerReference w:type="default" r:id="rId13"/>
          <w:pgSz w:w="11909" w:h="16834" w:code="9"/>
          <w:pgMar w:top="562" w:right="849" w:bottom="562" w:left="1138" w:header="288" w:footer="0" w:gutter="0"/>
          <w:cols w:space="708"/>
          <w:docGrid w:linePitch="360"/>
        </w:sectPr>
      </w:pPr>
    </w:p>
    <w:p w:rsidR="00642FB4" w:rsidRDefault="00642FB4">
      <w:pPr>
        <w:pStyle w:val="Title"/>
        <w:numPr>
          <w:ilvl w:val="0"/>
          <w:numId w:val="5"/>
        </w:numPr>
        <w:jc w:val="both"/>
        <w:rPr>
          <w:rFonts w:ascii="Arial" w:hAnsi="Arial" w:cs="Arial"/>
          <w:sz w:val="24"/>
          <w:szCs w:val="24"/>
          <w:lang w:val="uk-UA"/>
        </w:rPr>
      </w:pPr>
      <w:bookmarkStart w:id="11" w:name="_Toc419199659"/>
      <w:r>
        <w:rPr>
          <w:rFonts w:ascii="Arial" w:hAnsi="Arial" w:cs="Arial"/>
          <w:sz w:val="24"/>
          <w:szCs w:val="24"/>
          <w:lang w:val="uk-UA"/>
        </w:rPr>
        <w:t>ЕКОЛОГІЧНІ ХАРАКТЕРИСТИКИ РЕГІОНІВ, ЯКІ МОЖУТЬ ЗАЗНАТИ ЗНАЧНИЙ  НЕГАТИВНИЙ ВПЛИВ НА НАВКОЛИШНЄ СЕРЕДОВИЩЕ</w:t>
      </w:r>
      <w:bookmarkEnd w:id="11"/>
      <w:r>
        <w:rPr>
          <w:rFonts w:ascii="Arial" w:hAnsi="Arial" w:cs="Arial"/>
          <w:sz w:val="24"/>
          <w:szCs w:val="24"/>
          <w:lang w:val="uk-UA"/>
        </w:rPr>
        <w:t xml:space="preserve"> </w:t>
      </w:r>
    </w:p>
    <w:p w:rsidR="00642FB4" w:rsidRDefault="00642FB4">
      <w:pPr>
        <w:pStyle w:val="Heading1"/>
        <w:numPr>
          <w:ilvl w:val="0"/>
          <w:numId w:val="45"/>
        </w:numPr>
        <w:jc w:val="both"/>
        <w:rPr>
          <w:rFonts w:ascii="Arial" w:hAnsi="Arial" w:cs="Arial"/>
          <w:sz w:val="24"/>
          <w:szCs w:val="24"/>
          <w:lang w:val="uk-UA"/>
        </w:rPr>
      </w:pPr>
      <w:bookmarkStart w:id="12" w:name="_Toc419199660"/>
      <w:r>
        <w:rPr>
          <w:rFonts w:ascii="Arial" w:hAnsi="Arial" w:cs="Arial"/>
          <w:sz w:val="24"/>
          <w:szCs w:val="24"/>
          <w:lang w:val="uk-UA"/>
        </w:rPr>
        <w:t>РУМУНІЯ</w:t>
      </w:r>
      <w:bookmarkEnd w:id="12"/>
    </w:p>
    <w:p w:rsidR="00642FB4" w:rsidRDefault="00642FB4">
      <w:pPr>
        <w:rPr>
          <w:lang w:val="uk-UA"/>
        </w:rPr>
      </w:pPr>
    </w:p>
    <w:p w:rsidR="00642FB4" w:rsidRDefault="00642FB4">
      <w:pPr>
        <w:spacing w:line="276" w:lineRule="auto"/>
        <w:ind w:firstLine="720"/>
        <w:jc w:val="both"/>
        <w:rPr>
          <w:rFonts w:eastAsia="Calibri" w:cs="Arial"/>
          <w:lang w:val="uk-UA"/>
        </w:rPr>
      </w:pPr>
      <w:r>
        <w:rPr>
          <w:rFonts w:eastAsia="Calibri" w:cs="Arial"/>
          <w:lang w:val="uk-UA"/>
        </w:rPr>
        <w:t>Характеристика поточної ситуації, щодо якості повітря і ґрунту в п'яти румунських повітів програмної території область була представлена в доповіді про стан навколишнього середовища на основі звітів екологічного стану місцевості, здійснених місцевими агентствами для захисту навколишнього середовища.</w:t>
      </w:r>
    </w:p>
    <w:p w:rsidR="00642FB4" w:rsidRDefault="00642FB4">
      <w:pPr>
        <w:spacing w:line="276" w:lineRule="auto"/>
        <w:ind w:firstLine="720"/>
        <w:jc w:val="both"/>
        <w:rPr>
          <w:rFonts w:eastAsia="Calibri" w:cs="Arial"/>
          <w:lang w:val="uk-UA"/>
        </w:rPr>
      </w:pPr>
      <w:r>
        <w:rPr>
          <w:rFonts w:eastAsia="Calibri" w:cs="Arial"/>
          <w:lang w:val="uk-UA"/>
        </w:rPr>
        <w:t xml:space="preserve">Інформація про водні ресурси та якість води була подана з Плану управління гідрографічної одиниці Сомеш – Тиса,  Плану управління гідрографічної одиниці Прут – Барлад, Плану управління гідрографічної одиниці Сірет, Плану управління гідрографічної мережі ріки Дунай, Делта Дунаю, гідрографічної мережи Добруджа і прибережних вод. Ці плани були опубліковані на веб-сайтах </w:t>
      </w:r>
      <w:r>
        <w:rPr>
          <w:rStyle w:val="Emphasis"/>
          <w:rFonts w:cs="Arial"/>
          <w:bCs/>
          <w:i w:val="0"/>
          <w:iCs w:val="0"/>
          <w:shd w:val="clear" w:color="auto" w:fill="FFFFFF"/>
          <w:lang w:val="uk-UA"/>
        </w:rPr>
        <w:t>Національної</w:t>
      </w:r>
      <w:r>
        <w:rPr>
          <w:rStyle w:val="apple-converted-space"/>
          <w:rFonts w:cs="Arial"/>
          <w:shd w:val="clear" w:color="auto" w:fill="FFFFFF"/>
          <w:lang w:val="uk-UA"/>
        </w:rPr>
        <w:t> </w:t>
      </w:r>
      <w:r>
        <w:rPr>
          <w:rFonts w:cs="Arial"/>
          <w:shd w:val="clear" w:color="auto" w:fill="FFFFFF"/>
          <w:lang w:val="uk-UA"/>
        </w:rPr>
        <w:t>Адміністрації “</w:t>
      </w:r>
      <w:r>
        <w:rPr>
          <w:rStyle w:val="Emphasis"/>
          <w:rFonts w:cs="Arial"/>
          <w:bCs/>
          <w:i w:val="0"/>
          <w:iCs w:val="0"/>
          <w:shd w:val="clear" w:color="auto" w:fill="FFFFFF"/>
          <w:lang w:val="uk-UA"/>
        </w:rPr>
        <w:t>Води Румунії</w:t>
      </w:r>
      <w:r>
        <w:rPr>
          <w:rFonts w:cs="Arial"/>
          <w:shd w:val="clear" w:color="auto" w:fill="FFFFFF"/>
          <w:lang w:val="uk-UA"/>
        </w:rPr>
        <w:t>”</w:t>
      </w:r>
      <w:r>
        <w:rPr>
          <w:rFonts w:eastAsia="Calibri" w:cs="Arial"/>
          <w:lang w:val="uk-UA"/>
        </w:rPr>
        <w:t>.</w:t>
      </w:r>
    </w:p>
    <w:p w:rsidR="00642FB4" w:rsidRPr="006C74EB" w:rsidRDefault="00642FB4">
      <w:pPr>
        <w:spacing w:line="276" w:lineRule="auto"/>
        <w:ind w:firstLine="720"/>
        <w:jc w:val="both"/>
        <w:rPr>
          <w:rFonts w:eastAsia="Calibri" w:cs="Arial"/>
          <w:lang w:val="ru-RU"/>
        </w:rPr>
      </w:pPr>
      <w:r>
        <w:rPr>
          <w:rFonts w:eastAsia="Calibri" w:cs="Arial"/>
          <w:lang w:val="uk-UA"/>
        </w:rPr>
        <w:t>Гідрографічна мережа Сомеш -Тиса знаходиться на півночі і північному заході країни. На півночі граничить з натуральним кордоном з Україною довжиною в 61 км,  встановленого річкою Тиса, на заході від кордону з Угорщиною, а у середині країни з басейном ріки Сірет, на сході, на півдні з  басейном ріки Муреш і басейном ріки Криш на південному заході.</w:t>
      </w:r>
      <w:r w:rsidR="001A3E45">
        <w:rPr>
          <w:rFonts w:eastAsia="Calibri" w:cs="Arial"/>
          <w:lang w:val="en-US"/>
        </w:rPr>
        <w:t xml:space="preserve"> Мал. 4.1</w:t>
      </w:r>
    </w:p>
    <w:p w:rsidR="00642FB4" w:rsidRDefault="001C33BE">
      <w:pPr>
        <w:spacing w:line="276" w:lineRule="auto"/>
        <w:jc w:val="both"/>
        <w:rPr>
          <w:rFonts w:eastAsia="Calibri" w:cs="Arial"/>
          <w:lang w:val="uk-UA"/>
        </w:rPr>
      </w:pPr>
      <w:r>
        <w:rPr>
          <w:rFonts w:eastAsia="Calibri" w:cs="Arial"/>
          <w:noProof/>
          <w:lang w:val="en-US" w:eastAsia="en-US"/>
        </w:rPr>
        <w:drawing>
          <wp:inline distT="0" distB="0" distL="0" distR="0" wp14:anchorId="24209D5D" wp14:editId="1241C2BE">
            <wp:extent cx="5843905" cy="4134485"/>
            <wp:effectExtent l="19050" t="0" r="4445" b="0"/>
            <wp:docPr id="5" name="Рисунок 5" descr="Somes T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mes Tisa"/>
                    <pic:cNvPicPr>
                      <a:picLocks noChangeAspect="1" noChangeArrowheads="1"/>
                    </pic:cNvPicPr>
                  </pic:nvPicPr>
                  <pic:blipFill>
                    <a:blip r:embed="rId14" cstate="print"/>
                    <a:srcRect/>
                    <a:stretch>
                      <a:fillRect/>
                    </a:stretch>
                  </pic:blipFill>
                  <pic:spPr bwMode="auto">
                    <a:xfrm>
                      <a:off x="0" y="0"/>
                      <a:ext cx="5843905" cy="4134485"/>
                    </a:xfrm>
                    <a:prstGeom prst="rect">
                      <a:avLst/>
                    </a:prstGeom>
                    <a:noFill/>
                    <a:ln w="9525">
                      <a:noFill/>
                      <a:miter lim="800000"/>
                      <a:headEnd/>
                      <a:tailEnd/>
                    </a:ln>
                  </pic:spPr>
                </pic:pic>
              </a:graphicData>
            </a:graphic>
          </wp:inline>
        </w:drawing>
      </w:r>
    </w:p>
    <w:p w:rsidR="00642FB4" w:rsidRDefault="00642FB4">
      <w:pPr>
        <w:spacing w:line="276" w:lineRule="auto"/>
        <w:jc w:val="center"/>
        <w:rPr>
          <w:rFonts w:eastAsia="Calibri" w:cs="Arial"/>
          <w:sz w:val="22"/>
          <w:szCs w:val="22"/>
          <w:lang w:val="uk-UA"/>
        </w:rPr>
      </w:pPr>
      <w:r>
        <w:rPr>
          <w:rFonts w:eastAsia="Calibri" w:cs="Arial"/>
          <w:b/>
          <w:i/>
          <w:sz w:val="22"/>
          <w:szCs w:val="22"/>
          <w:lang w:val="uk-UA"/>
        </w:rPr>
        <w:t>Малюнок 4.1 Мережа Сомеш -Tиса</w:t>
      </w:r>
    </w:p>
    <w:p w:rsidR="00642FB4" w:rsidRDefault="00642FB4">
      <w:pPr>
        <w:spacing w:line="276" w:lineRule="auto"/>
        <w:jc w:val="both"/>
        <w:rPr>
          <w:rFonts w:eastAsia="Calibri" w:cs="Arial"/>
          <w:b/>
          <w:lang w:val="uk-UA"/>
        </w:rPr>
      </w:pPr>
    </w:p>
    <w:p w:rsidR="00642FB4" w:rsidRDefault="00642FB4">
      <w:pPr>
        <w:spacing w:line="276" w:lineRule="auto"/>
        <w:ind w:firstLine="709"/>
        <w:jc w:val="both"/>
        <w:rPr>
          <w:rFonts w:eastAsia="Calibri" w:cs="Arial"/>
          <w:lang w:val="uk-UA"/>
        </w:rPr>
      </w:pPr>
      <w:r>
        <w:rPr>
          <w:rFonts w:eastAsia="Calibri" w:cs="Arial"/>
          <w:lang w:val="uk-UA"/>
        </w:rPr>
        <w:t>З адміністративної точки зору, гідрографічна мережа Сомеш-Тиса охоплює територію 7 повітів: Клуж, Селаж, Бистриця-Несеуд, Марамуреш, Сату-Маре, Біхор і Альба. Останні два повіта є незначними з точки зору розміщення гідрографічної мережі.</w:t>
      </w:r>
    </w:p>
    <w:p w:rsidR="00642FB4" w:rsidRDefault="00642FB4">
      <w:pPr>
        <w:spacing w:line="276" w:lineRule="auto"/>
        <w:ind w:firstLine="709"/>
        <w:jc w:val="both"/>
        <w:rPr>
          <w:rFonts w:eastAsia="Calibri" w:cs="Arial"/>
          <w:b/>
          <w:u w:val="single"/>
          <w:lang w:val="en-US"/>
        </w:rPr>
      </w:pPr>
    </w:p>
    <w:p w:rsidR="00642FB4" w:rsidRDefault="00642FB4">
      <w:pPr>
        <w:spacing w:line="276" w:lineRule="auto"/>
        <w:ind w:firstLine="709"/>
        <w:jc w:val="both"/>
        <w:rPr>
          <w:rFonts w:eastAsia="Calibri" w:cs="Arial"/>
          <w:b/>
          <w:u w:val="single"/>
          <w:lang w:val="uk-UA"/>
        </w:rPr>
      </w:pPr>
      <w:r>
        <w:rPr>
          <w:rFonts w:eastAsia="Calibri" w:cs="Arial"/>
          <w:b/>
          <w:u w:val="single"/>
          <w:lang w:val="uk-UA"/>
        </w:rPr>
        <w:t>ГІДРОГРАФІЯ</w:t>
      </w:r>
    </w:p>
    <w:p w:rsidR="00642FB4" w:rsidRDefault="00642FB4">
      <w:pPr>
        <w:spacing w:line="276" w:lineRule="auto"/>
        <w:ind w:firstLine="709"/>
        <w:jc w:val="both"/>
        <w:rPr>
          <w:rFonts w:eastAsia="Calibri" w:cs="Arial"/>
          <w:lang w:val="uk-UA"/>
        </w:rPr>
      </w:pPr>
      <w:r>
        <w:rPr>
          <w:rFonts w:eastAsia="Calibri" w:cs="Arial"/>
          <w:lang w:val="uk-UA"/>
        </w:rPr>
        <w:t>Загальна площа гідрографічної мережі Сомеш-Тиса - 22380 км</w:t>
      </w:r>
      <w:r>
        <w:rPr>
          <w:rFonts w:eastAsia="Calibri" w:cs="Arial"/>
          <w:vertAlign w:val="superscript"/>
          <w:lang w:val="uk-UA"/>
        </w:rPr>
        <w:t>2</w:t>
      </w:r>
      <w:r>
        <w:rPr>
          <w:rFonts w:eastAsia="Calibri" w:cs="Arial"/>
          <w:lang w:val="uk-UA"/>
        </w:rPr>
        <w:t>, що становить 9,4% з загальної площі країни. Гідрографічна мережа включає 580 кодифікованих річок із загальною протяжністю 7828 км і середньою щільністю 0,35 км / км</w:t>
      </w:r>
      <w:r>
        <w:rPr>
          <w:rFonts w:eastAsia="Calibri" w:cs="Arial"/>
          <w:vertAlign w:val="superscript"/>
          <w:lang w:val="uk-UA"/>
        </w:rPr>
        <w:t>2</w:t>
      </w:r>
      <w:r>
        <w:rPr>
          <w:rFonts w:eastAsia="Calibri" w:cs="Arial"/>
          <w:lang w:val="uk-UA"/>
        </w:rPr>
        <w:t>. У Румунії гідрографічна мережа включає суббасейн -Тиса (у тому числі Тур) та 123 річок (площа 4540 км</w:t>
      </w:r>
      <w:r>
        <w:rPr>
          <w:rFonts w:eastAsia="Calibri" w:cs="Arial"/>
          <w:vertAlign w:val="superscript"/>
          <w:lang w:val="uk-UA"/>
        </w:rPr>
        <w:t xml:space="preserve">2 </w:t>
      </w:r>
      <w:r>
        <w:rPr>
          <w:rFonts w:eastAsia="Calibri" w:cs="Arial"/>
          <w:lang w:val="uk-UA"/>
        </w:rPr>
        <w:t>і щільність мережі 0,35 км/ км</w:t>
      </w:r>
      <w:r>
        <w:rPr>
          <w:rFonts w:eastAsia="Calibri" w:cs="Arial"/>
          <w:vertAlign w:val="superscript"/>
          <w:lang w:val="uk-UA"/>
        </w:rPr>
        <w:t>2</w:t>
      </w:r>
      <w:r>
        <w:rPr>
          <w:rFonts w:eastAsia="Calibri" w:cs="Arial"/>
          <w:lang w:val="uk-UA"/>
        </w:rPr>
        <w:t>), Сомеш - 403 річок  (площа 15740 км</w:t>
      </w:r>
      <w:r>
        <w:rPr>
          <w:rFonts w:eastAsia="Calibri" w:cs="Arial"/>
          <w:vertAlign w:val="superscript"/>
          <w:lang w:val="uk-UA"/>
        </w:rPr>
        <w:t xml:space="preserve">2 </w:t>
      </w:r>
      <w:r>
        <w:rPr>
          <w:rFonts w:eastAsia="Calibri" w:cs="Arial"/>
          <w:lang w:val="uk-UA"/>
        </w:rPr>
        <w:t>і щільність мережі 0,35 км / км</w:t>
      </w:r>
      <w:r>
        <w:rPr>
          <w:rFonts w:eastAsia="Calibri" w:cs="Arial"/>
          <w:vertAlign w:val="superscript"/>
          <w:lang w:val="uk-UA"/>
        </w:rPr>
        <w:t>2</w:t>
      </w:r>
      <w:r>
        <w:rPr>
          <w:rFonts w:eastAsia="Calibri" w:cs="Arial"/>
          <w:lang w:val="uk-UA"/>
        </w:rPr>
        <w:t>) і Красна  - 54 річок (площа 2100 км</w:t>
      </w:r>
      <w:r>
        <w:rPr>
          <w:rFonts w:eastAsia="Calibri" w:cs="Arial"/>
          <w:vertAlign w:val="superscript"/>
          <w:lang w:val="uk-UA"/>
        </w:rPr>
        <w:t xml:space="preserve">2 </w:t>
      </w:r>
      <w:r>
        <w:rPr>
          <w:rFonts w:eastAsia="Calibri" w:cs="Arial"/>
          <w:lang w:val="uk-UA"/>
        </w:rPr>
        <w:t>та щільність мережі 0,34 км / км</w:t>
      </w:r>
      <w:r>
        <w:rPr>
          <w:rFonts w:eastAsia="Calibri" w:cs="Arial"/>
          <w:vertAlign w:val="superscript"/>
          <w:lang w:val="uk-UA"/>
        </w:rPr>
        <w:t>2</w:t>
      </w:r>
      <w:r>
        <w:rPr>
          <w:rFonts w:eastAsia="Calibri" w:cs="Arial"/>
          <w:lang w:val="uk-UA"/>
        </w:rPr>
        <w:t>).</w:t>
      </w:r>
    </w:p>
    <w:p w:rsidR="00642FB4" w:rsidRDefault="00642FB4">
      <w:pPr>
        <w:spacing w:line="276" w:lineRule="auto"/>
        <w:ind w:firstLine="709"/>
        <w:jc w:val="both"/>
        <w:rPr>
          <w:rFonts w:eastAsia="Calibri" w:cs="Arial"/>
          <w:b/>
          <w:u w:val="single"/>
          <w:lang w:val="uk-UA"/>
        </w:rPr>
      </w:pPr>
      <w:r>
        <w:rPr>
          <w:rFonts w:eastAsia="Calibri" w:cs="Arial"/>
          <w:b/>
          <w:u w:val="single"/>
          <w:lang w:val="uk-UA"/>
        </w:rPr>
        <w:t>ЗЕМЛЕКОРИСТУВАННЯ</w:t>
      </w:r>
    </w:p>
    <w:p w:rsidR="00642FB4" w:rsidRDefault="00642FB4">
      <w:pPr>
        <w:spacing w:line="276" w:lineRule="auto"/>
        <w:ind w:firstLine="709"/>
        <w:jc w:val="both"/>
        <w:rPr>
          <w:rFonts w:eastAsia="Calibri" w:cs="Arial"/>
          <w:lang w:val="uk-UA"/>
        </w:rPr>
      </w:pPr>
      <w:r>
        <w:rPr>
          <w:rFonts w:eastAsia="Calibri" w:cs="Arial"/>
          <w:lang w:val="uk-UA"/>
        </w:rPr>
        <w:t>Що стосується використання земель по всій гідрографічній мережі Сомеш - Тиса спостерігається нерівномірний розподіл лісів, луків, сільськогосподарських угідь, міських і промислових територій, залежно від рельєфу.</w:t>
      </w:r>
    </w:p>
    <w:p w:rsidR="00642FB4" w:rsidRDefault="00642FB4">
      <w:pPr>
        <w:spacing w:line="276" w:lineRule="auto"/>
        <w:ind w:firstLine="709"/>
        <w:jc w:val="both"/>
        <w:rPr>
          <w:rFonts w:eastAsia="Calibri" w:cs="Arial"/>
          <w:lang w:val="uk-UA"/>
        </w:rPr>
      </w:pPr>
      <w:r>
        <w:rPr>
          <w:rFonts w:eastAsia="Calibri" w:cs="Arial"/>
          <w:lang w:val="uk-UA"/>
        </w:rPr>
        <w:t>Сільськогосподарські угіддя поширюються по всіх трьох суббасейнах: Тиса (51,9%), Сомеш (64,3%) і Красна (72,1%). Ліси покривають велику площу в суббасейні Тиса (42,8%), в інших суббасейнах площа займає не більше 30% (28,3% - Сомеш і Красна - 18,2%). Інші форми використання землі, займають меншу площу з  загальної площі. Міські райони з урахуванням вод займають  близько 7% від загальної площі.</w:t>
      </w:r>
    </w:p>
    <w:p w:rsidR="00642FB4" w:rsidRDefault="00642FB4">
      <w:pPr>
        <w:spacing w:line="276" w:lineRule="auto"/>
        <w:ind w:firstLine="709"/>
        <w:jc w:val="both"/>
        <w:rPr>
          <w:rFonts w:eastAsia="Calibri" w:cs="Arial"/>
          <w:b/>
          <w:u w:val="single"/>
          <w:lang w:val="uk-UA"/>
        </w:rPr>
      </w:pPr>
      <w:r>
        <w:rPr>
          <w:rFonts w:eastAsia="Calibri" w:cs="Arial"/>
          <w:b/>
          <w:u w:val="single"/>
          <w:lang w:val="uk-UA"/>
        </w:rPr>
        <w:t>ВОДНІ РЕСУРСИ</w:t>
      </w:r>
    </w:p>
    <w:p w:rsidR="00642FB4" w:rsidRDefault="00642FB4">
      <w:pPr>
        <w:spacing w:line="276" w:lineRule="auto"/>
        <w:ind w:firstLine="709"/>
        <w:jc w:val="both"/>
        <w:rPr>
          <w:rFonts w:eastAsia="Calibri" w:cs="Arial"/>
          <w:lang w:val="uk-UA"/>
        </w:rPr>
      </w:pPr>
      <w:r>
        <w:rPr>
          <w:rFonts w:eastAsia="Calibri" w:cs="Arial"/>
          <w:lang w:val="uk-UA"/>
        </w:rPr>
        <w:t>Водні ресурси, розміщені в гідрографічному басейні Сомеш - Тиса можна вважати відносно скромними (але достатніми) і нерівномірно розподілених у просторі та часі. Теоретичний загальний обсяг ресурсів становіть в середньому щорічно 6593000 млн.м</w:t>
      </w:r>
      <w:r>
        <w:rPr>
          <w:rFonts w:eastAsia="Calibri" w:cs="Arial"/>
          <w:vertAlign w:val="superscript"/>
          <w:lang w:val="uk-UA"/>
        </w:rPr>
        <w:t xml:space="preserve">3 </w:t>
      </w:r>
      <w:r>
        <w:rPr>
          <w:rFonts w:eastAsia="Calibri" w:cs="Arial"/>
          <w:lang w:val="uk-UA"/>
        </w:rPr>
        <w:t>води, з яких технічно використовуються 20% або 1 316 млн.м</w:t>
      </w:r>
      <w:r>
        <w:rPr>
          <w:rFonts w:eastAsia="Calibri" w:cs="Arial"/>
          <w:vertAlign w:val="superscript"/>
          <w:lang w:val="uk-UA"/>
        </w:rPr>
        <w:t>3</w:t>
      </w:r>
      <w:r>
        <w:rPr>
          <w:rFonts w:eastAsia="Calibri" w:cs="Arial"/>
          <w:lang w:val="uk-UA"/>
        </w:rPr>
        <w:t>. Головний резерв водних ресурсів  складається з поверхневих вод річкової системи, які забезпечують в середньому гідрологічному році витік вод обсягом в 6110 млн.м</w:t>
      </w:r>
      <w:r>
        <w:rPr>
          <w:rFonts w:eastAsia="Calibri" w:cs="Arial"/>
          <w:vertAlign w:val="superscript"/>
          <w:lang w:val="uk-UA"/>
        </w:rPr>
        <w:t>3</w:t>
      </w:r>
      <w:r>
        <w:rPr>
          <w:rFonts w:eastAsia="Calibri" w:cs="Arial"/>
          <w:lang w:val="uk-UA"/>
        </w:rPr>
        <w:t xml:space="preserve"> (теоретичний ресурс), </w:t>
      </w:r>
      <w:r w:rsidRPr="006C74EB">
        <w:rPr>
          <w:rFonts w:eastAsia="Calibri" w:cs="Arial"/>
          <w:lang w:val="uk-UA"/>
        </w:rPr>
        <w:t>з яких 16% складає технічний ресурс (близько 971 млн.l.м</w:t>
      </w:r>
      <w:r w:rsidRPr="006C74EB">
        <w:rPr>
          <w:rFonts w:eastAsia="Calibri" w:cs="Arial"/>
          <w:vertAlign w:val="superscript"/>
          <w:lang w:val="uk-UA"/>
        </w:rPr>
        <w:t>3</w:t>
      </w:r>
      <w:r w:rsidRPr="006C74EB">
        <w:rPr>
          <w:rFonts w:eastAsia="Calibri" w:cs="Arial"/>
          <w:lang w:val="uk-UA"/>
        </w:rPr>
        <w:t>). З цього обсягу, 70% забезпечується природним шляхом (650 млн..м</w:t>
      </w:r>
      <w:r w:rsidRPr="006C74EB">
        <w:rPr>
          <w:rFonts w:eastAsia="Calibri" w:cs="Arial"/>
          <w:vertAlign w:val="superscript"/>
          <w:lang w:val="uk-UA"/>
        </w:rPr>
        <w:t>3</w:t>
      </w:r>
      <w:r w:rsidRPr="006C74EB">
        <w:rPr>
          <w:rFonts w:eastAsia="Calibri" w:cs="Arial"/>
          <w:lang w:val="uk-UA"/>
        </w:rPr>
        <w:t>), а решта через накопичення води.</w:t>
      </w:r>
    </w:p>
    <w:p w:rsidR="006C74EB" w:rsidRPr="006C74EB" w:rsidRDefault="006C74EB">
      <w:pPr>
        <w:spacing w:line="276" w:lineRule="auto"/>
        <w:ind w:firstLine="709"/>
        <w:jc w:val="both"/>
        <w:rPr>
          <w:rFonts w:eastAsia="Calibri" w:cs="Arial"/>
          <w:lang w:val="uk-UA"/>
        </w:rPr>
      </w:pPr>
      <w:r w:rsidRPr="006C74EB">
        <w:rPr>
          <w:rFonts w:eastAsia="Calibri" w:cs="Arial"/>
          <w:lang w:val="uk-UA"/>
        </w:rPr>
        <w:t>У співвідношенні до кількості населення басейну, специфічний питомий використовуваний ресурс дорівнює 504 м3/чол./рік, а специфічний ресурс розрахований до теоретичного запасу (середньорічний) дорівнює 3504 м3/чол./рік. Водні ресурси в гідрографічному середовищі Сомеш-Тиса є достатніми і існує резервний потенціал.</w:t>
      </w:r>
    </w:p>
    <w:p w:rsidR="00642FB4" w:rsidRPr="006C74EB" w:rsidRDefault="00642FB4">
      <w:pPr>
        <w:spacing w:line="276" w:lineRule="auto"/>
        <w:ind w:firstLine="709"/>
        <w:jc w:val="both"/>
        <w:rPr>
          <w:rFonts w:eastAsia="Calibri" w:cs="Arial"/>
          <w:lang w:val="uk-UA"/>
        </w:rPr>
      </w:pPr>
      <w:r w:rsidRPr="006C74EB">
        <w:rPr>
          <w:rFonts w:eastAsia="Calibri" w:cs="Arial"/>
          <w:lang w:val="uk-UA"/>
        </w:rPr>
        <w:t xml:space="preserve">На </w:t>
      </w:r>
      <w:r w:rsidRPr="006C74EB">
        <w:rPr>
          <w:rFonts w:cs="Arial"/>
          <w:color w:val="252525"/>
          <w:shd w:val="clear" w:color="auto" w:fill="FFFFFF"/>
          <w:lang w:val="uk-UA"/>
        </w:rPr>
        <w:t>контрольно-вимірювальної станції</w:t>
      </w:r>
      <w:r w:rsidRPr="006C74EB">
        <w:rPr>
          <w:rFonts w:eastAsia="Calibri" w:cs="Arial"/>
          <w:lang w:val="uk-UA"/>
        </w:rPr>
        <w:t xml:space="preserve"> Сату-Маре, недалеко від виходу з країни, середньорічна витрата річки Сомеш становить 125 м</w:t>
      </w:r>
      <w:r w:rsidRPr="006C74EB">
        <w:rPr>
          <w:rFonts w:eastAsia="Calibri" w:cs="Arial"/>
          <w:vertAlign w:val="superscript"/>
          <w:lang w:val="uk-UA"/>
        </w:rPr>
        <w:t>3</w:t>
      </w:r>
      <w:r w:rsidRPr="006C74EB">
        <w:rPr>
          <w:rFonts w:eastAsia="Calibri" w:cs="Arial"/>
          <w:lang w:val="uk-UA"/>
        </w:rPr>
        <w:t>/с від площі 15600 км</w:t>
      </w:r>
      <w:r w:rsidRPr="006C74EB">
        <w:rPr>
          <w:rFonts w:eastAsia="Calibri" w:cs="Arial"/>
          <w:vertAlign w:val="superscript"/>
          <w:lang w:val="uk-UA"/>
        </w:rPr>
        <w:t>2</w:t>
      </w:r>
      <w:r w:rsidRPr="006C74EB">
        <w:rPr>
          <w:rFonts w:eastAsia="Calibri" w:cs="Arial"/>
          <w:lang w:val="uk-UA"/>
        </w:rPr>
        <w:t xml:space="preserve"> (питома швидкість 8,01 л/с /км</w:t>
      </w:r>
      <w:r w:rsidRPr="006C74EB">
        <w:rPr>
          <w:rFonts w:eastAsia="Calibri" w:cs="Arial"/>
          <w:vertAlign w:val="superscript"/>
          <w:lang w:val="uk-UA"/>
        </w:rPr>
        <w:t>2</w:t>
      </w:r>
      <w:r w:rsidRPr="006C74EB">
        <w:rPr>
          <w:rFonts w:eastAsia="Calibri" w:cs="Arial"/>
          <w:lang w:val="uk-UA"/>
        </w:rPr>
        <w:t>), зі значним гідрологічним внеском річок: Шієу (15,1 м</w:t>
      </w:r>
      <w:r w:rsidRPr="006C74EB">
        <w:rPr>
          <w:rFonts w:eastAsia="Calibri" w:cs="Arial"/>
          <w:vertAlign w:val="superscript"/>
          <w:lang w:val="uk-UA"/>
        </w:rPr>
        <w:t>3</w:t>
      </w:r>
      <w:r w:rsidRPr="006C74EB">
        <w:rPr>
          <w:rFonts w:eastAsia="Calibri" w:cs="Arial"/>
          <w:lang w:val="uk-UA"/>
        </w:rPr>
        <w:t>/с), Сомешул Mic (21,2 м</w:t>
      </w:r>
      <w:r w:rsidRPr="006C74EB">
        <w:rPr>
          <w:rFonts w:eastAsia="Calibri" w:cs="Arial"/>
          <w:vertAlign w:val="superscript"/>
          <w:lang w:val="uk-UA"/>
        </w:rPr>
        <w:t>3</w:t>
      </w:r>
      <w:r w:rsidRPr="006C74EB">
        <w:rPr>
          <w:rFonts w:eastAsia="Calibri" w:cs="Arial"/>
          <w:lang w:val="uk-UA"/>
        </w:rPr>
        <w:t>/с), Лепуш (19,3 м</w:t>
      </w:r>
      <w:r w:rsidRPr="006C74EB">
        <w:rPr>
          <w:rFonts w:eastAsia="Calibri" w:cs="Arial"/>
          <w:vertAlign w:val="superscript"/>
          <w:lang w:val="uk-UA"/>
        </w:rPr>
        <w:t>3</w:t>
      </w:r>
      <w:r w:rsidRPr="006C74EB">
        <w:rPr>
          <w:rFonts w:eastAsia="Calibri" w:cs="Arial"/>
          <w:lang w:val="uk-UA"/>
        </w:rPr>
        <w:t>/с).</w:t>
      </w:r>
    </w:p>
    <w:p w:rsidR="00642FB4" w:rsidRDefault="00642FB4">
      <w:pPr>
        <w:spacing w:line="276" w:lineRule="auto"/>
        <w:ind w:firstLine="709"/>
        <w:jc w:val="both"/>
        <w:rPr>
          <w:rFonts w:eastAsia="Calibri" w:cs="Arial"/>
          <w:lang w:val="uk-UA"/>
        </w:rPr>
      </w:pPr>
      <w:r w:rsidRPr="006C74EB">
        <w:rPr>
          <w:rFonts w:eastAsia="Calibri" w:cs="Arial"/>
          <w:lang w:val="uk-UA"/>
        </w:rPr>
        <w:t>Для річки Тиса при виході з країні була зареєстрована середньорічна витрата в 130 м</w:t>
      </w:r>
      <w:r w:rsidRPr="006C74EB">
        <w:rPr>
          <w:rFonts w:eastAsia="Calibri" w:cs="Arial"/>
          <w:vertAlign w:val="superscript"/>
          <w:lang w:val="uk-UA"/>
        </w:rPr>
        <w:t>3</w:t>
      </w:r>
      <w:r w:rsidRPr="006C74EB">
        <w:rPr>
          <w:rFonts w:eastAsia="Calibri" w:cs="Arial"/>
          <w:lang w:val="uk-UA"/>
        </w:rPr>
        <w:t>/с від загальної площі річки (у тому числі в Україні)  в 6423 км</w:t>
      </w:r>
      <w:r w:rsidRPr="006C74EB">
        <w:rPr>
          <w:rFonts w:eastAsia="Calibri" w:cs="Arial"/>
          <w:vertAlign w:val="superscript"/>
          <w:lang w:val="uk-UA"/>
        </w:rPr>
        <w:t>2</w:t>
      </w:r>
      <w:r w:rsidRPr="006C74EB">
        <w:rPr>
          <w:rFonts w:eastAsia="Calibri" w:cs="Arial"/>
          <w:lang w:val="uk-UA"/>
        </w:rPr>
        <w:t xml:space="preserve"> (питома швидкість 20.2 л/с/км</w:t>
      </w:r>
      <w:r w:rsidRPr="006C74EB">
        <w:rPr>
          <w:rFonts w:eastAsia="Calibri" w:cs="Arial"/>
          <w:vertAlign w:val="superscript"/>
          <w:lang w:val="uk-UA"/>
        </w:rPr>
        <w:t>2</w:t>
      </w:r>
      <w:r w:rsidRPr="006C74EB">
        <w:rPr>
          <w:rFonts w:eastAsia="Calibri" w:cs="Arial"/>
          <w:lang w:val="uk-UA"/>
        </w:rPr>
        <w:t>), з важливим гідрологічним внеском з румунської території річки Вішеу (33,9 м</w:t>
      </w:r>
      <w:r w:rsidRPr="006C74EB">
        <w:rPr>
          <w:rFonts w:eastAsia="Calibri" w:cs="Arial"/>
          <w:vertAlign w:val="superscript"/>
          <w:lang w:val="uk-UA"/>
        </w:rPr>
        <w:t>3</w:t>
      </w:r>
      <w:r w:rsidRPr="006C74EB">
        <w:rPr>
          <w:rFonts w:eastAsia="Calibri" w:cs="Arial"/>
          <w:lang w:val="uk-UA"/>
        </w:rPr>
        <w:t>/с) і Iзa (16,6 м</w:t>
      </w:r>
      <w:r w:rsidRPr="006C74EB">
        <w:rPr>
          <w:rFonts w:eastAsia="Calibri" w:cs="Arial"/>
          <w:vertAlign w:val="superscript"/>
          <w:lang w:val="uk-UA"/>
        </w:rPr>
        <w:t>3</w:t>
      </w:r>
      <w:r w:rsidRPr="006C74EB">
        <w:rPr>
          <w:rFonts w:eastAsia="Calibri" w:cs="Arial"/>
          <w:lang w:val="uk-UA"/>
        </w:rPr>
        <w:t xml:space="preserve">/с). Слід зазначити, що Тиса має річковий стік в три рази більший, ніж стік річки Сомеш, хоча площа басейну Тиси на половину менша ніж </w:t>
      </w:r>
      <w:r w:rsidRPr="006C74EB">
        <w:rPr>
          <w:rFonts w:cs="Arial"/>
          <w:shd w:val="clear" w:color="auto" w:fill="FFFFFF"/>
          <w:lang w:val="uk-UA"/>
        </w:rPr>
        <w:t>водозбірний</w:t>
      </w:r>
      <w:r w:rsidRPr="006C74EB">
        <w:rPr>
          <w:rStyle w:val="apple-converted-space"/>
          <w:rFonts w:cs="Arial"/>
          <w:shd w:val="clear" w:color="auto" w:fill="FFFFFF"/>
          <w:lang w:val="uk-UA"/>
        </w:rPr>
        <w:t> </w:t>
      </w:r>
      <w:r w:rsidRPr="006C74EB">
        <w:rPr>
          <w:rStyle w:val="Emphasis"/>
          <w:rFonts w:cs="Arial"/>
          <w:bCs/>
          <w:i w:val="0"/>
          <w:iCs w:val="0"/>
          <w:shd w:val="clear" w:color="auto" w:fill="FFFFFF"/>
          <w:lang w:val="uk-UA"/>
        </w:rPr>
        <w:t>басейн</w:t>
      </w:r>
      <w:r w:rsidRPr="006C74EB">
        <w:rPr>
          <w:rFonts w:eastAsia="Calibri" w:cs="Arial"/>
          <w:lang w:val="uk-UA"/>
        </w:rPr>
        <w:t xml:space="preserve"> Сомеша, але це результат проливних дощів, які реєструються в басейні річки Тиса. Зона з меншими водними ресурсами знаходиться в зоні басейну річки Красна, яка характеризується низьким стоком  через морфологічні і кліматичні фактори (мала висота, незначна кількість опадів і високі температури). На гідрометричній станції Домнешть, недалеко від кордону з Угорщиною, середня швидкість становить 3,5 л/с/км</w:t>
      </w:r>
      <w:r w:rsidRPr="006C74EB">
        <w:rPr>
          <w:rFonts w:eastAsia="Calibri" w:cs="Arial"/>
          <w:vertAlign w:val="superscript"/>
          <w:lang w:val="uk-UA"/>
        </w:rPr>
        <w:t>2</w:t>
      </w:r>
      <w:r w:rsidRPr="006C74EB">
        <w:rPr>
          <w:rFonts w:eastAsia="Calibri" w:cs="Arial"/>
          <w:lang w:val="uk-UA"/>
        </w:rPr>
        <w:t>.</w:t>
      </w:r>
    </w:p>
    <w:p w:rsidR="006C74EB" w:rsidRPr="006C74EB" w:rsidRDefault="006C74EB">
      <w:pPr>
        <w:spacing w:line="276" w:lineRule="auto"/>
        <w:ind w:firstLine="709"/>
        <w:jc w:val="both"/>
        <w:rPr>
          <w:rFonts w:eastAsia="Calibri" w:cs="Arial"/>
          <w:lang w:val="uk-UA"/>
        </w:rPr>
      </w:pPr>
      <w:r w:rsidRPr="006C74EB">
        <w:rPr>
          <w:rFonts w:eastAsia="Calibri" w:cs="Arial"/>
          <w:lang w:val="uk-UA"/>
        </w:rPr>
        <w:t>Оцінені підземні водні ресурси дорівнюють 483 млн. м3 (розвідані) і 316 млн. м3 використовувані, з яких 59% підземних і 41% глибинних.</w:t>
      </w:r>
    </w:p>
    <w:p w:rsidR="00642FB4" w:rsidRDefault="00642FB4">
      <w:pPr>
        <w:spacing w:line="276" w:lineRule="auto"/>
        <w:ind w:firstLine="709"/>
        <w:jc w:val="both"/>
        <w:rPr>
          <w:rFonts w:eastAsia="Calibri" w:cs="Arial"/>
          <w:lang w:val="uk-UA"/>
        </w:rPr>
      </w:pPr>
    </w:p>
    <w:p w:rsidR="00642FB4" w:rsidRDefault="00642FB4">
      <w:pPr>
        <w:spacing w:line="276" w:lineRule="auto"/>
        <w:ind w:firstLine="709"/>
        <w:jc w:val="both"/>
        <w:rPr>
          <w:rFonts w:eastAsia="Calibri" w:cs="Arial"/>
          <w:b/>
          <w:u w:val="single"/>
          <w:lang w:val="en-US"/>
        </w:rPr>
      </w:pPr>
    </w:p>
    <w:p w:rsidR="00642FB4" w:rsidRDefault="00642FB4">
      <w:pPr>
        <w:spacing w:line="276" w:lineRule="auto"/>
        <w:ind w:firstLine="709"/>
        <w:jc w:val="both"/>
        <w:rPr>
          <w:rFonts w:eastAsia="Calibri" w:cs="Arial"/>
          <w:b/>
          <w:u w:val="single"/>
          <w:lang w:val="en-US"/>
        </w:rPr>
      </w:pPr>
    </w:p>
    <w:p w:rsidR="00642FB4" w:rsidRDefault="00642FB4">
      <w:pPr>
        <w:spacing w:line="276" w:lineRule="auto"/>
        <w:ind w:firstLine="709"/>
        <w:jc w:val="both"/>
        <w:rPr>
          <w:rFonts w:eastAsia="Calibri" w:cs="Arial"/>
          <w:b/>
          <w:u w:val="single"/>
          <w:lang w:val="uk-UA"/>
        </w:rPr>
      </w:pPr>
      <w:r>
        <w:rPr>
          <w:rFonts w:eastAsia="Calibri" w:cs="Arial"/>
          <w:b/>
          <w:u w:val="single"/>
          <w:lang w:val="uk-UA"/>
        </w:rPr>
        <w:t xml:space="preserve">КАТЕГОРІЇ </w:t>
      </w:r>
      <w:r>
        <w:rPr>
          <w:rStyle w:val="Emphasis"/>
          <w:rFonts w:cs="Arial"/>
          <w:b/>
          <w:bCs/>
          <w:i w:val="0"/>
          <w:iCs w:val="0"/>
          <w:u w:val="single"/>
          <w:shd w:val="clear" w:color="auto" w:fill="FFFFFF"/>
          <w:lang w:val="uk-UA"/>
        </w:rPr>
        <w:t>ПОВЕРХНЕВИХ ВОД</w:t>
      </w:r>
      <w:r>
        <w:rPr>
          <w:rFonts w:eastAsia="Calibri" w:cs="Arial"/>
          <w:b/>
          <w:u w:val="single"/>
          <w:lang w:val="uk-UA"/>
        </w:rPr>
        <w:t xml:space="preserve"> </w:t>
      </w:r>
    </w:p>
    <w:p w:rsidR="00642FB4" w:rsidRDefault="00642FB4">
      <w:pPr>
        <w:spacing w:line="276" w:lineRule="auto"/>
        <w:ind w:firstLine="709"/>
        <w:jc w:val="both"/>
        <w:rPr>
          <w:rFonts w:eastAsia="Calibri" w:cs="Arial"/>
          <w:lang w:val="uk-UA"/>
        </w:rPr>
      </w:pPr>
      <w:r>
        <w:rPr>
          <w:rFonts w:eastAsia="Calibri" w:cs="Arial"/>
          <w:lang w:val="uk-UA"/>
        </w:rPr>
        <w:t>У гідрографічній мережі Сомеш - Тиса знаходяться 521 річок з довжиною понад 10 км</w:t>
      </w:r>
      <w:r>
        <w:rPr>
          <w:rFonts w:eastAsia="Calibri" w:cs="Arial"/>
          <w:vertAlign w:val="superscript"/>
          <w:lang w:val="uk-UA"/>
        </w:rPr>
        <w:t>2</w:t>
      </w:r>
      <w:r>
        <w:rPr>
          <w:rFonts w:eastAsia="Calibri" w:cs="Arial"/>
          <w:lang w:val="uk-UA"/>
        </w:rPr>
        <w:t xml:space="preserve"> і 13 озер із площею понад 50 га, також три природних озера із площею менше 50 га.</w:t>
      </w:r>
    </w:p>
    <w:p w:rsidR="00642FB4" w:rsidRDefault="00642FB4">
      <w:pPr>
        <w:spacing w:line="276" w:lineRule="auto"/>
        <w:ind w:firstLine="709"/>
        <w:jc w:val="both"/>
        <w:rPr>
          <w:rFonts w:eastAsia="Calibri" w:cs="Arial"/>
          <w:b/>
          <w:u w:val="single"/>
          <w:lang w:val="uk-UA"/>
        </w:rPr>
      </w:pPr>
      <w:r>
        <w:rPr>
          <w:rFonts w:eastAsia="Calibri" w:cs="Arial"/>
          <w:b/>
          <w:u w:val="single"/>
          <w:lang w:val="uk-UA"/>
        </w:rPr>
        <w:t>Річки</w:t>
      </w:r>
    </w:p>
    <w:p w:rsidR="00642FB4" w:rsidRDefault="00642FB4">
      <w:pPr>
        <w:spacing w:line="276" w:lineRule="auto"/>
        <w:ind w:firstLine="709"/>
        <w:jc w:val="both"/>
        <w:rPr>
          <w:rFonts w:eastAsia="Calibri" w:cs="Arial"/>
          <w:lang w:val="uk-UA"/>
        </w:rPr>
      </w:pPr>
      <w:r>
        <w:rPr>
          <w:rFonts w:eastAsia="Calibri" w:cs="Arial"/>
          <w:b/>
          <w:i/>
          <w:lang w:val="uk-UA"/>
        </w:rPr>
        <w:t>Річка Тиса</w:t>
      </w:r>
      <w:r>
        <w:rPr>
          <w:rFonts w:eastAsia="Calibri" w:cs="Arial"/>
          <w:lang w:val="uk-UA"/>
        </w:rPr>
        <w:t xml:space="preserve"> має свої джерела в Карпатах, на Західній Україні і встановлює природний кордон між Румунією і Україною з довжиною в 61 км між населеними пунктами Валя Вішеулуй і Пятра, та впадає в Дунай на території Угорщини. На території Румунії, басейн Тиси охоплює площу в 4540 км</w:t>
      </w:r>
      <w:r>
        <w:rPr>
          <w:rFonts w:eastAsia="Calibri" w:cs="Arial"/>
          <w:vertAlign w:val="superscript"/>
          <w:lang w:val="uk-UA"/>
        </w:rPr>
        <w:t>2</w:t>
      </w:r>
      <w:r>
        <w:rPr>
          <w:rFonts w:eastAsia="Calibri" w:cs="Arial"/>
          <w:lang w:val="uk-UA"/>
        </w:rPr>
        <w:t>, із середнім похилом 2‰, збираючи воду від 115 водотоків довжиною понад 10 км</w:t>
      </w:r>
      <w:r>
        <w:rPr>
          <w:rFonts w:eastAsia="Calibri" w:cs="Arial"/>
          <w:vertAlign w:val="superscript"/>
          <w:lang w:val="uk-UA"/>
        </w:rPr>
        <w:t>2</w:t>
      </w:r>
      <w:r>
        <w:rPr>
          <w:rFonts w:eastAsia="Calibri" w:cs="Arial"/>
          <w:lang w:val="uk-UA"/>
        </w:rPr>
        <w:t>, із загальною протяжністю 1557 км.</w:t>
      </w:r>
    </w:p>
    <w:p w:rsidR="00642FB4" w:rsidRDefault="00642FB4">
      <w:pPr>
        <w:spacing w:line="276" w:lineRule="auto"/>
        <w:ind w:firstLine="709"/>
        <w:jc w:val="both"/>
        <w:rPr>
          <w:rFonts w:eastAsia="Calibri" w:cs="Arial"/>
          <w:lang w:val="uk-UA"/>
        </w:rPr>
      </w:pPr>
      <w:r>
        <w:rPr>
          <w:rFonts w:eastAsia="Calibri" w:cs="Arial"/>
          <w:b/>
          <w:i/>
          <w:lang w:val="uk-UA"/>
        </w:rPr>
        <w:t>Річка Вішеу</w:t>
      </w:r>
      <w:r>
        <w:rPr>
          <w:rFonts w:eastAsia="Calibri" w:cs="Arial"/>
          <w:lang w:val="uk-UA"/>
        </w:rPr>
        <w:t xml:space="preserve"> займає 1581 км</w:t>
      </w:r>
      <w:r>
        <w:rPr>
          <w:rFonts w:eastAsia="Calibri" w:cs="Arial"/>
          <w:vertAlign w:val="superscript"/>
          <w:lang w:val="uk-UA"/>
        </w:rPr>
        <w:t>2</w:t>
      </w:r>
      <w:r>
        <w:rPr>
          <w:rFonts w:eastAsia="Calibri" w:cs="Arial"/>
          <w:lang w:val="uk-UA"/>
        </w:rPr>
        <w:t xml:space="preserve"> із загальною протяжністю 82 км, </w:t>
      </w:r>
      <w:r>
        <w:rPr>
          <w:rFonts w:cs="Arial"/>
          <w:color w:val="252525"/>
          <w:shd w:val="clear" w:color="auto" w:fill="FFFFFF"/>
          <w:lang w:val="uk-UA"/>
        </w:rPr>
        <w:t>утворюється</w:t>
      </w:r>
      <w:r>
        <w:rPr>
          <w:rFonts w:eastAsia="Calibri" w:cs="Arial"/>
          <w:lang w:val="uk-UA"/>
        </w:rPr>
        <w:t xml:space="preserve"> в горах Марамуреш в зоні Прислоп на висоті 1535 м, приймаючи всі південно-західні водотоки з цих гір і притоки з північних гір Родна, формуючи річки Чісла, Васер, Рускова, Фрумушеауа.</w:t>
      </w:r>
    </w:p>
    <w:p w:rsidR="00642FB4" w:rsidRDefault="00642FB4">
      <w:pPr>
        <w:spacing w:line="276" w:lineRule="auto"/>
        <w:ind w:firstLine="709"/>
        <w:jc w:val="both"/>
        <w:rPr>
          <w:rFonts w:eastAsia="Calibri" w:cs="Arial"/>
          <w:lang w:val="uk-UA"/>
        </w:rPr>
      </w:pPr>
      <w:r>
        <w:rPr>
          <w:rFonts w:eastAsia="Calibri" w:cs="Arial"/>
          <w:b/>
          <w:i/>
          <w:lang w:val="uk-UA"/>
        </w:rPr>
        <w:t>Річка Іза</w:t>
      </w:r>
      <w:r>
        <w:rPr>
          <w:rFonts w:eastAsia="Calibri" w:cs="Arial"/>
          <w:lang w:val="uk-UA"/>
        </w:rPr>
        <w:t xml:space="preserve"> займає загальну площу в 1293 км</w:t>
      </w:r>
      <w:r>
        <w:rPr>
          <w:rFonts w:eastAsia="Calibri" w:cs="Arial"/>
          <w:vertAlign w:val="superscript"/>
          <w:lang w:val="uk-UA"/>
        </w:rPr>
        <w:t>2</w:t>
      </w:r>
      <w:r>
        <w:rPr>
          <w:rFonts w:eastAsia="Calibri" w:cs="Arial"/>
          <w:lang w:val="uk-UA"/>
        </w:rPr>
        <w:t xml:space="preserve"> із загальною довжиною 80 км, має джерело в горах Родна на висоті 1275 м, збираючи воду через ліві притоки, які мають джерела в горах Тіблешулуй і Гутий. Основні притоки Ізи - Бойку, Ієуд, Ботіза, Мара ку Косеу і Рона (права притока).</w:t>
      </w:r>
    </w:p>
    <w:p w:rsidR="00642FB4" w:rsidRDefault="00642FB4">
      <w:pPr>
        <w:spacing w:line="276" w:lineRule="auto"/>
        <w:ind w:firstLine="709"/>
        <w:jc w:val="both"/>
        <w:rPr>
          <w:rFonts w:eastAsia="Calibri" w:cs="Arial"/>
          <w:lang w:val="uk-UA"/>
        </w:rPr>
      </w:pPr>
      <w:r>
        <w:rPr>
          <w:rFonts w:eastAsia="Calibri" w:cs="Arial"/>
          <w:b/>
          <w:i/>
          <w:lang w:val="uk-UA"/>
        </w:rPr>
        <w:t>Річка Сомеш</w:t>
      </w:r>
      <w:r>
        <w:rPr>
          <w:rFonts w:eastAsia="Calibri" w:cs="Arial"/>
          <w:lang w:val="uk-UA"/>
        </w:rPr>
        <w:t xml:space="preserve"> має гідрографічний басейн в 15740 км</w:t>
      </w:r>
      <w:r>
        <w:rPr>
          <w:rFonts w:eastAsia="Calibri" w:cs="Arial"/>
          <w:vertAlign w:val="superscript"/>
          <w:lang w:val="uk-UA"/>
        </w:rPr>
        <w:t>2</w:t>
      </w:r>
      <w:r>
        <w:rPr>
          <w:rFonts w:eastAsia="Calibri" w:cs="Arial"/>
          <w:lang w:val="uk-UA"/>
        </w:rPr>
        <w:t>, у тому числі 362 притоків з довжиною понад 10 км</w:t>
      </w:r>
      <w:r>
        <w:rPr>
          <w:rFonts w:eastAsia="Calibri" w:cs="Arial"/>
          <w:vertAlign w:val="superscript"/>
          <w:lang w:val="uk-UA"/>
        </w:rPr>
        <w:t>2</w:t>
      </w:r>
      <w:r>
        <w:rPr>
          <w:rFonts w:eastAsia="Calibri" w:cs="Arial"/>
          <w:lang w:val="uk-UA"/>
        </w:rPr>
        <w:t xml:space="preserve"> і загальною довжиною 5263 км.</w:t>
      </w:r>
    </w:p>
    <w:p w:rsidR="00642FB4" w:rsidRDefault="00642FB4">
      <w:pPr>
        <w:spacing w:line="276" w:lineRule="auto"/>
        <w:ind w:firstLine="709"/>
        <w:jc w:val="both"/>
        <w:rPr>
          <w:rFonts w:eastAsia="Calibri" w:cs="Arial"/>
          <w:lang w:val="uk-UA"/>
        </w:rPr>
      </w:pPr>
      <w:r>
        <w:rPr>
          <w:b/>
          <w:i/>
          <w:lang w:val="uk-UA"/>
        </w:rPr>
        <w:t>Річка Сомешул Мік</w:t>
      </w:r>
      <w:r>
        <w:rPr>
          <w:lang w:val="uk-UA"/>
        </w:rPr>
        <w:t xml:space="preserve">: загальна </w:t>
      </w:r>
      <w:r>
        <w:rPr>
          <w:rFonts w:eastAsia="Calibri" w:cs="Arial"/>
          <w:lang w:val="uk-UA"/>
        </w:rPr>
        <w:t>площа 3773 км</w:t>
      </w:r>
      <w:r>
        <w:rPr>
          <w:rFonts w:eastAsia="Calibri" w:cs="Arial"/>
          <w:vertAlign w:val="superscript"/>
          <w:lang w:val="uk-UA"/>
        </w:rPr>
        <w:t>2</w:t>
      </w:r>
      <w:r>
        <w:rPr>
          <w:rFonts w:eastAsia="Calibri" w:cs="Arial"/>
          <w:lang w:val="uk-UA"/>
        </w:rPr>
        <w:t xml:space="preserve">,  загальна довжина 178 км, є найважливішою притокою річки Сомеш. </w:t>
      </w:r>
      <w:r>
        <w:rPr>
          <w:rFonts w:cs="Arial"/>
          <w:color w:val="252525"/>
          <w:shd w:val="clear" w:color="auto" w:fill="FFFFFF"/>
          <w:lang w:val="uk-UA"/>
        </w:rPr>
        <w:t xml:space="preserve">Утворюється злиттям </w:t>
      </w:r>
      <w:r>
        <w:rPr>
          <w:rFonts w:eastAsia="Calibri" w:cs="Arial"/>
          <w:lang w:val="uk-UA"/>
        </w:rPr>
        <w:t>Холодного Сомеша і  Теплого Сомеша, річок що течуть з гір Владяса, відповідно з гір Джилеу.</w:t>
      </w:r>
    </w:p>
    <w:p w:rsidR="00642FB4" w:rsidRDefault="00642FB4">
      <w:pPr>
        <w:spacing w:line="276" w:lineRule="auto"/>
        <w:ind w:firstLine="709"/>
        <w:jc w:val="both"/>
        <w:rPr>
          <w:rFonts w:eastAsia="Calibri" w:cs="Arial"/>
          <w:lang w:val="uk-UA"/>
        </w:rPr>
      </w:pPr>
      <w:r>
        <w:rPr>
          <w:rFonts w:eastAsia="Calibri" w:cs="Arial"/>
          <w:b/>
          <w:i/>
          <w:lang w:val="uk-UA"/>
        </w:rPr>
        <w:t>Річка Лепуш</w:t>
      </w:r>
      <w:r>
        <w:rPr>
          <w:rFonts w:eastAsia="Calibri" w:cs="Arial"/>
          <w:lang w:val="uk-UA"/>
        </w:rPr>
        <w:t xml:space="preserve"> майже єдиний колектор вод з південних схилах вулканічних гір Гутий і гор Гутий-Тіблеш, із значною правою асиметрією. Басейн займає площу 1875 км</w:t>
      </w:r>
      <w:r>
        <w:rPr>
          <w:rFonts w:eastAsia="Calibri" w:cs="Arial"/>
          <w:vertAlign w:val="superscript"/>
          <w:lang w:val="uk-UA"/>
        </w:rPr>
        <w:t>2</w:t>
      </w:r>
      <w:r>
        <w:rPr>
          <w:rFonts w:eastAsia="Calibri" w:cs="Arial"/>
          <w:lang w:val="uk-UA"/>
        </w:rPr>
        <w:t>, а загальна довжина 119 км.</w:t>
      </w:r>
    </w:p>
    <w:p w:rsidR="00642FB4" w:rsidRDefault="00642FB4">
      <w:pPr>
        <w:spacing w:line="276" w:lineRule="auto"/>
        <w:ind w:firstLine="709"/>
        <w:jc w:val="both"/>
        <w:rPr>
          <w:rFonts w:eastAsia="Calibri" w:cs="Arial"/>
          <w:b/>
          <w:u w:val="single"/>
          <w:lang w:val="uk-UA"/>
        </w:rPr>
      </w:pPr>
      <w:r>
        <w:rPr>
          <w:rFonts w:eastAsia="Calibri" w:cs="Arial"/>
          <w:b/>
          <w:u w:val="single"/>
          <w:lang w:val="uk-UA"/>
        </w:rPr>
        <w:t>Природні озера</w:t>
      </w:r>
    </w:p>
    <w:p w:rsidR="00642FB4" w:rsidRDefault="00642FB4">
      <w:pPr>
        <w:spacing w:line="276" w:lineRule="auto"/>
        <w:ind w:firstLine="709"/>
        <w:jc w:val="both"/>
        <w:rPr>
          <w:rFonts w:eastAsia="Calibri" w:cs="Arial"/>
          <w:lang w:val="uk-UA"/>
        </w:rPr>
      </w:pPr>
      <w:r>
        <w:rPr>
          <w:rFonts w:eastAsia="Calibri" w:cs="Arial"/>
          <w:lang w:val="uk-UA"/>
        </w:rPr>
        <w:t>У гідрографічному басейні  річки Тиса-Сомеш немає озер з площею, що перевищують 0,5 км</w:t>
      </w:r>
      <w:r>
        <w:rPr>
          <w:rFonts w:eastAsia="Calibri" w:cs="Arial"/>
          <w:vertAlign w:val="superscript"/>
          <w:lang w:val="uk-UA"/>
        </w:rPr>
        <w:t>2</w:t>
      </w:r>
      <w:r>
        <w:rPr>
          <w:rFonts w:eastAsia="Calibri" w:cs="Arial"/>
          <w:lang w:val="uk-UA"/>
        </w:rPr>
        <w:t>.</w:t>
      </w:r>
    </w:p>
    <w:p w:rsidR="006C74EB" w:rsidRPr="006C74EB" w:rsidRDefault="006C74EB" w:rsidP="006C74EB">
      <w:pPr>
        <w:spacing w:line="276" w:lineRule="auto"/>
        <w:ind w:firstLine="709"/>
        <w:jc w:val="both"/>
        <w:rPr>
          <w:rFonts w:eastAsia="Calibri" w:cs="Arial"/>
          <w:lang w:val="uk-UA"/>
        </w:rPr>
      </w:pPr>
      <w:r w:rsidRPr="006C74EB">
        <w:rPr>
          <w:rFonts w:eastAsia="Calibri" w:cs="Arial"/>
          <w:lang w:val="uk-UA"/>
        </w:rPr>
        <w:t xml:space="preserve">Характеристика еколого-хімічного стану вод басейну Сомеш-Тиса </w:t>
      </w:r>
    </w:p>
    <w:p w:rsidR="006C74EB" w:rsidRPr="006C74EB" w:rsidRDefault="006C74EB" w:rsidP="006C74EB">
      <w:pPr>
        <w:spacing w:line="276" w:lineRule="auto"/>
        <w:ind w:firstLine="709"/>
        <w:jc w:val="both"/>
        <w:rPr>
          <w:rFonts w:eastAsia="Calibri" w:cs="Arial"/>
          <w:lang w:val="uk-UA"/>
        </w:rPr>
      </w:pPr>
      <w:r w:rsidRPr="006C74EB">
        <w:rPr>
          <w:rFonts w:eastAsia="Calibri" w:cs="Arial"/>
          <w:lang w:val="uk-UA"/>
        </w:rPr>
        <w:t>На рівні  гідрографічного середовища Сомеш-Тиса були проаналізовані і охарактеризовані з точки зору екологічного стану/потенціалу 278 водні об'єкти (246 природні і 32 сильно змінені/штучні), з яких:</w:t>
      </w:r>
    </w:p>
    <w:p w:rsidR="006C74EB" w:rsidRPr="006C74EB" w:rsidRDefault="006C74EB" w:rsidP="006C74EB">
      <w:pPr>
        <w:spacing w:line="276" w:lineRule="auto"/>
        <w:ind w:firstLine="709"/>
        <w:jc w:val="both"/>
        <w:rPr>
          <w:rFonts w:eastAsia="Calibri" w:cs="Arial"/>
          <w:lang w:val="uk-UA"/>
        </w:rPr>
      </w:pPr>
      <w:r w:rsidRPr="006C74EB">
        <w:rPr>
          <w:rFonts w:eastAsia="Calibri" w:cs="Arial"/>
          <w:lang w:val="uk-UA"/>
        </w:rPr>
        <w:t>- 130 водних об'єктів (52,84% із загальної кількості природних водних об'єктів і 46,76% з 278 всіх водних об'єктів) знаходяться в доброму і дуже доброму екологічному стані, 11 об'єктів (34,37% сильно змінених/штучних водних об'єктів і  3,95% з 278 усіх об'єктів) мають добрий екологічний потенціал; інші 137 водних об'єктів мають екологічний стан/потенціал нижчий задовільного;</w:t>
      </w:r>
    </w:p>
    <w:p w:rsidR="006C74EB" w:rsidRPr="006C74EB" w:rsidRDefault="006C74EB" w:rsidP="006C74EB">
      <w:pPr>
        <w:spacing w:line="276" w:lineRule="auto"/>
        <w:ind w:firstLine="709"/>
        <w:jc w:val="both"/>
        <w:rPr>
          <w:rFonts w:eastAsia="Calibri" w:cs="Arial"/>
          <w:lang w:val="uk-UA"/>
        </w:rPr>
      </w:pPr>
      <w:r w:rsidRPr="006C74EB">
        <w:rPr>
          <w:rFonts w:eastAsia="Calibri" w:cs="Arial"/>
          <w:lang w:val="uk-UA"/>
        </w:rPr>
        <w:t>- 230 водні об'єкти (93,5% природних і 82,73% із всіх 278 водних об'єктів) мають задовільний хімічний стан, а 30 (93,75% сильно змінених/штучних об'єктів і 10,79% з 278 всіх водних об'єктів) мають поганий хімічний стан.</w:t>
      </w:r>
    </w:p>
    <w:p w:rsidR="006C74EB" w:rsidRPr="006C74EB" w:rsidRDefault="006C74EB" w:rsidP="006C74EB">
      <w:pPr>
        <w:spacing w:line="276" w:lineRule="auto"/>
        <w:ind w:firstLine="709"/>
        <w:jc w:val="both"/>
        <w:rPr>
          <w:rFonts w:eastAsia="Calibri" w:cs="Arial"/>
          <w:lang w:val="uk-UA"/>
        </w:rPr>
      </w:pPr>
    </w:p>
    <w:p w:rsidR="006C74EB" w:rsidRDefault="006C74EB" w:rsidP="006C74EB">
      <w:pPr>
        <w:spacing w:line="276" w:lineRule="auto"/>
        <w:ind w:firstLine="709"/>
        <w:jc w:val="both"/>
        <w:rPr>
          <w:rFonts w:eastAsia="Calibri" w:cs="Arial"/>
          <w:lang w:val="uk-UA"/>
        </w:rPr>
      </w:pPr>
      <w:r w:rsidRPr="006C74EB">
        <w:rPr>
          <w:rFonts w:eastAsia="Calibri" w:cs="Arial"/>
          <w:lang w:val="uk-UA"/>
        </w:rPr>
        <w:t>Гідрографічне середовище Прут-Бирлад утворене із середнього і нижнього басейну р. Прут, гідрографічного басейну . Бирлад, а також лівих приток р. Сірет (повіти Ботошани і Галац) (мал. 4.2).</w:t>
      </w:r>
    </w:p>
    <w:p w:rsidR="00642FB4" w:rsidRPr="00530F2E" w:rsidRDefault="00642FB4">
      <w:pPr>
        <w:spacing w:line="276" w:lineRule="auto"/>
        <w:ind w:firstLine="709"/>
        <w:jc w:val="both"/>
        <w:rPr>
          <w:rFonts w:eastAsia="Calibri" w:cs="Arial"/>
          <w:highlight w:val="yellow"/>
          <w:lang w:val="uk-UA"/>
        </w:rPr>
      </w:pPr>
    </w:p>
    <w:p w:rsidR="00642FB4" w:rsidRDefault="00642FB4">
      <w:pPr>
        <w:spacing w:line="276" w:lineRule="auto"/>
        <w:jc w:val="both"/>
        <w:rPr>
          <w:rFonts w:eastAsia="Calibri" w:cs="Arial"/>
          <w:b/>
          <w:i/>
          <w:lang w:val="en-US"/>
        </w:rPr>
      </w:pPr>
    </w:p>
    <w:p w:rsidR="00642FB4" w:rsidRDefault="00642FB4">
      <w:pPr>
        <w:spacing w:line="276" w:lineRule="auto"/>
        <w:jc w:val="both"/>
        <w:rPr>
          <w:rFonts w:eastAsia="Calibri" w:cs="Arial"/>
          <w:lang w:val="uk-UA"/>
        </w:rPr>
      </w:pPr>
      <w:r>
        <w:rPr>
          <w:rFonts w:eastAsia="Calibri" w:cs="Arial"/>
          <w:b/>
          <w:i/>
          <w:lang w:val="uk-UA"/>
        </w:rPr>
        <w:t>Басейн річки Прут</w:t>
      </w:r>
      <w:r>
        <w:rPr>
          <w:rFonts w:eastAsia="Calibri" w:cs="Arial"/>
          <w:lang w:val="uk-UA"/>
        </w:rPr>
        <w:t xml:space="preserve"> знаходиться в північно-східній частині басейну Дунаю, і межує на північному заході з басейнами Тиса і Сірет на  півночі, Дністром на сході. Загальна площа становить 27500 км</w:t>
      </w:r>
      <w:r>
        <w:rPr>
          <w:rFonts w:eastAsia="Calibri" w:cs="Arial"/>
          <w:vertAlign w:val="superscript"/>
          <w:lang w:val="uk-UA"/>
        </w:rPr>
        <w:t>2</w:t>
      </w:r>
      <w:r>
        <w:rPr>
          <w:rFonts w:eastAsia="Calibri" w:cs="Arial"/>
          <w:lang w:val="uk-UA"/>
        </w:rPr>
        <w:t xml:space="preserve"> і знаходиться на території трьох країн: України, Румунії та Молдови. Друга притока Дунаю за довжиною, річка Прут (952,9 км) утворює кордон між Румунією та Україною довжиною в 31 км, і між Румунією та Молдовою на протязі 711 км.</w:t>
      </w:r>
    </w:p>
    <w:p w:rsidR="00642FB4" w:rsidRDefault="00642FB4">
      <w:pPr>
        <w:spacing w:line="276" w:lineRule="auto"/>
        <w:jc w:val="both"/>
        <w:rPr>
          <w:rFonts w:eastAsia="Calibri" w:cs="Arial"/>
          <w:lang w:val="uk-UA"/>
        </w:rPr>
      </w:pPr>
      <w:r>
        <w:rPr>
          <w:rFonts w:eastAsia="Calibri" w:cs="Arial"/>
          <w:lang w:val="uk-UA"/>
        </w:rPr>
        <w:t>Басейн річки Барлад, ліва притока річки Сірет, обмежується на півночі і сході з басейном річки Прут.</w:t>
      </w:r>
    </w:p>
    <w:p w:rsidR="00642FB4" w:rsidRDefault="001C33BE">
      <w:pPr>
        <w:spacing w:line="276" w:lineRule="auto"/>
        <w:jc w:val="center"/>
        <w:rPr>
          <w:rFonts w:eastAsia="Calibri" w:cs="Arial"/>
          <w:lang w:val="uk-UA"/>
        </w:rPr>
      </w:pPr>
      <w:r>
        <w:rPr>
          <w:rFonts w:ascii="Calibri" w:eastAsia="Calibri" w:hAnsi="Calibri"/>
          <w:noProof/>
          <w:lang w:val="en-US" w:eastAsia="en-US"/>
        </w:rPr>
        <w:drawing>
          <wp:inline distT="0" distB="0" distL="0" distR="0" wp14:anchorId="7FD8B136" wp14:editId="37135BAE">
            <wp:extent cx="3959860" cy="5407025"/>
            <wp:effectExtent l="19050" t="0" r="2540" b="0"/>
            <wp:docPr id="6" name="Рисунок 6" descr="Pr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ut"/>
                    <pic:cNvPicPr>
                      <a:picLocks noChangeAspect="1" noChangeArrowheads="1"/>
                    </pic:cNvPicPr>
                  </pic:nvPicPr>
                  <pic:blipFill>
                    <a:blip r:embed="rId15" cstate="print"/>
                    <a:srcRect/>
                    <a:stretch>
                      <a:fillRect/>
                    </a:stretch>
                  </pic:blipFill>
                  <pic:spPr bwMode="auto">
                    <a:xfrm>
                      <a:off x="0" y="0"/>
                      <a:ext cx="3959860" cy="5407025"/>
                    </a:xfrm>
                    <a:prstGeom prst="rect">
                      <a:avLst/>
                    </a:prstGeom>
                    <a:noFill/>
                    <a:ln w="9525">
                      <a:noFill/>
                      <a:miter lim="800000"/>
                      <a:headEnd/>
                      <a:tailEnd/>
                    </a:ln>
                  </pic:spPr>
                </pic:pic>
              </a:graphicData>
            </a:graphic>
          </wp:inline>
        </w:drawing>
      </w:r>
    </w:p>
    <w:p w:rsidR="00642FB4" w:rsidRDefault="00642FB4">
      <w:pPr>
        <w:spacing w:line="276" w:lineRule="auto"/>
        <w:jc w:val="center"/>
        <w:rPr>
          <w:rFonts w:eastAsia="Calibri" w:cs="Arial"/>
          <w:sz w:val="22"/>
          <w:szCs w:val="22"/>
          <w:lang w:val="uk-UA"/>
        </w:rPr>
      </w:pPr>
      <w:r>
        <w:rPr>
          <w:rFonts w:eastAsia="Calibri" w:cs="Arial"/>
          <w:b/>
          <w:i/>
          <w:sz w:val="22"/>
          <w:szCs w:val="22"/>
          <w:lang w:val="uk-UA"/>
        </w:rPr>
        <w:t>Малюнок 4.2</w:t>
      </w:r>
      <w:r>
        <w:rPr>
          <w:rFonts w:eastAsia="Calibri" w:cs="Arial"/>
          <w:sz w:val="22"/>
          <w:szCs w:val="22"/>
          <w:lang w:val="uk-UA"/>
        </w:rPr>
        <w:t xml:space="preserve">  Гідрографічна мережа Прут-Барлад</w:t>
      </w:r>
    </w:p>
    <w:p w:rsidR="00642FB4" w:rsidRDefault="00642FB4">
      <w:pPr>
        <w:spacing w:line="276" w:lineRule="auto"/>
        <w:jc w:val="both"/>
        <w:rPr>
          <w:rFonts w:eastAsia="Calibri" w:cs="Arial"/>
          <w:lang w:val="uk-UA"/>
        </w:rPr>
      </w:pPr>
    </w:p>
    <w:p w:rsidR="00642FB4" w:rsidRDefault="00642FB4">
      <w:pPr>
        <w:spacing w:line="276" w:lineRule="auto"/>
        <w:ind w:firstLine="709"/>
        <w:jc w:val="both"/>
        <w:rPr>
          <w:rFonts w:eastAsia="Calibri" w:cs="Arial"/>
          <w:lang w:val="uk-UA"/>
        </w:rPr>
      </w:pPr>
      <w:r>
        <w:rPr>
          <w:rFonts w:eastAsia="Calibri" w:cs="Arial"/>
          <w:lang w:val="uk-UA"/>
        </w:rPr>
        <w:t>З адміністративної точки зору, басейн Прут - Барлад знаходиться майже повністю в повітах Ботошань, Ясси, Васлуй і Галац і частково в повітах Нямц, Бакеу і Вранча. Басейн річки Прут має площу в Румунії 10 967 км</w:t>
      </w:r>
      <w:r>
        <w:rPr>
          <w:rFonts w:eastAsia="Calibri" w:cs="Arial"/>
          <w:vertAlign w:val="superscript"/>
          <w:lang w:val="uk-UA"/>
        </w:rPr>
        <w:t>2</w:t>
      </w:r>
      <w:r>
        <w:rPr>
          <w:rFonts w:eastAsia="Calibri" w:cs="Arial"/>
          <w:lang w:val="uk-UA"/>
        </w:rPr>
        <w:t xml:space="preserve"> (близько 4,6% з території країни). Річка Барлад, найбільша ліва притока Сірету, має площу водозбірного басейну - 7220 км</w:t>
      </w:r>
      <w:r>
        <w:rPr>
          <w:rFonts w:eastAsia="Calibri" w:cs="Arial"/>
          <w:vertAlign w:val="superscript"/>
          <w:lang w:val="uk-UA"/>
        </w:rPr>
        <w:t>2</w:t>
      </w:r>
      <w:r>
        <w:rPr>
          <w:rFonts w:eastAsia="Calibri" w:cs="Arial"/>
          <w:lang w:val="uk-UA"/>
        </w:rPr>
        <w:t>.</w:t>
      </w:r>
    </w:p>
    <w:p w:rsidR="00642FB4" w:rsidRDefault="00642FB4">
      <w:pPr>
        <w:spacing w:line="276" w:lineRule="auto"/>
        <w:ind w:firstLine="709"/>
        <w:jc w:val="both"/>
        <w:rPr>
          <w:rFonts w:eastAsia="Calibri" w:cs="Arial"/>
          <w:lang w:val="uk-UA"/>
        </w:rPr>
      </w:pPr>
      <w:r>
        <w:rPr>
          <w:rFonts w:eastAsia="Calibri" w:cs="Arial"/>
          <w:lang w:val="uk-UA"/>
        </w:rPr>
        <w:t>Особливість басейну річки Прут – Барлад становить те, що  80% гідрографічної мережі складається з непостійних водних притоках, з яких 60% є тимчасовими (явище, що відбувається через періоди без опадів) і 18% напів-постійні водні притоки, стік реєструється тільки в періоди дощів.</w:t>
      </w:r>
    </w:p>
    <w:p w:rsidR="00642FB4" w:rsidRDefault="00642FB4">
      <w:pPr>
        <w:spacing w:line="276" w:lineRule="auto"/>
        <w:ind w:firstLine="709"/>
        <w:jc w:val="both"/>
        <w:rPr>
          <w:rFonts w:eastAsia="Calibri" w:cs="Arial"/>
          <w:lang w:val="uk-UA"/>
        </w:rPr>
      </w:pPr>
    </w:p>
    <w:p w:rsidR="00642FB4" w:rsidRDefault="00642FB4">
      <w:pPr>
        <w:spacing w:line="276" w:lineRule="auto"/>
        <w:ind w:firstLine="709"/>
        <w:jc w:val="both"/>
        <w:rPr>
          <w:rFonts w:eastAsia="Calibri" w:cs="Arial"/>
          <w:b/>
          <w:u w:val="single"/>
          <w:lang w:val="uk-UA"/>
        </w:rPr>
      </w:pPr>
      <w:r>
        <w:rPr>
          <w:rFonts w:eastAsia="Calibri" w:cs="Arial"/>
          <w:b/>
          <w:u w:val="single"/>
          <w:lang w:val="uk-UA"/>
        </w:rPr>
        <w:t>Гідрографія</w:t>
      </w:r>
    </w:p>
    <w:p w:rsidR="006C74EB" w:rsidRPr="006C74EB" w:rsidRDefault="006C74EB">
      <w:pPr>
        <w:spacing w:line="276" w:lineRule="auto"/>
        <w:ind w:firstLine="709"/>
        <w:jc w:val="both"/>
        <w:rPr>
          <w:rFonts w:eastAsia="Calibri" w:cs="Arial"/>
          <w:lang w:val="uk-UA"/>
        </w:rPr>
      </w:pPr>
      <w:r w:rsidRPr="006C74EB">
        <w:rPr>
          <w:rFonts w:eastAsia="Calibri" w:cs="Arial"/>
          <w:lang w:val="uk-UA"/>
        </w:rPr>
        <w:t>Загальна площа гідрографічного середовища Прут-Бирлад дорівнює 20.267 км2, що становить біля 8,7% площі держави. Гідрографічна мережа охоплює 392 водні течії, загальною довжиною 7.679 км і середньою густиною 0,38 км/кв. км. На території Румунії гідрографічне середовище Прут-Бирлад охоплює напівбасейни: середній і нижній басейн річки Прут, гідрографічний басейн р. Бирлад і ліві притоки р. Сірет (повіти Ботошани і Галац) із 392 водними течіями.</w:t>
      </w:r>
    </w:p>
    <w:p w:rsidR="00642FB4" w:rsidRDefault="00642FB4">
      <w:pPr>
        <w:spacing w:line="276" w:lineRule="auto"/>
        <w:jc w:val="both"/>
        <w:rPr>
          <w:rFonts w:eastAsia="Calibri" w:cs="Arial"/>
          <w:lang w:val="uk-UA"/>
        </w:rPr>
      </w:pPr>
    </w:p>
    <w:p w:rsidR="00642FB4" w:rsidRDefault="00642FB4">
      <w:pPr>
        <w:spacing w:line="276" w:lineRule="auto"/>
        <w:ind w:firstLine="709"/>
        <w:jc w:val="both"/>
        <w:rPr>
          <w:rFonts w:eastAsia="Calibri" w:cs="Arial"/>
          <w:b/>
          <w:u w:val="single"/>
          <w:lang w:val="uk-UA"/>
        </w:rPr>
      </w:pPr>
      <w:r>
        <w:rPr>
          <w:rFonts w:eastAsia="Calibri" w:cs="Arial"/>
          <w:b/>
          <w:u w:val="single"/>
          <w:lang w:val="uk-UA"/>
        </w:rPr>
        <w:t>Землекористування</w:t>
      </w:r>
    </w:p>
    <w:p w:rsidR="00642FB4" w:rsidRDefault="00642FB4">
      <w:pPr>
        <w:spacing w:line="276" w:lineRule="auto"/>
        <w:ind w:firstLine="709"/>
        <w:jc w:val="both"/>
        <w:rPr>
          <w:rFonts w:eastAsia="Calibri" w:cs="Arial"/>
          <w:lang w:val="uk-UA"/>
        </w:rPr>
      </w:pPr>
      <w:r>
        <w:rPr>
          <w:rFonts w:eastAsia="Calibri" w:cs="Arial"/>
          <w:lang w:val="uk-UA"/>
        </w:rPr>
        <w:t>На використання земель в районі водозбору Прут - Барлад впливають фізико-географічних умов і антропогенні фактори.</w:t>
      </w:r>
    </w:p>
    <w:p w:rsidR="00642FB4" w:rsidRDefault="00642FB4">
      <w:pPr>
        <w:spacing w:line="276" w:lineRule="auto"/>
        <w:ind w:firstLine="709"/>
        <w:jc w:val="both"/>
        <w:rPr>
          <w:rFonts w:eastAsia="Calibri" w:cs="Arial"/>
          <w:lang w:val="uk-UA"/>
        </w:rPr>
      </w:pPr>
      <w:r>
        <w:rPr>
          <w:rFonts w:eastAsia="Calibri" w:cs="Arial"/>
          <w:lang w:val="uk-UA"/>
        </w:rPr>
        <w:t>Орні землі переважають і в басейні річці Прут (54,7%) і в басейні річці Барлад (46%).</w:t>
      </w:r>
    </w:p>
    <w:p w:rsidR="00642FB4" w:rsidRDefault="00642FB4">
      <w:pPr>
        <w:spacing w:line="276" w:lineRule="auto"/>
        <w:ind w:firstLine="709"/>
        <w:jc w:val="both"/>
        <w:rPr>
          <w:rFonts w:eastAsia="Calibri" w:cs="Arial"/>
          <w:lang w:val="uk-UA"/>
        </w:rPr>
      </w:pPr>
      <w:r>
        <w:rPr>
          <w:rFonts w:eastAsia="Calibri" w:cs="Arial"/>
          <w:lang w:val="uk-UA"/>
        </w:rPr>
        <w:t>Ліси займають 21,4% в басейні річці Прут, і 27% в басейні річці Барлад зустрічаються особливо в районах зіткнення з високим рельєфом. Багаторічні культури мають відносно рівномірний розвиток і займають 13,3% в басейні річці Прут і 16,1% в басейні річці Барлад. Інші області займають набагато меншу площу. Озера займають 1,19% в басейні річці Прут і 0,26 в басейні річці Барлад.</w:t>
      </w:r>
    </w:p>
    <w:p w:rsidR="00642FB4" w:rsidRDefault="00642FB4">
      <w:pPr>
        <w:spacing w:line="276" w:lineRule="auto"/>
        <w:ind w:firstLine="709"/>
        <w:jc w:val="both"/>
        <w:rPr>
          <w:rFonts w:eastAsia="Calibri" w:cs="Arial"/>
          <w:b/>
          <w:u w:val="single"/>
          <w:lang w:val="uk-UA"/>
        </w:rPr>
      </w:pPr>
      <w:r>
        <w:rPr>
          <w:rFonts w:eastAsia="Calibri" w:cs="Arial"/>
          <w:b/>
          <w:u w:val="single"/>
          <w:lang w:val="uk-UA"/>
        </w:rPr>
        <w:t>Водні ресурси</w:t>
      </w:r>
    </w:p>
    <w:p w:rsidR="00642FB4" w:rsidRDefault="00642FB4">
      <w:pPr>
        <w:spacing w:line="276" w:lineRule="auto"/>
        <w:ind w:firstLine="709"/>
        <w:jc w:val="both"/>
        <w:rPr>
          <w:rFonts w:eastAsia="Calibri" w:cs="Arial"/>
          <w:lang w:val="uk-UA"/>
        </w:rPr>
      </w:pPr>
      <w:r>
        <w:rPr>
          <w:rFonts w:eastAsia="Calibri" w:cs="Arial"/>
          <w:lang w:val="uk-UA"/>
        </w:rPr>
        <w:t>Поверхневі водні ресурси басейну Прут - Барлад нараховують близько 3661 млн. м</w:t>
      </w:r>
      <w:r>
        <w:rPr>
          <w:rFonts w:eastAsia="Calibri" w:cs="Arial"/>
          <w:vertAlign w:val="superscript"/>
          <w:lang w:val="uk-UA"/>
        </w:rPr>
        <w:t>3</w:t>
      </w:r>
      <w:r>
        <w:rPr>
          <w:rFonts w:eastAsia="Calibri" w:cs="Arial"/>
          <w:lang w:val="uk-UA"/>
        </w:rPr>
        <w:t>/рік, з яких близько 960 млн. м</w:t>
      </w:r>
      <w:r>
        <w:rPr>
          <w:rFonts w:eastAsia="Calibri" w:cs="Arial"/>
          <w:vertAlign w:val="superscript"/>
          <w:lang w:val="uk-UA"/>
        </w:rPr>
        <w:t>3</w:t>
      </w:r>
      <w:r>
        <w:rPr>
          <w:rFonts w:eastAsia="Calibri" w:cs="Arial"/>
          <w:lang w:val="uk-UA"/>
        </w:rPr>
        <w:t>/рік. можуть використовуватися.  Головний водний запас в 3661 млн. м</w:t>
      </w:r>
      <w:r>
        <w:rPr>
          <w:rFonts w:eastAsia="Calibri" w:cs="Arial"/>
          <w:vertAlign w:val="superscript"/>
          <w:lang w:val="uk-UA"/>
        </w:rPr>
        <w:t>3</w:t>
      </w:r>
      <w:r>
        <w:rPr>
          <w:rFonts w:eastAsia="Calibri" w:cs="Arial"/>
          <w:lang w:val="uk-UA"/>
        </w:rPr>
        <w:t>/рік становить близько 94% від загального обсягу ресурсів і складається в основному з річок Прут, Барлад та їхніх приток. Водні ресурси природних озер дуже низькі.</w:t>
      </w:r>
    </w:p>
    <w:p w:rsidR="002C0454" w:rsidRPr="002C0454" w:rsidRDefault="002C0454" w:rsidP="002C0454">
      <w:pPr>
        <w:spacing w:line="276" w:lineRule="auto"/>
        <w:ind w:firstLine="709"/>
        <w:jc w:val="both"/>
        <w:rPr>
          <w:rFonts w:eastAsia="Calibri" w:cs="Arial"/>
          <w:lang w:val="uk-UA"/>
        </w:rPr>
      </w:pPr>
      <w:r w:rsidRPr="002C0454">
        <w:rPr>
          <w:rFonts w:eastAsia="Calibri" w:cs="Arial"/>
          <w:lang w:val="uk-UA"/>
        </w:rPr>
        <w:t>В гідрографічному середовищі Прут-Бирлад існує 72 важливі водоймища (із площею більше 0,5 км2), з яких 49 мають комплексне використання, із корисним обсягом 614,85 млн. м3.</w:t>
      </w:r>
    </w:p>
    <w:p w:rsidR="002C0454" w:rsidRPr="002C0454" w:rsidRDefault="002C0454" w:rsidP="002C0454">
      <w:pPr>
        <w:spacing w:line="276" w:lineRule="auto"/>
        <w:ind w:firstLine="709"/>
        <w:jc w:val="both"/>
        <w:rPr>
          <w:rFonts w:eastAsia="Calibri" w:cs="Arial"/>
          <w:lang w:val="uk-UA"/>
        </w:rPr>
      </w:pPr>
      <w:r w:rsidRPr="002C0454">
        <w:rPr>
          <w:rFonts w:eastAsia="Calibri" w:cs="Arial"/>
          <w:lang w:val="uk-UA"/>
        </w:rPr>
        <w:t>У співвідношенні до кількості населення басейну, специфічний питомий використовуваний ресурс дорівнює 437,16 м3/чол./рік, а специфічний ресурс розрахований до теоретичного запасу (середньорічний) дорівнює 1667,12 м3/чол./рік. Водні ресурси в гідрографічному середовищі Прут-Бирлад є недостатніми і нерівномірно розподілені у просторі й часі.</w:t>
      </w:r>
    </w:p>
    <w:p w:rsidR="002C0454" w:rsidRPr="002C0454" w:rsidRDefault="002C0454" w:rsidP="002C0454">
      <w:pPr>
        <w:spacing w:line="276" w:lineRule="auto"/>
        <w:ind w:firstLine="709"/>
        <w:jc w:val="both"/>
        <w:rPr>
          <w:rFonts w:eastAsia="Calibri" w:cs="Arial"/>
          <w:lang w:val="uk-UA"/>
        </w:rPr>
      </w:pPr>
      <w:r w:rsidRPr="002C0454">
        <w:rPr>
          <w:rFonts w:eastAsia="Calibri" w:cs="Arial"/>
          <w:lang w:val="uk-UA"/>
        </w:rPr>
        <w:t>Середньорічні величини рівня води для основних річок гідрографічного середовища становлять: р. Прут 105 куб. м/с (3.314 млн. куб. м/рік) при злитті з Дунаєм, р. Жіжія — 10 куб. м/с (316 млн. куб. м/рік), р. Бирлад — 11 куб. м/с (347 млн. куб. м/рік) при злитті із Сіретом, р. Васлуй — 1 куб. м/с ( 31,56 млн. куб. м/рік), р. Тутова — 1 куб. м/с ( 31,56 млн. куб. м/рік).</w:t>
      </w:r>
    </w:p>
    <w:p w:rsidR="002C0454" w:rsidRPr="002C0454" w:rsidRDefault="002C0454" w:rsidP="002C0454">
      <w:pPr>
        <w:spacing w:line="276" w:lineRule="auto"/>
        <w:ind w:firstLine="709"/>
        <w:jc w:val="both"/>
        <w:rPr>
          <w:rFonts w:eastAsia="Calibri" w:cs="Arial"/>
          <w:lang w:val="uk-UA"/>
        </w:rPr>
      </w:pPr>
      <w:r w:rsidRPr="002C0454">
        <w:rPr>
          <w:rFonts w:eastAsia="Calibri" w:cs="Arial"/>
          <w:lang w:val="uk-UA"/>
        </w:rPr>
        <w:t>Із загальної довжини течій річок в  гідрографічному середовищі Прут-Бирлад, непостійні течій становлять біля 80%.</w:t>
      </w:r>
    </w:p>
    <w:p w:rsidR="002C0454" w:rsidRDefault="002C0454" w:rsidP="002C0454">
      <w:pPr>
        <w:spacing w:line="276" w:lineRule="auto"/>
        <w:ind w:firstLine="709"/>
        <w:jc w:val="both"/>
        <w:rPr>
          <w:rFonts w:eastAsia="Calibri" w:cs="Arial"/>
          <w:lang w:val="uk-UA"/>
        </w:rPr>
      </w:pPr>
      <w:r w:rsidRPr="002C0454">
        <w:rPr>
          <w:rFonts w:eastAsia="Calibri" w:cs="Arial"/>
          <w:lang w:val="uk-UA"/>
        </w:rPr>
        <w:t>В Гідрографічному середовищі Прут-Бирлад оцінений обсяг підземних вод дорівнює 251,4 млн. м3 (7,97 м3/с), з яких 34,7 млн. м3 (1,1 м3/с) походять з підземних джерел, а 216,7 млн. м3 (6,87 млн. м3) – з глибинних.</w:t>
      </w:r>
    </w:p>
    <w:p w:rsidR="00642FB4" w:rsidRDefault="00642FB4">
      <w:pPr>
        <w:spacing w:line="276" w:lineRule="auto"/>
        <w:ind w:firstLine="709"/>
        <w:jc w:val="both"/>
        <w:rPr>
          <w:rFonts w:eastAsia="Calibri" w:cs="Arial"/>
          <w:b/>
          <w:u w:val="single"/>
          <w:lang w:val="uk-UA"/>
        </w:rPr>
      </w:pPr>
      <w:r>
        <w:rPr>
          <w:rFonts w:eastAsia="Calibri" w:cs="Arial"/>
          <w:b/>
          <w:u w:val="single"/>
          <w:lang w:val="uk-UA"/>
        </w:rPr>
        <w:t xml:space="preserve">Категорії </w:t>
      </w:r>
      <w:r>
        <w:rPr>
          <w:rStyle w:val="Emphasis"/>
          <w:rFonts w:cs="Arial"/>
          <w:b/>
          <w:bCs/>
          <w:i w:val="0"/>
          <w:iCs w:val="0"/>
          <w:u w:val="single"/>
          <w:shd w:val="clear" w:color="auto" w:fill="FFFFFF"/>
          <w:lang w:val="uk-UA"/>
        </w:rPr>
        <w:t>поверхневих вод</w:t>
      </w:r>
      <w:r>
        <w:rPr>
          <w:rFonts w:eastAsia="Calibri" w:cs="Arial"/>
          <w:b/>
          <w:u w:val="single"/>
          <w:lang w:val="uk-UA"/>
        </w:rPr>
        <w:t xml:space="preserve"> </w:t>
      </w:r>
    </w:p>
    <w:p w:rsidR="00642FB4" w:rsidRDefault="00642FB4">
      <w:pPr>
        <w:spacing w:line="276" w:lineRule="auto"/>
        <w:ind w:firstLine="709"/>
        <w:jc w:val="both"/>
        <w:rPr>
          <w:rFonts w:eastAsia="Calibri" w:cs="Arial"/>
          <w:lang w:val="uk-UA"/>
        </w:rPr>
      </w:pPr>
      <w:r>
        <w:rPr>
          <w:rFonts w:eastAsia="Calibri" w:cs="Arial"/>
          <w:lang w:val="uk-UA"/>
        </w:rPr>
        <w:t>У гідрологічній мережі  річки Прут - Барлад визначені 417 річок з площами понад 10 км</w:t>
      </w:r>
      <w:r>
        <w:rPr>
          <w:rFonts w:eastAsia="Calibri" w:cs="Arial"/>
          <w:vertAlign w:val="superscript"/>
          <w:lang w:val="uk-UA"/>
        </w:rPr>
        <w:t>2</w:t>
      </w:r>
      <w:r>
        <w:rPr>
          <w:rFonts w:eastAsia="Calibri" w:cs="Arial"/>
          <w:lang w:val="uk-UA"/>
        </w:rPr>
        <w:t xml:space="preserve"> і 75 озер (водойми та одне природне озера) з площею понад 50 га.</w:t>
      </w:r>
    </w:p>
    <w:p w:rsidR="00642FB4" w:rsidRDefault="00642FB4">
      <w:pPr>
        <w:spacing w:line="276" w:lineRule="auto"/>
        <w:ind w:firstLine="709"/>
        <w:jc w:val="both"/>
        <w:rPr>
          <w:rFonts w:eastAsia="Calibri" w:cs="Arial"/>
          <w:b/>
          <w:u w:val="single"/>
          <w:lang w:val="uk-UA"/>
        </w:rPr>
      </w:pPr>
      <w:r>
        <w:rPr>
          <w:rFonts w:eastAsia="Calibri" w:cs="Arial"/>
          <w:b/>
          <w:u w:val="single"/>
          <w:lang w:val="uk-UA"/>
        </w:rPr>
        <w:t>Річки</w:t>
      </w:r>
    </w:p>
    <w:p w:rsidR="00642FB4" w:rsidRDefault="00642FB4">
      <w:pPr>
        <w:spacing w:line="276" w:lineRule="auto"/>
        <w:ind w:firstLine="709"/>
        <w:jc w:val="both"/>
        <w:rPr>
          <w:rFonts w:eastAsia="Calibri" w:cs="Arial"/>
          <w:lang w:val="uk-UA"/>
        </w:rPr>
      </w:pPr>
      <w:r>
        <w:rPr>
          <w:rFonts w:eastAsia="Calibri" w:cs="Arial"/>
          <w:b/>
          <w:i/>
          <w:lang w:val="uk-UA"/>
        </w:rPr>
        <w:t>Прут</w:t>
      </w:r>
      <w:r>
        <w:rPr>
          <w:rFonts w:eastAsia="Calibri" w:cs="Arial"/>
          <w:lang w:val="uk-UA"/>
        </w:rPr>
        <w:t xml:space="preserve"> - остання притока І-ступеню Дунаю зливається на 150 км вгору за течією від гирла річки в Чорне море.</w:t>
      </w:r>
    </w:p>
    <w:p w:rsidR="00642FB4" w:rsidRDefault="00642FB4">
      <w:pPr>
        <w:spacing w:line="276" w:lineRule="auto"/>
        <w:ind w:firstLine="709"/>
        <w:jc w:val="both"/>
        <w:rPr>
          <w:rFonts w:eastAsia="Calibri" w:cs="Arial"/>
          <w:lang w:val="uk-UA"/>
        </w:rPr>
      </w:pPr>
      <w:r>
        <w:rPr>
          <w:rFonts w:eastAsia="Calibri" w:cs="Arial"/>
          <w:b/>
          <w:lang w:val="uk-UA"/>
        </w:rPr>
        <w:t>Річка Прут</w:t>
      </w:r>
      <w:r>
        <w:rPr>
          <w:rFonts w:eastAsia="Calibri" w:cs="Arial"/>
          <w:lang w:val="uk-UA"/>
        </w:rPr>
        <w:t xml:space="preserve"> </w:t>
      </w:r>
      <w:r>
        <w:rPr>
          <w:rFonts w:cs="Arial"/>
          <w:color w:val="252525"/>
          <w:shd w:val="clear" w:color="auto" w:fill="FFFFFF"/>
          <w:lang w:val="uk-UA"/>
        </w:rPr>
        <w:t>бере початок з джерела на схилі Говерли</w:t>
      </w:r>
      <w:r>
        <w:rPr>
          <w:rFonts w:eastAsia="Calibri" w:cs="Arial"/>
          <w:lang w:val="uk-UA"/>
        </w:rPr>
        <w:t xml:space="preserve"> в Карпатах України з висоти 1580 м і впадає в Дунай на висоті 2 м.</w:t>
      </w:r>
    </w:p>
    <w:p w:rsidR="00642FB4" w:rsidRDefault="00642FB4">
      <w:pPr>
        <w:spacing w:line="276" w:lineRule="auto"/>
        <w:ind w:firstLine="709"/>
        <w:jc w:val="both"/>
        <w:rPr>
          <w:rFonts w:eastAsia="Calibri" w:cs="Arial"/>
          <w:lang w:val="uk-UA"/>
        </w:rPr>
      </w:pPr>
      <w:r>
        <w:rPr>
          <w:rFonts w:eastAsia="Calibri" w:cs="Arial"/>
          <w:lang w:val="uk-UA"/>
        </w:rPr>
        <w:t xml:space="preserve">До входу в Румунію в Орофтіані, Прут має довжину близько 211 км, похил річки 6,4 ‰, </w:t>
      </w:r>
      <w:r>
        <w:rPr>
          <w:rStyle w:val="Emphasis"/>
          <w:rFonts w:cs="Arial"/>
          <w:bCs/>
          <w:i w:val="0"/>
          <w:iCs w:val="0"/>
          <w:shd w:val="clear" w:color="auto" w:fill="FFFFFF"/>
          <w:lang w:val="uk-UA"/>
        </w:rPr>
        <w:t>коефіцієнт звивистост</w:t>
      </w:r>
      <w:r>
        <w:rPr>
          <w:rFonts w:eastAsia="Calibri" w:cs="Arial"/>
          <w:lang w:val="uk-UA"/>
        </w:rPr>
        <w:t>і -1,18, площа  басейну 8241 км</w:t>
      </w:r>
      <w:r>
        <w:rPr>
          <w:rFonts w:eastAsia="Calibri" w:cs="Arial"/>
          <w:vertAlign w:val="superscript"/>
          <w:lang w:val="uk-UA"/>
        </w:rPr>
        <w:t>2</w:t>
      </w:r>
      <w:r>
        <w:rPr>
          <w:rFonts w:eastAsia="Calibri" w:cs="Arial"/>
          <w:lang w:val="uk-UA"/>
        </w:rPr>
        <w:t>.</w:t>
      </w:r>
    </w:p>
    <w:p w:rsidR="00642FB4" w:rsidRDefault="00642FB4">
      <w:pPr>
        <w:spacing w:line="276" w:lineRule="auto"/>
        <w:ind w:firstLine="709"/>
        <w:jc w:val="both"/>
        <w:rPr>
          <w:rFonts w:eastAsia="Calibri" w:cs="Arial"/>
          <w:lang w:val="uk-UA"/>
        </w:rPr>
      </w:pPr>
      <w:r>
        <w:rPr>
          <w:rFonts w:eastAsia="Calibri" w:cs="Arial"/>
          <w:b/>
          <w:u w:val="single"/>
          <w:lang w:val="uk-UA"/>
        </w:rPr>
        <w:t>Природні озера</w:t>
      </w:r>
    </w:p>
    <w:p w:rsidR="00642FB4" w:rsidRDefault="00642FB4">
      <w:pPr>
        <w:spacing w:line="276" w:lineRule="auto"/>
        <w:ind w:firstLine="709"/>
        <w:jc w:val="both"/>
        <w:rPr>
          <w:rFonts w:eastAsia="Calibri" w:cs="Arial"/>
          <w:lang w:val="uk-UA"/>
        </w:rPr>
      </w:pPr>
      <w:r>
        <w:rPr>
          <w:rFonts w:eastAsia="Calibri" w:cs="Arial"/>
          <w:lang w:val="uk-UA"/>
        </w:rPr>
        <w:t>Обсяг природних озер не є важливим в басейні річці Прут-Барлад. По всьому регіоні існують 7 озер, з яких 6 знаходяться в Галац (Нижній Прут). Тільки озеро Покина перевищує 50 га.</w:t>
      </w:r>
    </w:p>
    <w:p w:rsidR="002C0454" w:rsidRPr="002C0454" w:rsidRDefault="002C0454" w:rsidP="002C0454">
      <w:pPr>
        <w:spacing w:line="276" w:lineRule="auto"/>
        <w:ind w:firstLine="709"/>
        <w:jc w:val="both"/>
        <w:rPr>
          <w:rFonts w:eastAsia="Calibri" w:cs="Arial"/>
          <w:lang w:val="en-US"/>
        </w:rPr>
      </w:pPr>
      <w:r w:rsidRPr="002C0454">
        <w:rPr>
          <w:rFonts w:eastAsia="Calibri" w:cs="Arial"/>
          <w:lang w:val="en-US"/>
        </w:rPr>
        <w:t xml:space="preserve">Характеристика еколого-хімічного стану вод басейну Прут-Барлад </w:t>
      </w:r>
    </w:p>
    <w:p w:rsidR="002C0454" w:rsidRPr="002C0454" w:rsidRDefault="002C0454" w:rsidP="002C0454">
      <w:pPr>
        <w:spacing w:line="276" w:lineRule="auto"/>
        <w:ind w:firstLine="709"/>
        <w:jc w:val="both"/>
        <w:rPr>
          <w:rFonts w:eastAsia="Calibri" w:cs="Arial"/>
          <w:lang w:val="en-US"/>
        </w:rPr>
      </w:pPr>
      <w:r w:rsidRPr="002C0454">
        <w:rPr>
          <w:rFonts w:eastAsia="Calibri" w:cs="Arial"/>
          <w:lang w:val="en-US"/>
        </w:rPr>
        <w:t xml:space="preserve">Річки </w:t>
      </w:r>
    </w:p>
    <w:p w:rsidR="002C0454" w:rsidRPr="002C0454" w:rsidRDefault="002C0454" w:rsidP="002C0454">
      <w:pPr>
        <w:spacing w:line="276" w:lineRule="auto"/>
        <w:ind w:firstLine="709"/>
        <w:jc w:val="both"/>
        <w:rPr>
          <w:rFonts w:eastAsia="Calibri" w:cs="Arial"/>
          <w:lang w:val="en-US"/>
        </w:rPr>
      </w:pPr>
      <w:r w:rsidRPr="002C0454">
        <w:rPr>
          <w:rFonts w:eastAsia="Calibri" w:cs="Arial"/>
          <w:lang w:val="en-US"/>
        </w:rPr>
        <w:t>На рівні  гідрографічного середовища Прут-Бирлад були проаналізовані і охарактеризовані з точки зору екологічного стану/потенціалу 322 водні об'єкти (228 природні і 94 сильно змінені/штучні), з яких: 75 водних об'єктів (32,89) знаходяться в доброму  екологічному стані, 16 об'єктів (17,02%) мають добрий екологічний потенціал; інші 231 водні об'єкти мають екологічний стан/потенціал нижчий задовільного.</w:t>
      </w:r>
    </w:p>
    <w:p w:rsidR="002C0454" w:rsidRPr="002C0454" w:rsidRDefault="002C0454" w:rsidP="002C0454">
      <w:pPr>
        <w:spacing w:line="276" w:lineRule="auto"/>
        <w:ind w:firstLine="709"/>
        <w:jc w:val="both"/>
        <w:rPr>
          <w:rFonts w:eastAsia="Calibri" w:cs="Arial"/>
          <w:lang w:val="en-US"/>
        </w:rPr>
      </w:pPr>
      <w:r w:rsidRPr="002C0454">
        <w:rPr>
          <w:rFonts w:eastAsia="Calibri" w:cs="Arial"/>
          <w:lang w:val="en-US"/>
        </w:rPr>
        <w:t>По категоріям водних об'єктів оцінка екологічного стану і екологічного потенціалу є наступною:</w:t>
      </w:r>
    </w:p>
    <w:p w:rsidR="002C0454" w:rsidRPr="002C0454" w:rsidRDefault="002C0454" w:rsidP="002C0454">
      <w:pPr>
        <w:spacing w:line="276" w:lineRule="auto"/>
        <w:ind w:firstLine="709"/>
        <w:jc w:val="both"/>
        <w:rPr>
          <w:rFonts w:eastAsia="Calibri" w:cs="Arial"/>
          <w:lang w:val="en-US"/>
        </w:rPr>
      </w:pPr>
      <w:r w:rsidRPr="002C0454">
        <w:rPr>
          <w:rFonts w:eastAsia="Calibri" w:cs="Arial"/>
          <w:lang w:val="en-US"/>
        </w:rPr>
        <w:t></w:t>
      </w:r>
      <w:r w:rsidRPr="002C0454">
        <w:rPr>
          <w:rFonts w:eastAsia="Calibri" w:cs="Arial"/>
          <w:lang w:val="en-US"/>
        </w:rPr>
        <w:tab/>
        <w:t>228 водні об'єкти, з яких 75 (32,89%) мають добрий екологічний потенціал, 153 (67,1%) — помірний екологічний потенціал;</w:t>
      </w:r>
    </w:p>
    <w:p w:rsidR="002C0454" w:rsidRPr="002C0454" w:rsidRDefault="002C0454" w:rsidP="002C0454">
      <w:pPr>
        <w:spacing w:line="276" w:lineRule="auto"/>
        <w:ind w:firstLine="709"/>
        <w:jc w:val="both"/>
        <w:rPr>
          <w:rFonts w:eastAsia="Calibri" w:cs="Arial"/>
          <w:lang w:val="en-US"/>
        </w:rPr>
      </w:pPr>
      <w:r w:rsidRPr="002C0454">
        <w:rPr>
          <w:rFonts w:eastAsia="Calibri" w:cs="Arial"/>
          <w:lang w:val="en-US"/>
        </w:rPr>
        <w:t></w:t>
      </w:r>
      <w:r w:rsidRPr="002C0454">
        <w:rPr>
          <w:rFonts w:eastAsia="Calibri" w:cs="Arial"/>
          <w:lang w:val="en-US"/>
        </w:rPr>
        <w:tab/>
        <w:t>91 сильно змінений водний об'єкт, з яких 17 (18,68%) мають добрий екологічний потенціал, 51 (56,04%) - помірний, і 23 (25,27%) - не відіграють ніякої ролі;</w:t>
      </w:r>
    </w:p>
    <w:p w:rsidR="002C0454" w:rsidRPr="002C0454" w:rsidRDefault="002C0454" w:rsidP="002C0454">
      <w:pPr>
        <w:spacing w:line="276" w:lineRule="auto"/>
        <w:ind w:firstLine="709"/>
        <w:jc w:val="both"/>
        <w:rPr>
          <w:rFonts w:eastAsia="Calibri" w:cs="Arial"/>
          <w:lang w:val="en-US"/>
        </w:rPr>
      </w:pPr>
      <w:r w:rsidRPr="002C0454">
        <w:rPr>
          <w:rFonts w:eastAsia="Calibri" w:cs="Arial"/>
          <w:lang w:val="en-US"/>
        </w:rPr>
        <w:t></w:t>
      </w:r>
      <w:r w:rsidRPr="002C0454">
        <w:rPr>
          <w:rFonts w:eastAsia="Calibri" w:cs="Arial"/>
          <w:lang w:val="en-US"/>
        </w:rPr>
        <w:tab/>
        <w:t>3 (100%) штучних водних об'єктів мають помірний екологічний потенціал.</w:t>
      </w:r>
    </w:p>
    <w:p w:rsidR="002C0454" w:rsidRPr="002C0454" w:rsidRDefault="002C0454" w:rsidP="002C0454">
      <w:pPr>
        <w:spacing w:line="276" w:lineRule="auto"/>
        <w:ind w:firstLine="709"/>
        <w:jc w:val="both"/>
        <w:rPr>
          <w:rFonts w:eastAsia="Calibri" w:cs="Arial"/>
          <w:lang w:val="en-US"/>
        </w:rPr>
      </w:pPr>
    </w:p>
    <w:p w:rsidR="002C0454" w:rsidRDefault="002C0454" w:rsidP="002C0454">
      <w:pPr>
        <w:spacing w:line="276" w:lineRule="auto"/>
        <w:ind w:firstLine="709"/>
        <w:jc w:val="both"/>
        <w:rPr>
          <w:rFonts w:eastAsia="Calibri" w:cs="Arial"/>
          <w:lang w:val="en-US"/>
        </w:rPr>
      </w:pPr>
      <w:r w:rsidRPr="002C0454">
        <w:rPr>
          <w:rFonts w:eastAsia="Calibri" w:cs="Arial"/>
          <w:lang w:val="en-US"/>
        </w:rPr>
        <w:tab/>
        <w:t>Гідрографічне середовище Сірет знаходиться на сході і північному сході країни, розділене р. Сірет і межує на заході із басейном Сомеш — Тиса, Муреш і Олт, на півдні межує із басейном Яломиця - Бузеу, а на сході із басейном Прута (мал. 4.3).</w:t>
      </w:r>
    </w:p>
    <w:p w:rsidR="00642FB4" w:rsidRDefault="00642FB4">
      <w:pPr>
        <w:spacing w:line="276" w:lineRule="auto"/>
        <w:ind w:firstLine="709"/>
        <w:jc w:val="both"/>
        <w:rPr>
          <w:rFonts w:eastAsia="Calibri" w:cs="Arial"/>
          <w:lang w:val="uk-UA"/>
        </w:rPr>
      </w:pPr>
    </w:p>
    <w:p w:rsidR="00642FB4" w:rsidRDefault="00642FB4">
      <w:pPr>
        <w:spacing w:line="276" w:lineRule="auto"/>
        <w:ind w:firstLine="709"/>
        <w:jc w:val="both"/>
        <w:rPr>
          <w:rFonts w:eastAsia="Calibri" w:cs="Arial"/>
          <w:lang w:val="uk-UA"/>
        </w:rPr>
      </w:pPr>
      <w:r>
        <w:rPr>
          <w:rFonts w:eastAsia="Calibri" w:cs="Arial"/>
          <w:b/>
          <w:lang w:val="uk-UA"/>
        </w:rPr>
        <w:t>Площа басейну річки Сірет</w:t>
      </w:r>
      <w:r>
        <w:rPr>
          <w:rFonts w:eastAsia="Calibri" w:cs="Arial"/>
          <w:lang w:val="uk-UA"/>
        </w:rPr>
        <w:t xml:space="preserve"> межує на заході з басейнами Сомеш - Тиса, Муреш і Олт, на півдні з басейном Яломіца - Бузеу і на сході з басейном Прут. З адміністративної точки зору, басейн річки Сірет майже повністю знаходиться на території повітів Сучава, Нямц, Бакеу і Вранча і частково в Ботошань, Ясси, Галац, Бузеу, Ковасна, Харгіта, Бистриця Несеуд, Марамуреш.</w:t>
      </w:r>
    </w:p>
    <w:p w:rsidR="00642FB4" w:rsidRDefault="00642FB4">
      <w:pPr>
        <w:spacing w:line="276" w:lineRule="auto"/>
        <w:ind w:firstLine="709"/>
        <w:jc w:val="both"/>
        <w:rPr>
          <w:rFonts w:eastAsia="Calibri" w:cs="Arial"/>
          <w:lang w:val="uk-UA"/>
        </w:rPr>
      </w:pPr>
    </w:p>
    <w:p w:rsidR="00642FB4" w:rsidRDefault="00642FB4">
      <w:pPr>
        <w:spacing w:line="276" w:lineRule="auto"/>
        <w:ind w:firstLine="709"/>
        <w:jc w:val="both"/>
        <w:rPr>
          <w:rFonts w:eastAsia="Calibri" w:cs="Arial"/>
          <w:b/>
          <w:u w:val="single"/>
          <w:lang w:val="uk-UA"/>
        </w:rPr>
      </w:pPr>
      <w:r>
        <w:rPr>
          <w:rFonts w:eastAsia="Calibri" w:cs="Arial"/>
          <w:b/>
          <w:u w:val="single"/>
          <w:lang w:val="uk-UA"/>
        </w:rPr>
        <w:t>Гідрографія</w:t>
      </w:r>
    </w:p>
    <w:p w:rsidR="002C0454" w:rsidRPr="002C0454" w:rsidRDefault="002C0454">
      <w:pPr>
        <w:spacing w:line="276" w:lineRule="auto"/>
        <w:ind w:firstLine="709"/>
        <w:jc w:val="both"/>
        <w:rPr>
          <w:rFonts w:eastAsia="Calibri" w:cs="Arial"/>
          <w:lang w:val="uk-UA"/>
        </w:rPr>
      </w:pPr>
      <w:r w:rsidRPr="002C0454">
        <w:rPr>
          <w:rFonts w:eastAsia="Calibri" w:cs="Arial"/>
          <w:lang w:val="uk-UA"/>
        </w:rPr>
        <w:t>Загальна площа гідрографічного середовища Сірет в Румунії дорівнює 28.116 км2,  що складає 11,8% площі держави. Гідрографічна мережа охоплює 735 водних течій, із загальною довжиною 10.280 км і середньою густиною 0,36 км/км2. На території Румунії гідрографічне середовище Сірет охоплює 735 водних течій.</w:t>
      </w:r>
    </w:p>
    <w:p w:rsidR="00642FB4" w:rsidRDefault="00642FB4">
      <w:pPr>
        <w:rPr>
          <w:lang w:val="uk-UA"/>
        </w:rPr>
      </w:pPr>
    </w:p>
    <w:p w:rsidR="00642FB4" w:rsidRDefault="001C33BE">
      <w:pPr>
        <w:spacing w:line="276" w:lineRule="auto"/>
        <w:jc w:val="center"/>
        <w:rPr>
          <w:rFonts w:eastAsia="Calibri" w:cs="Arial"/>
        </w:rPr>
      </w:pPr>
      <w:r>
        <w:rPr>
          <w:rFonts w:eastAsia="Calibri" w:cs="Arial"/>
          <w:noProof/>
          <w:lang w:val="en-US" w:eastAsia="en-US"/>
        </w:rPr>
        <w:drawing>
          <wp:inline distT="0" distB="0" distL="0" distR="0" wp14:anchorId="7CB0EDCF" wp14:editId="2AA028F8">
            <wp:extent cx="3983355" cy="5351145"/>
            <wp:effectExtent l="19050" t="0" r="0" b="0"/>
            <wp:docPr id="7" name="Рисунок 7" descr="Si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iret"/>
                    <pic:cNvPicPr>
                      <a:picLocks noChangeAspect="1" noChangeArrowheads="1"/>
                    </pic:cNvPicPr>
                  </pic:nvPicPr>
                  <pic:blipFill>
                    <a:blip r:embed="rId16" cstate="print"/>
                    <a:srcRect/>
                    <a:stretch>
                      <a:fillRect/>
                    </a:stretch>
                  </pic:blipFill>
                  <pic:spPr bwMode="auto">
                    <a:xfrm>
                      <a:off x="0" y="0"/>
                      <a:ext cx="3983355" cy="5351145"/>
                    </a:xfrm>
                    <a:prstGeom prst="rect">
                      <a:avLst/>
                    </a:prstGeom>
                    <a:noFill/>
                    <a:ln w="9525">
                      <a:noFill/>
                      <a:miter lim="800000"/>
                      <a:headEnd/>
                      <a:tailEnd/>
                    </a:ln>
                  </pic:spPr>
                </pic:pic>
              </a:graphicData>
            </a:graphic>
          </wp:inline>
        </w:drawing>
      </w:r>
    </w:p>
    <w:p w:rsidR="00642FB4" w:rsidRDefault="00642FB4">
      <w:pPr>
        <w:spacing w:line="276" w:lineRule="auto"/>
        <w:jc w:val="center"/>
        <w:rPr>
          <w:rFonts w:eastAsia="Calibri" w:cs="Arial"/>
          <w:sz w:val="22"/>
          <w:szCs w:val="22"/>
        </w:rPr>
      </w:pPr>
      <w:r>
        <w:rPr>
          <w:b/>
          <w:i/>
          <w:sz w:val="22"/>
        </w:rPr>
        <w:t>Рисунок 4.3</w:t>
      </w:r>
      <w:r>
        <w:rPr>
          <w:sz w:val="22"/>
        </w:rPr>
        <w:t xml:space="preserve"> Басейн річки Сірет</w:t>
      </w:r>
    </w:p>
    <w:p w:rsidR="00642FB4" w:rsidRDefault="00642FB4">
      <w:pPr>
        <w:spacing w:line="276" w:lineRule="auto"/>
        <w:jc w:val="both"/>
        <w:rPr>
          <w:rFonts w:eastAsia="Calibri" w:cs="Arial"/>
        </w:rPr>
      </w:pPr>
    </w:p>
    <w:p w:rsidR="00642FB4" w:rsidRDefault="00642FB4">
      <w:pPr>
        <w:spacing w:line="276" w:lineRule="auto"/>
        <w:ind w:firstLine="709"/>
        <w:jc w:val="both"/>
        <w:rPr>
          <w:b/>
          <w:i/>
        </w:rPr>
      </w:pPr>
    </w:p>
    <w:p w:rsidR="002C0454" w:rsidRDefault="002C0454" w:rsidP="002C0454">
      <w:pPr>
        <w:spacing w:line="276" w:lineRule="auto"/>
        <w:ind w:firstLine="709"/>
        <w:jc w:val="both"/>
      </w:pPr>
      <w:r>
        <w:t>Характеристика еколого-хімічного стану вод басейну Сірет</w:t>
      </w:r>
    </w:p>
    <w:p w:rsidR="002C0454" w:rsidRDefault="002C0454" w:rsidP="002C0454">
      <w:pPr>
        <w:spacing w:line="276" w:lineRule="auto"/>
        <w:ind w:firstLine="709"/>
        <w:jc w:val="both"/>
      </w:pPr>
      <w:r>
        <w:t xml:space="preserve"> Річки </w:t>
      </w:r>
    </w:p>
    <w:p w:rsidR="002C0454" w:rsidRDefault="002C0454" w:rsidP="002C0454">
      <w:pPr>
        <w:spacing w:line="276" w:lineRule="auto"/>
        <w:ind w:firstLine="709"/>
        <w:jc w:val="both"/>
      </w:pPr>
      <w:r>
        <w:t>На рівні гідрографічного середовища Сірет були проаналізовані і охарактеризовані з точки зору екологічного стану/потенціалу 362 водні об'єкти (333 природні і 29 сильно змінені/штучні), з яких:</w:t>
      </w:r>
    </w:p>
    <w:p w:rsidR="002C0454" w:rsidRDefault="002C0454" w:rsidP="002C0454">
      <w:pPr>
        <w:spacing w:line="276" w:lineRule="auto"/>
        <w:ind w:firstLine="709"/>
        <w:jc w:val="both"/>
      </w:pPr>
      <w:r>
        <w:t></w:t>
      </w:r>
      <w:r>
        <w:tab/>
        <w:t>230 водних об'єктів (69,06% із загальної кількості природних водних об'єктів і 63,5% з 362 всіх водних об'єктів) знаходяться в доброму і дуже доброму екологічному стані, 17 об'єктів (58,62% сильно змінених/штучних водних об'єктів і  4,7% з 362 усіх об'єктів) мають добрий і максимальний екологічний потенціал; інші 115 водних об'єктів мають екологічний стан/потенціал нижчий задовільного;</w:t>
      </w:r>
    </w:p>
    <w:p w:rsidR="00642FB4" w:rsidRPr="002C0454" w:rsidRDefault="002C0454" w:rsidP="002C0454">
      <w:pPr>
        <w:spacing w:line="276" w:lineRule="auto"/>
        <w:ind w:firstLine="709"/>
        <w:jc w:val="both"/>
      </w:pPr>
      <w:r>
        <w:t></w:t>
      </w:r>
      <w:r>
        <w:tab/>
        <w:t>333 водні об'єкти (100% природних і 91,98% всіх водних об'єктів) мають задовільний хімічний стан, а 29 (100% сильно змінених/штучних об'єктів і 8,02% з 362 всіх водних об'єктів) мають добрий хімічний стан.</w:t>
      </w:r>
    </w:p>
    <w:p w:rsidR="00642FB4" w:rsidRDefault="00642FB4">
      <w:pPr>
        <w:spacing w:line="276" w:lineRule="auto"/>
        <w:ind w:firstLine="709"/>
        <w:jc w:val="both"/>
        <w:rPr>
          <w:b/>
          <w:i/>
        </w:rPr>
      </w:pPr>
    </w:p>
    <w:p w:rsidR="00642FB4" w:rsidRDefault="00642FB4">
      <w:pPr>
        <w:spacing w:line="276" w:lineRule="auto"/>
        <w:ind w:firstLine="709"/>
        <w:jc w:val="both"/>
        <w:rPr>
          <w:rFonts w:eastAsia="Calibri" w:cs="Arial"/>
        </w:rPr>
      </w:pPr>
      <w:r>
        <w:rPr>
          <w:b/>
          <w:i/>
        </w:rPr>
        <w:t>Басейн річки Сірет</w:t>
      </w:r>
      <w:r>
        <w:t>, який знаходиться під управлінням Сіретського Водного Управління, має площу 28 116 км</w:t>
      </w:r>
      <w:r>
        <w:rPr>
          <w:vertAlign w:val="superscript"/>
        </w:rPr>
        <w:t>2</w:t>
      </w:r>
      <w:r>
        <w:t>, що становить 11,8% території країни, а середній ухил головної річки становить 0,5 ‰.</w:t>
      </w:r>
    </w:p>
    <w:p w:rsidR="00642FB4" w:rsidRDefault="00642FB4">
      <w:pPr>
        <w:spacing w:line="276" w:lineRule="auto"/>
        <w:jc w:val="both"/>
        <w:rPr>
          <w:rFonts w:eastAsia="Calibri" w:cs="Arial"/>
        </w:rPr>
      </w:pPr>
      <w:r>
        <w:t>На території Румунії, басейн річки Сірет приймає 1013 приток, а довжина його гідрографічної мережі становить 15.157 кілометрів, які представляють собою 19,2% від загальної довжини закодованої мережі всієї країни.</w:t>
      </w:r>
    </w:p>
    <w:p w:rsidR="00642FB4" w:rsidRDefault="00642FB4">
      <w:pPr>
        <w:spacing w:line="276" w:lineRule="auto"/>
        <w:ind w:firstLine="709"/>
        <w:jc w:val="both"/>
        <w:rPr>
          <w:rFonts w:eastAsia="Calibri" w:cs="Arial"/>
        </w:rPr>
      </w:pPr>
      <w:r>
        <w:t>Під управлінням Сіретського Водного Управління знаходяться 734 закодовані водотоки з гідрографічною мережею довжиною 10280 км.</w:t>
      </w:r>
    </w:p>
    <w:p w:rsidR="00642FB4" w:rsidRDefault="00642FB4">
      <w:pPr>
        <w:spacing w:line="276" w:lineRule="auto"/>
        <w:ind w:firstLine="709"/>
        <w:jc w:val="both"/>
        <w:rPr>
          <w:rFonts w:eastAsia="Calibri" w:cs="Arial"/>
        </w:rPr>
      </w:pPr>
      <w:r>
        <w:t>Головними водотоками басейну річки Сірет є праві притоки річки Сірет, які збирають всі водотоки зі східного схилу Східних Карпат, а саме р. Сучава, Молдова, Бистриця, Тротуш, Путна, Римніку Сарат та Бузеу, басейн якої знаходиться під управлінням Водного Управління Бузеу - Яломіца.</w:t>
      </w:r>
    </w:p>
    <w:p w:rsidR="00642FB4" w:rsidRDefault="00642FB4">
      <w:pPr>
        <w:spacing w:line="276" w:lineRule="auto"/>
        <w:ind w:firstLine="709"/>
        <w:jc w:val="both"/>
        <w:rPr>
          <w:rFonts w:eastAsia="Calibri" w:cs="Arial"/>
        </w:rPr>
      </w:pPr>
      <w:r>
        <w:t>Зліва має ще одну важливу притоку, річку Бирлад, басейн якої знаходить під управлінням Прутського водного управління.</w:t>
      </w:r>
    </w:p>
    <w:p w:rsidR="00642FB4" w:rsidRDefault="00642FB4">
      <w:pPr>
        <w:spacing w:line="276" w:lineRule="auto"/>
        <w:ind w:firstLine="709"/>
        <w:jc w:val="both"/>
        <w:rPr>
          <w:rFonts w:eastAsia="Calibri" w:cs="Arial"/>
        </w:rPr>
      </w:pPr>
      <w:r>
        <w:t>Загальна довжина річки Сірет складає 647 км від джерела з-під Обчіни Лунгу до місця впадання в Дунай і після 559 км від входу в країну на північному сході міста Сірет до міста злиття з р. Дунай.</w:t>
      </w:r>
    </w:p>
    <w:p w:rsidR="00642FB4" w:rsidRDefault="00642FB4">
      <w:pPr>
        <w:spacing w:line="276" w:lineRule="auto"/>
        <w:ind w:firstLine="709"/>
        <w:jc w:val="both"/>
        <w:rPr>
          <w:rFonts w:eastAsia="Calibri" w:cs="Arial"/>
          <w:b/>
          <w:u w:val="single"/>
        </w:rPr>
      </w:pPr>
      <w:r>
        <w:rPr>
          <w:b/>
          <w:u w:val="single"/>
        </w:rPr>
        <w:t>Землекористування</w:t>
      </w:r>
    </w:p>
    <w:p w:rsidR="00642FB4" w:rsidRDefault="00642FB4">
      <w:pPr>
        <w:spacing w:line="276" w:lineRule="auto"/>
        <w:ind w:firstLine="709"/>
        <w:jc w:val="both"/>
        <w:rPr>
          <w:rFonts w:eastAsia="Calibri" w:cs="Arial"/>
        </w:rPr>
      </w:pPr>
      <w:r>
        <w:t xml:space="preserve">На спосіб землекористування у басейні річки Сірет впливають фізико-географічні умови, а також основна господарська діяльність, яка проводиться на цій земельній ділянці. </w:t>
      </w:r>
    </w:p>
    <w:p w:rsidR="00642FB4" w:rsidRDefault="00642FB4">
      <w:pPr>
        <w:spacing w:line="276" w:lineRule="auto"/>
        <w:ind w:firstLine="709"/>
        <w:jc w:val="both"/>
        <w:rPr>
          <w:rFonts w:eastAsia="Calibri" w:cs="Arial"/>
        </w:rPr>
      </w:pPr>
      <w:r>
        <w:t>Земельні ділянки покриті лісами та чагарниками переважають (58.29%), вони знаходяться на компактних та розширених площах, в районах з високим рельєфом. Багаторічні культури та різні сільськогосподарські райони (12,17%) мають відносно рівномірний розвиток по всій території басейну. Орні земельні ділянки розташовані на східній стороні басейну на плато і вздовж лугу річки Сірет лузі у розмірі 22,7%.</w:t>
      </w:r>
    </w:p>
    <w:p w:rsidR="00642FB4" w:rsidRDefault="00642FB4">
      <w:pPr>
        <w:spacing w:line="276" w:lineRule="auto"/>
        <w:ind w:firstLine="709"/>
        <w:jc w:val="both"/>
        <w:rPr>
          <w:b/>
          <w:u w:val="single"/>
        </w:rPr>
      </w:pPr>
      <w:r>
        <w:rPr>
          <w:b/>
          <w:u w:val="single"/>
        </w:rPr>
        <w:t>Водні ресурси</w:t>
      </w:r>
    </w:p>
    <w:p w:rsidR="002C0454" w:rsidRPr="002C0454" w:rsidRDefault="002C0454" w:rsidP="002C0454">
      <w:pPr>
        <w:spacing w:line="276" w:lineRule="auto"/>
        <w:ind w:firstLine="709"/>
        <w:jc w:val="both"/>
        <w:rPr>
          <w:rFonts w:eastAsia="Calibri" w:cs="Arial"/>
        </w:rPr>
      </w:pPr>
      <w:r w:rsidRPr="002C0454">
        <w:rPr>
          <w:rFonts w:eastAsia="Calibri" w:cs="Arial"/>
        </w:rPr>
        <w:t>Загальні поверхневі водні ресурси в гідрографічному середовищі Сірету  дорівнюють біля 6.868 млн.м3/рік, з яких використовувані — біля 2.655 млн.м3/рік (біля 38,6% всіх ресурсів становлять р. Сірет, Молдова, Бістріца, Тротуш та їхні притоки).</w:t>
      </w:r>
    </w:p>
    <w:p w:rsidR="002C0454" w:rsidRPr="002C0454" w:rsidRDefault="002C0454" w:rsidP="002C0454">
      <w:pPr>
        <w:spacing w:line="276" w:lineRule="auto"/>
        <w:ind w:firstLine="709"/>
        <w:jc w:val="both"/>
        <w:rPr>
          <w:rFonts w:eastAsia="Calibri" w:cs="Arial"/>
        </w:rPr>
      </w:pPr>
      <w:r w:rsidRPr="002C0454">
        <w:rPr>
          <w:rFonts w:eastAsia="Calibri" w:cs="Arial"/>
        </w:rPr>
        <w:t>В гідрографічному середовищі Сірету існує 21 важливих водоймищ (із площею більше 0,5 км2), із комплексним використанням, із корисним обсягом 1.206,121 млн. м3.</w:t>
      </w:r>
    </w:p>
    <w:p w:rsidR="002C0454" w:rsidRPr="002C0454" w:rsidRDefault="002C0454" w:rsidP="002C0454">
      <w:pPr>
        <w:spacing w:line="276" w:lineRule="auto"/>
        <w:ind w:firstLine="709"/>
        <w:jc w:val="both"/>
        <w:rPr>
          <w:rFonts w:eastAsia="Calibri" w:cs="Arial"/>
        </w:rPr>
      </w:pPr>
      <w:r w:rsidRPr="002C0454">
        <w:rPr>
          <w:rFonts w:eastAsia="Calibri" w:cs="Arial"/>
        </w:rPr>
        <w:t>У співвідношенні до кількості населення басейну, специфічний питомий використовуваний ресурс дорівнює 1.025 м3/чол./рік, а специфічний ресурс розрахований до теоретичного запасу (середньорічний) дорівнює 2.651 м3/чол./рік. Водні ресурси в гідрографічному середовищі Сірету є помірно достатніми і нерівномірно розподілені у просторі й часі.</w:t>
      </w:r>
    </w:p>
    <w:p w:rsidR="002C0454" w:rsidRPr="002C0454" w:rsidRDefault="002C0454" w:rsidP="002C0454">
      <w:pPr>
        <w:spacing w:line="276" w:lineRule="auto"/>
        <w:ind w:firstLine="709"/>
        <w:jc w:val="both"/>
        <w:rPr>
          <w:rFonts w:eastAsia="Calibri" w:cs="Arial"/>
        </w:rPr>
      </w:pPr>
      <w:r w:rsidRPr="002C0454">
        <w:rPr>
          <w:rFonts w:eastAsia="Calibri" w:cs="Arial"/>
        </w:rPr>
        <w:t>Середньорічні величини рівня води для основних річок гідрографічного середовища становлять:</w:t>
      </w:r>
    </w:p>
    <w:p w:rsidR="002C0454" w:rsidRPr="002C0454" w:rsidRDefault="002C0454" w:rsidP="002C0454">
      <w:pPr>
        <w:spacing w:line="276" w:lineRule="auto"/>
        <w:ind w:firstLine="709"/>
        <w:jc w:val="both"/>
        <w:rPr>
          <w:rFonts w:eastAsia="Calibri" w:cs="Arial"/>
        </w:rPr>
      </w:pPr>
      <w:r w:rsidRPr="002C0454">
        <w:rPr>
          <w:rFonts w:eastAsia="Calibri" w:cs="Arial"/>
        </w:rPr>
        <w:t>- р. Сірет (на кордоні) - 13 м3/с. В долині обсяги зростають, особливо після основного злиття. Таким чином, в Леспезь (при злитті з р. Сучава) —  36,5 м3/с, в Драгешть (при злитті з р. Молдова) — 75,1 м3/с, в Ракатеу (при злитті з р. Бістріца) — 140 м3/с, в Лунгоч (при злитті з р. Тротушул і р. Путна) —  210 м3/с;</w:t>
      </w:r>
    </w:p>
    <w:p w:rsidR="002C0454" w:rsidRPr="002C0454" w:rsidRDefault="002C0454" w:rsidP="002C0454">
      <w:pPr>
        <w:spacing w:line="276" w:lineRule="auto"/>
        <w:ind w:firstLine="709"/>
        <w:jc w:val="both"/>
        <w:rPr>
          <w:rFonts w:eastAsia="Calibri" w:cs="Arial"/>
        </w:rPr>
      </w:pPr>
      <w:r w:rsidRPr="002C0454">
        <w:rPr>
          <w:rFonts w:eastAsia="Calibri" w:cs="Arial"/>
        </w:rPr>
        <w:t>- р. Молдова. В долині обсяги зростають, особливо після основного злиття. Щорічний рівень води: 3,75 м3/с у Фунду Молдовей, 7,56 м3/с — у Прісака Дорней, 18,1 м3/с — у м. Гура Хуморулуй, 35,5 м3/с – в Тупілаць, стільки ж в м. Роман</w:t>
      </w:r>
    </w:p>
    <w:p w:rsidR="002C0454" w:rsidRPr="002C0454" w:rsidRDefault="002C0454" w:rsidP="002C0454">
      <w:pPr>
        <w:spacing w:line="276" w:lineRule="auto"/>
        <w:ind w:firstLine="709"/>
        <w:jc w:val="both"/>
        <w:rPr>
          <w:rFonts w:eastAsia="Calibri" w:cs="Arial"/>
        </w:rPr>
      </w:pPr>
      <w:r w:rsidRPr="002C0454">
        <w:rPr>
          <w:rFonts w:eastAsia="Calibri" w:cs="Arial"/>
        </w:rPr>
        <w:t>- р. Бістріца є основною карпацькою притокою Сівету. Завдяки тому, що її водний басейн є водозбірним водостоком найвищих гірських територій Східних Карпат, має багату течію. Середньорічний обсяг при злитті з Сіретом становить 62,5 м3/с;</w:t>
      </w:r>
    </w:p>
    <w:p w:rsidR="002C0454" w:rsidRPr="002C0454" w:rsidRDefault="002C0454" w:rsidP="002C0454">
      <w:pPr>
        <w:spacing w:line="276" w:lineRule="auto"/>
        <w:ind w:firstLine="709"/>
        <w:jc w:val="both"/>
        <w:rPr>
          <w:rFonts w:eastAsia="Calibri" w:cs="Arial"/>
        </w:rPr>
      </w:pPr>
      <w:r w:rsidRPr="002C0454">
        <w:rPr>
          <w:rFonts w:eastAsia="Calibri" w:cs="Arial"/>
        </w:rPr>
        <w:t>- середньорічний рівень води у р. Тротуш: 0,773 м3/с у Лунка де Сус, 3,52 м3/с  у Гімеш Фагет, 6,38 м3/с у Гойоаса, 17,0 м3/с у Тиргу Окна, 25,1 м3/с в м. Онешть і 35,2 м3/с у Вринчень.</w:t>
      </w:r>
    </w:p>
    <w:p w:rsidR="002C0454" w:rsidRPr="002C0454" w:rsidRDefault="002C0454" w:rsidP="002C0454">
      <w:pPr>
        <w:spacing w:line="276" w:lineRule="auto"/>
        <w:ind w:firstLine="709"/>
        <w:jc w:val="both"/>
        <w:rPr>
          <w:rFonts w:eastAsia="Calibri" w:cs="Arial"/>
        </w:rPr>
      </w:pPr>
      <w:r w:rsidRPr="002C0454">
        <w:rPr>
          <w:rFonts w:eastAsia="Calibri" w:cs="Arial"/>
        </w:rPr>
        <w:t>Із загальної довжини течій річок в гідрографічному середовищі Сірету, непостійні течій становлять біля 5,3%.</w:t>
      </w:r>
    </w:p>
    <w:p w:rsidR="002C0454" w:rsidRPr="002C0454" w:rsidRDefault="002C0454" w:rsidP="002C0454">
      <w:pPr>
        <w:spacing w:line="276" w:lineRule="auto"/>
        <w:ind w:firstLine="709"/>
        <w:jc w:val="both"/>
        <w:rPr>
          <w:rFonts w:eastAsia="Calibri" w:cs="Arial"/>
        </w:rPr>
      </w:pPr>
      <w:r w:rsidRPr="002C0454">
        <w:rPr>
          <w:rFonts w:eastAsia="Calibri" w:cs="Arial"/>
        </w:rPr>
        <w:t>В Гідрографічному середовищі Сірету оцінений обсяг підземних вод дорівнює 700 млн. м3, з яких 578 млн. м3 походять з підземних джерел, а 122 млн. м3 – з глибинних.</w:t>
      </w:r>
    </w:p>
    <w:p w:rsidR="00642FB4" w:rsidRDefault="00642FB4">
      <w:pPr>
        <w:spacing w:line="276" w:lineRule="auto"/>
        <w:ind w:firstLine="709"/>
        <w:jc w:val="both"/>
        <w:rPr>
          <w:rFonts w:eastAsia="Calibri" w:cs="Arial"/>
          <w:b/>
          <w:u w:val="single"/>
        </w:rPr>
      </w:pPr>
      <w:r>
        <w:rPr>
          <w:b/>
          <w:u w:val="single"/>
        </w:rPr>
        <w:t>Характеристика поверхневих вод</w:t>
      </w:r>
    </w:p>
    <w:p w:rsidR="00642FB4" w:rsidRDefault="00642FB4">
      <w:pPr>
        <w:spacing w:line="276" w:lineRule="auto"/>
        <w:ind w:firstLine="709"/>
        <w:jc w:val="both"/>
        <w:rPr>
          <w:rFonts w:eastAsia="Calibri" w:cs="Arial"/>
        </w:rPr>
      </w:pPr>
      <w:r>
        <w:t>В басейні річки Сірет визначено 695 річок площею більше 10 км</w:t>
      </w:r>
      <w:r>
        <w:rPr>
          <w:vertAlign w:val="superscript"/>
        </w:rPr>
        <w:t>2</w:t>
      </w:r>
      <w:r>
        <w:t>, 20 водосховищ площею більше 50 га.</w:t>
      </w:r>
    </w:p>
    <w:p w:rsidR="00642FB4" w:rsidRDefault="00642FB4">
      <w:pPr>
        <w:spacing w:line="276" w:lineRule="auto"/>
        <w:ind w:firstLine="709"/>
        <w:jc w:val="both"/>
        <w:rPr>
          <w:rFonts w:eastAsia="Calibri" w:cs="Arial"/>
          <w:b/>
          <w:u w:val="single"/>
        </w:rPr>
      </w:pPr>
      <w:r>
        <w:rPr>
          <w:b/>
          <w:u w:val="single"/>
        </w:rPr>
        <w:t>Річки</w:t>
      </w:r>
    </w:p>
    <w:p w:rsidR="00642FB4" w:rsidRDefault="00642FB4">
      <w:pPr>
        <w:spacing w:line="276" w:lineRule="auto"/>
        <w:ind w:firstLine="709"/>
        <w:jc w:val="both"/>
        <w:rPr>
          <w:rFonts w:eastAsia="Calibri" w:cs="Arial"/>
        </w:rPr>
      </w:pPr>
      <w:r>
        <w:rPr>
          <w:b/>
        </w:rPr>
        <w:t>Річка Сірет</w:t>
      </w:r>
      <w:r>
        <w:t>, входить до групи транскордонних річок, витікає з  Покутсько-Буковинських Карпат і після перетину кордону на територію Румунії збирає притоки, які стікають зі східних схил Східних Карпат.</w:t>
      </w:r>
    </w:p>
    <w:p w:rsidR="00642FB4" w:rsidRDefault="00642FB4">
      <w:pPr>
        <w:spacing w:line="276" w:lineRule="auto"/>
        <w:ind w:firstLine="709"/>
        <w:jc w:val="both"/>
        <w:rPr>
          <w:rFonts w:eastAsia="Calibri" w:cs="Arial"/>
        </w:rPr>
      </w:pPr>
      <w:r>
        <w:t>Загальна довжина річки Сірет складає 647 км від джерела з-під Обчіни Лунгру до місця впадання в Дунай, поблизу міста Галац (в Шендрень) .</w:t>
      </w:r>
    </w:p>
    <w:p w:rsidR="00642FB4" w:rsidRDefault="00642FB4">
      <w:pPr>
        <w:spacing w:line="276" w:lineRule="auto"/>
        <w:ind w:firstLine="709"/>
        <w:jc w:val="both"/>
        <w:rPr>
          <w:rFonts w:eastAsia="Calibri" w:cs="Arial"/>
        </w:rPr>
      </w:pPr>
      <w:r>
        <w:t>На території Румунії площа басейну річки Сірет становить 42.890 км</w:t>
      </w:r>
      <w:r>
        <w:rPr>
          <w:vertAlign w:val="superscript"/>
        </w:rPr>
        <w:t>2</w:t>
      </w:r>
      <w:r>
        <w:t>, а довжина 559 км від входу в країну в місті Сірет до злиття з Дунаєм.</w:t>
      </w:r>
    </w:p>
    <w:p w:rsidR="00642FB4" w:rsidRDefault="00642FB4">
      <w:pPr>
        <w:spacing w:line="276" w:lineRule="auto"/>
        <w:ind w:firstLine="709"/>
        <w:jc w:val="both"/>
        <w:rPr>
          <w:rFonts w:eastAsia="Calibri" w:cs="Arial"/>
        </w:rPr>
      </w:pPr>
      <w:r>
        <w:t>Загальна протяжність водотоків басейну річки Сірет, записаних в земельній книзі, складає 15.836 км, з яких 679 км по території України а в Румунії 15.157 км. З цих 10.280 км знаходять під управлінням Сіреткського ВУ, а 4.877 км під управлінням Прутського ВУ та ВУ Яломіца - Бузеу.</w:t>
      </w:r>
    </w:p>
    <w:p w:rsidR="00642FB4" w:rsidRDefault="00642FB4">
      <w:pPr>
        <w:spacing w:line="276" w:lineRule="auto"/>
        <w:ind w:firstLine="709"/>
        <w:jc w:val="both"/>
        <w:rPr>
          <w:rFonts w:eastAsia="Calibri" w:cs="Arial"/>
        </w:rPr>
      </w:pPr>
      <w:r>
        <w:rPr>
          <w:b/>
        </w:rPr>
        <w:t>Річка Сучава</w:t>
      </w:r>
      <w:r>
        <w:t xml:space="preserve"> – витікає з Буковинських гір (повіту Сучава) і впадає в річку Сірет в районі села Літень (повіту Сучава), маючи довжину 173 км. Площа басейну річки Сучава (на території Румунії) складає  2298 км</w:t>
      </w:r>
      <w:r>
        <w:rPr>
          <w:vertAlign w:val="superscript"/>
        </w:rPr>
        <w:t>2</w:t>
      </w:r>
      <w:r>
        <w:t xml:space="preserve"> і містить 72 закодованих водотоків. Основними притоками річки Сучава є: Путна, Позен, Сучевіца, Шомуз, Солка, Горайт, Солонець Гитнуца, Драгомірна.</w:t>
      </w:r>
    </w:p>
    <w:p w:rsidR="00642FB4" w:rsidRDefault="00642FB4">
      <w:pPr>
        <w:spacing w:line="276" w:lineRule="auto"/>
        <w:ind w:firstLine="709"/>
        <w:jc w:val="both"/>
        <w:rPr>
          <w:rFonts w:eastAsia="Calibri" w:cs="Arial"/>
        </w:rPr>
      </w:pPr>
      <w:r>
        <w:rPr>
          <w:b/>
        </w:rPr>
        <w:t>Річка Молдова</w:t>
      </w:r>
      <w:r>
        <w:t xml:space="preserve"> – Довжина річки Молдавія складає 213 км а площа басейну річки складає 4299 кв.км. з середньою висотою 674 м. Вона витікає з північної сторони Обчіни Лучіна - Местиканіш на висоті 1116 м і впадає в Сірет нижче за течією від міста Романа (повіту Нямц), її довжина – 213 км а площа – 4299 км</w:t>
      </w:r>
      <w:r>
        <w:rPr>
          <w:vertAlign w:val="superscript"/>
        </w:rPr>
        <w:t>2</w:t>
      </w:r>
      <w:r>
        <w:t>.</w:t>
      </w:r>
    </w:p>
    <w:p w:rsidR="00642FB4" w:rsidRDefault="00642FB4">
      <w:pPr>
        <w:spacing w:line="276" w:lineRule="auto"/>
        <w:ind w:firstLine="709"/>
        <w:jc w:val="both"/>
        <w:rPr>
          <w:rFonts w:eastAsia="Calibri" w:cs="Arial"/>
        </w:rPr>
      </w:pPr>
      <w:r>
        <w:t>Основними притоками річки Молдова є: Садова, Молдова, Суха, Гумор, Суха-Міки, Суха-Маре, Риска, Нямц, Немцішор, Топліца.</w:t>
      </w:r>
    </w:p>
    <w:p w:rsidR="00642FB4" w:rsidRDefault="00642FB4">
      <w:pPr>
        <w:spacing w:line="276" w:lineRule="auto"/>
        <w:ind w:firstLine="709"/>
        <w:jc w:val="both"/>
        <w:rPr>
          <w:rFonts w:eastAsia="Calibri" w:cs="Arial"/>
        </w:rPr>
      </w:pPr>
      <w:r>
        <w:rPr>
          <w:b/>
        </w:rPr>
        <w:t>Річка Бистриця</w:t>
      </w:r>
      <w:r>
        <w:t xml:space="preserve"> – витікає з Гір Родней (повіту Сучава) і впадає в р. Сірет вниз за течією за містом Бакеу; це найбільша притока річки Сірет, довжиною 283 км та збирає води закодованої гідрографічної мережі, до складу якої входять 193 водотоків. Площа басейну річки Бистриця становить 7.039 км</w:t>
      </w:r>
      <w:r>
        <w:rPr>
          <w:vertAlign w:val="superscript"/>
        </w:rPr>
        <w:t>2</w:t>
      </w:r>
      <w:r>
        <w:t>.</w:t>
      </w:r>
    </w:p>
    <w:p w:rsidR="00642FB4" w:rsidRDefault="00642FB4">
      <w:pPr>
        <w:spacing w:line="276" w:lineRule="auto"/>
        <w:ind w:firstLine="709"/>
        <w:jc w:val="both"/>
        <w:rPr>
          <w:rFonts w:eastAsia="Calibri" w:cs="Arial"/>
        </w:rPr>
      </w:pPr>
      <w:r>
        <w:t xml:space="preserve">Основними притоками річки Бистриця є: Дорна, Нягра, Борка, Сабаса, Бістрічіоара, Путна, Біказ, Димук, Таркиу, Кракиу, Роминь, Требеш. </w:t>
      </w:r>
    </w:p>
    <w:p w:rsidR="00642FB4" w:rsidRDefault="00642FB4">
      <w:pPr>
        <w:spacing w:line="276" w:lineRule="auto"/>
        <w:ind w:firstLine="709"/>
        <w:jc w:val="both"/>
        <w:rPr>
          <w:rFonts w:eastAsia="Calibri" w:cs="Arial"/>
        </w:rPr>
      </w:pPr>
      <w:r>
        <w:rPr>
          <w:b/>
        </w:rPr>
        <w:t>Річка Тротуш</w:t>
      </w:r>
      <w:r>
        <w:t xml:space="preserve"> – витікає з Гір Чукулуй (повіту Харгіта) і впадає в річку Сірет нижче за течією від міста Аджуд (повіту Вранча). Її довжина 162 км а площа її басейну – 4.456 км</w:t>
      </w:r>
      <w:r>
        <w:rPr>
          <w:vertAlign w:val="superscript"/>
        </w:rPr>
        <w:t>2</w:t>
      </w:r>
      <w:r>
        <w:t>.  Серед основних приток р. Тротуш є: Узул, Слинік, Ойтузул, Кашінул, Тазлиул.</w:t>
      </w:r>
    </w:p>
    <w:p w:rsidR="00642FB4" w:rsidRDefault="00642FB4">
      <w:pPr>
        <w:spacing w:line="276" w:lineRule="auto"/>
        <w:ind w:firstLine="709"/>
        <w:jc w:val="both"/>
        <w:rPr>
          <w:rFonts w:eastAsia="Calibri" w:cs="Arial"/>
        </w:rPr>
      </w:pPr>
      <w:r>
        <w:rPr>
          <w:b/>
        </w:rPr>
        <w:t>Річка Путна</w:t>
      </w:r>
      <w:r>
        <w:t xml:space="preserve"> – витікає з Гір Вранчий та впадає в річку Сірет в повіті Вранча. Її довжина 153 км а площа її басейну – 2480 км</w:t>
      </w:r>
      <w:r>
        <w:rPr>
          <w:vertAlign w:val="superscript"/>
        </w:rPr>
        <w:t>2</w:t>
      </w:r>
      <w:r>
        <w:t>. Гідрографічна мережа включає в себе 62 закодовані водотоки. З них найбільш важливими є: Зибала, Стурза, Мілков, Римна, Ниружа.</w:t>
      </w:r>
    </w:p>
    <w:p w:rsidR="00642FB4" w:rsidRDefault="00642FB4">
      <w:pPr>
        <w:spacing w:line="276" w:lineRule="auto"/>
        <w:ind w:firstLine="709"/>
        <w:jc w:val="both"/>
        <w:rPr>
          <w:rFonts w:eastAsia="Calibri" w:cs="Arial"/>
        </w:rPr>
      </w:pPr>
      <w:r>
        <w:rPr>
          <w:b/>
        </w:rPr>
        <w:t>Річка Рм. Серат</w:t>
      </w:r>
      <w:r>
        <w:t xml:space="preserve"> – витікає з Зовнішніх Східних Карпат (повіту. Бузеу) і впадає в річку Сірет в районі Мийкинешть – Нимолоаса (повіту Вранча). Її довжина 137 км а площа її басейну – 1063 км2. Гідрографічна мережа включає в себе 16 закодованих водотоків. Основними притоками річки Римніку Серат є: Грябин; Коцатку; Віроага; Слімнік.</w:t>
      </w:r>
    </w:p>
    <w:p w:rsidR="00642FB4" w:rsidRDefault="00642FB4">
      <w:pPr>
        <w:spacing w:line="276" w:lineRule="auto"/>
        <w:ind w:firstLine="709"/>
        <w:jc w:val="both"/>
        <w:rPr>
          <w:rFonts w:eastAsia="Calibri" w:cs="Arial"/>
          <w:b/>
          <w:u w:val="single"/>
        </w:rPr>
      </w:pPr>
      <w:r>
        <w:rPr>
          <w:b/>
          <w:u w:val="single"/>
        </w:rPr>
        <w:t>Природні озера</w:t>
      </w:r>
    </w:p>
    <w:p w:rsidR="00642FB4" w:rsidRDefault="00642FB4">
      <w:pPr>
        <w:spacing w:line="276" w:lineRule="auto"/>
        <w:ind w:firstLine="709"/>
        <w:jc w:val="both"/>
        <w:rPr>
          <w:rFonts w:eastAsia="Calibri" w:cs="Arial"/>
        </w:rPr>
      </w:pPr>
      <w:r>
        <w:t>В ареалі басейну річки Сірет аналізуються два природні озера, площа яких менш ніж 0,5 км</w:t>
      </w:r>
      <w:r>
        <w:rPr>
          <w:vertAlign w:val="superscript"/>
        </w:rPr>
        <w:t>2</w:t>
      </w:r>
      <w:r>
        <w:t>.</w:t>
      </w:r>
    </w:p>
    <w:p w:rsidR="00642FB4" w:rsidRDefault="00642FB4">
      <w:pPr>
        <w:spacing w:line="276" w:lineRule="auto"/>
        <w:ind w:firstLine="709"/>
        <w:jc w:val="both"/>
        <w:rPr>
          <w:rFonts w:eastAsia="Calibri" w:cs="Arial"/>
        </w:rPr>
      </w:pPr>
      <w:r>
        <w:rPr>
          <w:b/>
        </w:rPr>
        <w:t xml:space="preserve"> Червоне озеро</w:t>
      </w:r>
      <w:r>
        <w:t xml:space="preserve"> розташоване в центральній частині Східних Карпат, сформувалося в результаті зсувів, які відбулися біля підніжжя гори Учігашул, в результаті перегородження потоку Біказ.</w:t>
      </w:r>
    </w:p>
    <w:p w:rsidR="00642FB4" w:rsidRDefault="00642FB4">
      <w:pPr>
        <w:spacing w:line="276" w:lineRule="auto"/>
        <w:ind w:firstLine="709"/>
        <w:jc w:val="both"/>
        <w:rPr>
          <w:rFonts w:eastAsia="Calibri" w:cs="Arial"/>
        </w:rPr>
      </w:pPr>
      <w:r>
        <w:t>Морфометричні характеристики озера: площа – 11.47 га, загальний об'єм 587 503 м3, максимальна глибина 9,7 м Вода постачає до озера з потоку Біказ, з його приток струмка Ої, Сугард та 12 приток дощових стічних вод.</w:t>
      </w:r>
    </w:p>
    <w:p w:rsidR="00642FB4" w:rsidRDefault="00642FB4">
      <w:pPr>
        <w:spacing w:line="276" w:lineRule="auto"/>
        <w:ind w:firstLine="709"/>
        <w:jc w:val="both"/>
      </w:pPr>
      <w:r>
        <w:rPr>
          <w:b/>
        </w:rPr>
        <w:t>Озеро Лала</w:t>
      </w:r>
      <w:r>
        <w:t xml:space="preserve"> має льодовикове походження і завдяки його хорошій біологічній та хімічній (ультра-оліготрофній) якості було запропоновано в якості довідкового відрізка.</w:t>
      </w:r>
    </w:p>
    <w:p w:rsidR="002C0454" w:rsidRPr="002C0454" w:rsidRDefault="002C0454" w:rsidP="002C0454">
      <w:pPr>
        <w:spacing w:line="276" w:lineRule="auto"/>
        <w:ind w:firstLine="709"/>
        <w:jc w:val="both"/>
        <w:rPr>
          <w:rFonts w:eastAsia="Calibri" w:cs="Arial"/>
        </w:rPr>
      </w:pPr>
      <w:r w:rsidRPr="002C0454">
        <w:rPr>
          <w:rFonts w:eastAsia="Calibri" w:cs="Arial"/>
        </w:rPr>
        <w:t>Гідрографічне середовище Доброджа, Дельта Дунаю і прибережні води розташовані на південному сході країни і розміщені таким чином:</w:t>
      </w:r>
    </w:p>
    <w:p w:rsidR="002C0454" w:rsidRPr="002C0454" w:rsidRDefault="002C0454" w:rsidP="002C0454">
      <w:pPr>
        <w:spacing w:line="276" w:lineRule="auto"/>
        <w:ind w:firstLine="709"/>
        <w:jc w:val="both"/>
        <w:rPr>
          <w:rFonts w:eastAsia="Calibri" w:cs="Arial"/>
        </w:rPr>
      </w:pPr>
      <w:r w:rsidRPr="002C0454">
        <w:rPr>
          <w:rFonts w:eastAsia="Calibri" w:cs="Arial"/>
        </w:rPr>
        <w:t></w:t>
      </w:r>
      <w:r w:rsidRPr="002C0454">
        <w:rPr>
          <w:rFonts w:eastAsia="Calibri" w:cs="Arial"/>
        </w:rPr>
        <w:tab/>
        <w:t>Гідрографічне середовище Доброджа: на півночі і північному сході Дельти Дунаю, на сході від прибережних вод Чорного Моря, на півдні від кордону з Болгарією і на заході від Дунаю;</w:t>
      </w:r>
    </w:p>
    <w:p w:rsidR="002C0454" w:rsidRPr="002C0454" w:rsidRDefault="002C0454" w:rsidP="002C0454">
      <w:pPr>
        <w:spacing w:line="276" w:lineRule="auto"/>
        <w:ind w:firstLine="709"/>
        <w:jc w:val="both"/>
        <w:rPr>
          <w:rFonts w:eastAsia="Calibri" w:cs="Arial"/>
        </w:rPr>
      </w:pPr>
      <w:r w:rsidRPr="002C0454">
        <w:rPr>
          <w:rFonts w:eastAsia="Calibri" w:cs="Arial"/>
        </w:rPr>
        <w:t></w:t>
      </w:r>
      <w:r w:rsidRPr="002C0454">
        <w:rPr>
          <w:rFonts w:eastAsia="Calibri" w:cs="Arial"/>
        </w:rPr>
        <w:tab/>
        <w:t>Дельта Дунаю: на півдні від кордону з Україною, на сході від Чорного Моря, на півночі і заході від Гідрографічного середовища Доброджа;</w:t>
      </w:r>
    </w:p>
    <w:p w:rsidR="002C0454" w:rsidRPr="002C0454" w:rsidRDefault="002C0454" w:rsidP="002C0454">
      <w:pPr>
        <w:spacing w:line="276" w:lineRule="auto"/>
        <w:ind w:firstLine="709"/>
        <w:jc w:val="both"/>
        <w:rPr>
          <w:rFonts w:eastAsia="Calibri" w:cs="Arial"/>
        </w:rPr>
      </w:pPr>
      <w:r w:rsidRPr="002C0454">
        <w:rPr>
          <w:rFonts w:eastAsia="Calibri" w:cs="Arial"/>
        </w:rPr>
        <w:t></w:t>
      </w:r>
      <w:r w:rsidRPr="002C0454">
        <w:rPr>
          <w:rFonts w:eastAsia="Calibri" w:cs="Arial"/>
        </w:rPr>
        <w:tab/>
        <w:t>прибережні води: на півночі від кордону з Україною, на сході від Чорного Моря, на півдні від кордону з Болгарією і на зіході від Гідрографічного середовища Доброджа і Дельти Дунаю.</w:t>
      </w:r>
    </w:p>
    <w:p w:rsidR="002C0454" w:rsidRPr="002C0454" w:rsidRDefault="002C0454" w:rsidP="002C0454">
      <w:pPr>
        <w:spacing w:line="276" w:lineRule="auto"/>
        <w:ind w:firstLine="709"/>
        <w:jc w:val="both"/>
        <w:rPr>
          <w:rFonts w:eastAsia="Calibri" w:cs="Arial"/>
        </w:rPr>
      </w:pPr>
      <w:r w:rsidRPr="002C0454">
        <w:rPr>
          <w:rFonts w:eastAsia="Calibri" w:cs="Arial"/>
        </w:rPr>
        <w:t>З адміністративної точки зору Гідрографічне середовище Доброджа і Дельта Дунаю охоплюють територію двох повітів: Констанца і Тулча.</w:t>
      </w:r>
    </w:p>
    <w:p w:rsidR="002C0454" w:rsidRDefault="002C0454" w:rsidP="002C0454">
      <w:pPr>
        <w:spacing w:line="276" w:lineRule="auto"/>
        <w:ind w:firstLine="709"/>
        <w:jc w:val="both"/>
        <w:rPr>
          <w:rFonts w:eastAsia="Calibri" w:cs="Arial"/>
        </w:rPr>
      </w:pPr>
      <w:r w:rsidRPr="002C0454">
        <w:rPr>
          <w:rFonts w:eastAsia="Calibri" w:cs="Arial"/>
        </w:rPr>
        <w:t xml:space="preserve">Румунські прибережні води Чорного Моря представлені поверхневими водами, розташованими між суходолом і відстанню в одну морську милю до найближчого пункту основної лінії (основна лінія виділена 9 пунктами, розташованими в територіальних водах Румунії і визначається Законом 17/1990 із подальшими змінами і доповненнями), який розташований між Кілією і Вама Веке.  </w:t>
      </w:r>
    </w:p>
    <w:p w:rsidR="00D14B55" w:rsidRPr="006C74EB" w:rsidRDefault="00D14B55">
      <w:pPr>
        <w:spacing w:line="276" w:lineRule="auto"/>
        <w:ind w:firstLine="709"/>
        <w:jc w:val="both"/>
        <w:rPr>
          <w:rFonts w:eastAsia="Calibri" w:cs="Arial"/>
          <w:lang w:val="ru-RU"/>
        </w:rPr>
      </w:pPr>
    </w:p>
    <w:p w:rsidR="00642FB4" w:rsidRDefault="00642FB4">
      <w:pPr>
        <w:spacing w:line="276" w:lineRule="auto"/>
        <w:ind w:firstLine="709"/>
        <w:jc w:val="both"/>
        <w:rPr>
          <w:rFonts w:eastAsia="Calibri" w:cs="Arial"/>
        </w:rPr>
      </w:pPr>
      <w:r>
        <w:rPr>
          <w:b/>
          <w:u w:val="single"/>
        </w:rPr>
        <w:t>Басейн річки Дунай</w:t>
      </w:r>
      <w:r>
        <w:t xml:space="preserve"> займає близько 10% континенту. За його довжиною 2780 км, площею басейну понад 801 463 км</w:t>
      </w:r>
      <w:r>
        <w:rPr>
          <w:vertAlign w:val="superscript"/>
        </w:rPr>
        <w:t>2</w:t>
      </w:r>
      <w:r>
        <w:t xml:space="preserve"> і середнім багаторічним потоком близько 6500 м</w:t>
      </w:r>
      <w:r>
        <w:rPr>
          <w:vertAlign w:val="superscript"/>
        </w:rPr>
        <w:t>3</w:t>
      </w:r>
      <w:r>
        <w:t xml:space="preserve"> / сек, Дунай, після Волги, є другою за довжиною рікою в Європі. 97,4% з території Румунії знаходяться в басейні річки Дунай, який становить 29% басейну Дунаю. Це країна з найбільшою площею в басейні Дунаю. Також, 37,7% довжини Дунаю тече по території Румунії. Завдяки фізико-географічному розподілу та характеру гідрологічного режиму, Дунай ділиться на три відрізки: Верхній Дунай (витік - Відень), Середній Дунай (Відень – Залізні Ворота) та Нижній Дунай (Залізні Ворота – Чорне Море). Нижня течія нижнього Дунаю формує державний кордон між Румунією та Сербією і Болгарією.</w:t>
      </w:r>
    </w:p>
    <w:p w:rsidR="00642FB4" w:rsidRDefault="001C33BE">
      <w:pPr>
        <w:spacing w:line="276" w:lineRule="auto"/>
        <w:jc w:val="center"/>
        <w:rPr>
          <w:rFonts w:eastAsia="Calibri" w:cs="Arial"/>
        </w:rPr>
      </w:pPr>
      <w:r>
        <w:rPr>
          <w:rFonts w:eastAsia="Calibri" w:cs="Arial"/>
          <w:noProof/>
          <w:lang w:val="en-US" w:eastAsia="en-US"/>
        </w:rPr>
        <w:drawing>
          <wp:inline distT="0" distB="0" distL="0" distR="0" wp14:anchorId="5D5074DA" wp14:editId="729FC953">
            <wp:extent cx="5407025" cy="3800475"/>
            <wp:effectExtent l="19050" t="0" r="3175" b="0"/>
            <wp:docPr id="8" name="Рисунок 8" descr="Tulc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ulcea"/>
                    <pic:cNvPicPr>
                      <a:picLocks noChangeAspect="1" noChangeArrowheads="1"/>
                    </pic:cNvPicPr>
                  </pic:nvPicPr>
                  <pic:blipFill>
                    <a:blip r:embed="rId17" cstate="print"/>
                    <a:srcRect/>
                    <a:stretch>
                      <a:fillRect/>
                    </a:stretch>
                  </pic:blipFill>
                  <pic:spPr bwMode="auto">
                    <a:xfrm>
                      <a:off x="0" y="0"/>
                      <a:ext cx="5407025" cy="3800475"/>
                    </a:xfrm>
                    <a:prstGeom prst="rect">
                      <a:avLst/>
                    </a:prstGeom>
                    <a:noFill/>
                    <a:ln w="9525">
                      <a:noFill/>
                      <a:miter lim="800000"/>
                      <a:headEnd/>
                      <a:tailEnd/>
                    </a:ln>
                  </pic:spPr>
                </pic:pic>
              </a:graphicData>
            </a:graphic>
          </wp:inline>
        </w:drawing>
      </w:r>
    </w:p>
    <w:p w:rsidR="00642FB4" w:rsidRDefault="00642FB4">
      <w:pPr>
        <w:spacing w:line="276" w:lineRule="auto"/>
        <w:jc w:val="center"/>
        <w:rPr>
          <w:rFonts w:eastAsia="Calibri" w:cs="Arial"/>
          <w:sz w:val="22"/>
          <w:szCs w:val="22"/>
        </w:rPr>
      </w:pPr>
      <w:r>
        <w:rPr>
          <w:b/>
          <w:i/>
          <w:sz w:val="22"/>
        </w:rPr>
        <w:t>Рисунок 4.4</w:t>
      </w:r>
      <w:r>
        <w:rPr>
          <w:sz w:val="22"/>
        </w:rPr>
        <w:t xml:space="preserve"> Басейн річки Дунай</w:t>
      </w:r>
    </w:p>
    <w:p w:rsidR="00642FB4" w:rsidRDefault="00642FB4">
      <w:pPr>
        <w:spacing w:line="276" w:lineRule="auto"/>
        <w:jc w:val="center"/>
        <w:rPr>
          <w:rFonts w:eastAsia="Calibri" w:cs="Arial"/>
          <w:sz w:val="22"/>
          <w:szCs w:val="22"/>
        </w:rPr>
      </w:pPr>
    </w:p>
    <w:p w:rsidR="00642FB4" w:rsidRDefault="00642FB4">
      <w:pPr>
        <w:spacing w:line="276" w:lineRule="auto"/>
        <w:ind w:firstLine="709"/>
        <w:jc w:val="both"/>
      </w:pPr>
      <w:r>
        <w:t>Серед основних приток Дунаю є балканські річки Тімок, Лом, Огоста, Іскар, Віт, Осам і Янтра праворуч і Джиу, Олт, Ведя і Арджеш, Яломіца, Сірет та Прут, ліворуч. Водні ресурси Дунаю на відрізку Базіяш становлять 175,6 млрд м</w:t>
      </w:r>
      <w:r>
        <w:rPr>
          <w:vertAlign w:val="superscript"/>
        </w:rPr>
        <w:t>3</w:t>
      </w:r>
      <w:r>
        <w:t xml:space="preserve"> з яких 30 млрд м</w:t>
      </w:r>
      <w:r>
        <w:rPr>
          <w:vertAlign w:val="superscript"/>
        </w:rPr>
        <w:t>3</w:t>
      </w:r>
      <w:r>
        <w:t xml:space="preserve"> є технічно придатними ресурсами.</w:t>
      </w:r>
    </w:p>
    <w:p w:rsidR="002C0454" w:rsidRPr="002C0454" w:rsidRDefault="002C0454" w:rsidP="002C0454">
      <w:pPr>
        <w:spacing w:line="276" w:lineRule="auto"/>
        <w:ind w:firstLine="709"/>
        <w:jc w:val="both"/>
        <w:rPr>
          <w:lang w:val="ru-RU"/>
        </w:rPr>
      </w:pPr>
      <w:r w:rsidRPr="002C0454">
        <w:rPr>
          <w:lang w:val="ru-RU"/>
        </w:rPr>
        <w:t>Використання земель</w:t>
      </w:r>
    </w:p>
    <w:p w:rsidR="002C0454" w:rsidRPr="002C0454" w:rsidRDefault="002C0454" w:rsidP="002C0454">
      <w:pPr>
        <w:spacing w:line="276" w:lineRule="auto"/>
        <w:ind w:firstLine="709"/>
        <w:jc w:val="both"/>
        <w:rPr>
          <w:lang w:val="ru-RU"/>
        </w:rPr>
      </w:pPr>
      <w:r w:rsidRPr="002C0454">
        <w:rPr>
          <w:lang w:val="ru-RU"/>
        </w:rPr>
        <w:t>Фізико-географічні умови, а також антропогенні фактори впливають на спосіб використання земель Гідрографічного середовища Доброджа. Розподіл наступний: ліси — 20,33%, пасовища — 1,02%, орні землі — 71,09%, водні об'єкти — 2,49% тощо.</w:t>
      </w:r>
    </w:p>
    <w:p w:rsidR="002C0454" w:rsidRPr="002C0454" w:rsidRDefault="002C0454" w:rsidP="002C0454">
      <w:pPr>
        <w:spacing w:line="276" w:lineRule="auto"/>
        <w:ind w:firstLine="709"/>
        <w:jc w:val="both"/>
        <w:rPr>
          <w:lang w:val="ru-RU"/>
        </w:rPr>
      </w:pPr>
      <w:r w:rsidRPr="002C0454">
        <w:rPr>
          <w:lang w:val="ru-RU"/>
        </w:rPr>
        <w:t xml:space="preserve">В Дельті Дунаю ліси займають 11,66% площі, пасовища — 1,3%, орні землі — 12,7% а водні об'єкти 73,14%. </w:t>
      </w:r>
    </w:p>
    <w:p w:rsidR="002C0454" w:rsidRPr="002C0454" w:rsidRDefault="002C0454" w:rsidP="002C0454">
      <w:pPr>
        <w:spacing w:line="276" w:lineRule="auto"/>
        <w:ind w:firstLine="709"/>
        <w:jc w:val="both"/>
        <w:rPr>
          <w:lang w:val="ru-RU"/>
        </w:rPr>
      </w:pPr>
      <w:r w:rsidRPr="002C0454">
        <w:rPr>
          <w:lang w:val="ru-RU"/>
        </w:rPr>
        <w:t>Водні об'єкти</w:t>
      </w:r>
    </w:p>
    <w:p w:rsidR="002C0454" w:rsidRPr="002C0454" w:rsidRDefault="002C0454" w:rsidP="002C0454">
      <w:pPr>
        <w:spacing w:line="276" w:lineRule="auto"/>
        <w:ind w:firstLine="709"/>
        <w:jc w:val="both"/>
        <w:rPr>
          <w:lang w:val="ru-RU"/>
        </w:rPr>
      </w:pPr>
      <w:r w:rsidRPr="002C0454">
        <w:rPr>
          <w:lang w:val="ru-RU"/>
        </w:rPr>
        <w:t>Загальні поверхневі водні ресурси річки Дунай (сектор Кічіу — Ісача), Дельти Дунаю і Гідрографічного середовища Доброджа дорівнюють біля 404.136,4 мл. м3/рік. Водні ресурси Гідрографічного середовища Доброджа можна вважати обмеженими і нерівномірно розподілені в просторі й часі.</w:t>
      </w:r>
    </w:p>
    <w:p w:rsidR="002C0454" w:rsidRPr="002C0454" w:rsidRDefault="002C0454" w:rsidP="002C0454">
      <w:pPr>
        <w:spacing w:line="276" w:lineRule="auto"/>
        <w:ind w:firstLine="709"/>
        <w:jc w:val="both"/>
        <w:rPr>
          <w:lang w:val="ru-RU"/>
        </w:rPr>
      </w:pPr>
      <w:r w:rsidRPr="002C0454">
        <w:rPr>
          <w:lang w:val="ru-RU"/>
        </w:rPr>
        <w:t>Середньорічні рівені основних річок Гідрографічного середовища Доброджа дорівнюють: Таїца — 0,486 м3/с, Касімча — 0,632 м3/с, Тополог — 0,305 м3/с т. і.</w:t>
      </w:r>
    </w:p>
    <w:p w:rsidR="002C0454" w:rsidRPr="002C0454" w:rsidRDefault="002C0454" w:rsidP="002C0454">
      <w:pPr>
        <w:spacing w:line="276" w:lineRule="auto"/>
        <w:ind w:firstLine="709"/>
        <w:jc w:val="both"/>
        <w:rPr>
          <w:lang w:val="ru-RU"/>
        </w:rPr>
      </w:pPr>
      <w:r w:rsidRPr="002C0454">
        <w:rPr>
          <w:lang w:val="ru-RU"/>
        </w:rPr>
        <w:t>Із загальної довжини кадастрових водних течій річки Дунай, Дельти Дунаю, Гідрографічного середовища Доброджа і прибережних вод, непостійні водні течії охоплюють біля 6%.</w:t>
      </w:r>
    </w:p>
    <w:p w:rsidR="002C0454" w:rsidRDefault="002C0454" w:rsidP="002C0454">
      <w:pPr>
        <w:spacing w:line="276" w:lineRule="auto"/>
        <w:ind w:firstLine="709"/>
        <w:jc w:val="both"/>
        <w:rPr>
          <w:lang w:val="ru-RU"/>
        </w:rPr>
      </w:pPr>
      <w:r w:rsidRPr="002C0454">
        <w:rPr>
          <w:lang w:val="ru-RU"/>
        </w:rPr>
        <w:t xml:space="preserve">В Гідрографічному середовищі Доброджа оцінений обсяг підземних вод дорівнює 2.090,818 млн. м3, з яких 372,27 млн. м3 походять з підземних джерел, а 1.718,548 млн. м3 – з глибинних.   </w:t>
      </w:r>
    </w:p>
    <w:p w:rsidR="00D14B55" w:rsidRPr="006C74EB" w:rsidRDefault="00D14B55">
      <w:pPr>
        <w:spacing w:line="276" w:lineRule="auto"/>
        <w:ind w:firstLine="709"/>
        <w:jc w:val="both"/>
        <w:rPr>
          <w:rFonts w:eastAsia="Calibri" w:cs="Arial"/>
          <w:lang w:val="ru-RU"/>
        </w:rPr>
      </w:pPr>
    </w:p>
    <w:p w:rsidR="00642FB4" w:rsidRDefault="00642FB4">
      <w:pPr>
        <w:spacing w:line="276" w:lineRule="auto"/>
        <w:ind w:firstLine="709"/>
        <w:jc w:val="both"/>
        <w:rPr>
          <w:rFonts w:eastAsia="Calibri" w:cs="Arial"/>
          <w:b/>
        </w:rPr>
      </w:pPr>
      <w:r>
        <w:rPr>
          <w:b/>
        </w:rPr>
        <w:t xml:space="preserve">Характеристика поверхневих вод </w:t>
      </w:r>
    </w:p>
    <w:p w:rsidR="00642FB4" w:rsidRDefault="00642FB4">
      <w:pPr>
        <w:spacing w:line="276" w:lineRule="auto"/>
        <w:ind w:firstLine="709"/>
        <w:jc w:val="both"/>
        <w:rPr>
          <w:rFonts w:eastAsia="Calibri" w:cs="Arial"/>
        </w:rPr>
      </w:pPr>
      <w:r>
        <w:t>Категоріями поверхневих вод вважаються р. Дунай та водосховища Залізні Ворота I та II.</w:t>
      </w:r>
    </w:p>
    <w:p w:rsidR="00642FB4" w:rsidRDefault="00642FB4">
      <w:pPr>
        <w:spacing w:line="276" w:lineRule="auto"/>
        <w:ind w:firstLine="709"/>
        <w:jc w:val="both"/>
        <w:rPr>
          <w:rFonts w:eastAsia="Calibri" w:cs="Arial"/>
          <w:b/>
        </w:rPr>
      </w:pPr>
      <w:r>
        <w:rPr>
          <w:b/>
        </w:rPr>
        <w:t>Річка Дунай</w:t>
      </w:r>
    </w:p>
    <w:p w:rsidR="00642FB4" w:rsidRDefault="00642FB4">
      <w:pPr>
        <w:spacing w:line="276" w:lineRule="auto"/>
        <w:ind w:firstLine="709"/>
        <w:jc w:val="both"/>
        <w:rPr>
          <w:rFonts w:eastAsia="Calibri" w:cs="Arial"/>
        </w:rPr>
      </w:pPr>
      <w:r>
        <w:t>Гідрологічний режим річки Дунай відносно рівномірний; співвідношення між мінімальним і максимальної потоком складає 1/10, у порівнянні з режимом внутрішнії водотоків для яких, згаданий раніше режим коливається між 1/200 та 1/2000.</w:t>
      </w:r>
    </w:p>
    <w:p w:rsidR="00642FB4" w:rsidRDefault="00642FB4">
      <w:pPr>
        <w:spacing w:line="276" w:lineRule="auto"/>
        <w:ind w:firstLine="709"/>
        <w:jc w:val="both"/>
        <w:rPr>
          <w:rFonts w:eastAsia="Calibri" w:cs="Arial"/>
          <w:b/>
        </w:rPr>
      </w:pPr>
      <w:r>
        <w:rPr>
          <w:b/>
        </w:rPr>
        <w:t>Залізні Ворота</w:t>
      </w:r>
    </w:p>
    <w:p w:rsidR="00642FB4" w:rsidRDefault="00642FB4">
      <w:pPr>
        <w:spacing w:line="276" w:lineRule="auto"/>
        <w:ind w:firstLine="709"/>
        <w:jc w:val="both"/>
        <w:rPr>
          <w:rFonts w:eastAsia="Calibri" w:cs="Arial"/>
        </w:rPr>
      </w:pPr>
      <w:r>
        <w:t>Озеро Залізні Ворота було здійснене в 1972 році і має об'єм 2,1 млрд м</w:t>
      </w:r>
      <w:r>
        <w:rPr>
          <w:vertAlign w:val="superscript"/>
        </w:rPr>
        <w:t>3</w:t>
      </w:r>
      <w:r>
        <w:t xml:space="preserve"> а Озеро Залізні Ворота II було віддано у експлуатацію в 1986 році і має об'єм 800 млн м3. Ці озера мають терміни водоутримання &lt;1 дня.</w:t>
      </w:r>
    </w:p>
    <w:p w:rsidR="00D14B55" w:rsidRDefault="00642FB4">
      <w:pPr>
        <w:spacing w:line="276" w:lineRule="auto"/>
        <w:ind w:firstLine="709"/>
        <w:jc w:val="both"/>
        <w:rPr>
          <w:b/>
        </w:rPr>
      </w:pPr>
      <w:r>
        <w:rPr>
          <w:b/>
        </w:rPr>
        <w:t>Загальна характеристика Дельти Дунаю</w:t>
      </w:r>
    </w:p>
    <w:p w:rsidR="002C0454" w:rsidRDefault="002C0454">
      <w:pPr>
        <w:spacing w:line="276" w:lineRule="auto"/>
        <w:ind w:firstLine="709"/>
        <w:jc w:val="both"/>
        <w:rPr>
          <w:b/>
          <w:lang w:val="ru-RU"/>
        </w:rPr>
      </w:pPr>
      <w:r w:rsidRPr="002C0454">
        <w:rPr>
          <w:b/>
          <w:lang w:val="ru-RU"/>
        </w:rPr>
        <w:t>Дельта Дунаю простягається на площі в 4757 кв. км, що дорівнює 2% площі держави. Існуюча гідрографічна мережа Дельти Дунаю представлена трьома рукавами річки, загальною довжиною в 290 км і середньою густотою 0,06 км/км2. Окрім трьох рукавів Дунаю, існує і мережа каналів, струмків, западин, лиманів, які не є кадастрованими і які зв'язують озера дельти Дунаю та його рукави.</w:t>
      </w:r>
    </w:p>
    <w:p w:rsidR="00642FB4" w:rsidRDefault="00642FB4">
      <w:pPr>
        <w:spacing w:line="276" w:lineRule="auto"/>
        <w:ind w:firstLine="709"/>
        <w:jc w:val="both"/>
        <w:rPr>
          <w:rFonts w:eastAsia="Calibri" w:cs="Arial"/>
        </w:rPr>
      </w:pPr>
      <w:r>
        <w:rPr>
          <w:b/>
        </w:rPr>
        <w:t>Дельта Дунаю</w:t>
      </w:r>
      <w:r>
        <w:t xml:space="preserve"> є наймолодшою географічною одиницею в Румунії (перший зародок з'явився 12ю000 років тому) і друга за величиною дельтова одиниця в Європі (після дельті Волги) являючись унікальною комплексною екосистемою. У Дельті Дунаю відрізняється, з одного боку позитивні форми рельєфу, зроблені з мисів Буджатская плато, річкових балок, прибережних утворень для водосховища, сформованих в результаті зіставленням численних древніх прибережних поясів (морські балки) і теперішніх морських берегів, а з іншого боку, негативні форми зануреного рельєфу, які складають гідрографічну мережу Дельти.</w:t>
      </w:r>
    </w:p>
    <w:p w:rsidR="00642FB4" w:rsidRDefault="00642FB4">
      <w:pPr>
        <w:spacing w:line="276" w:lineRule="auto"/>
        <w:ind w:firstLine="709"/>
        <w:jc w:val="both"/>
        <w:rPr>
          <w:rFonts w:eastAsia="Calibri" w:cs="Arial"/>
        </w:rPr>
      </w:pPr>
      <w:r>
        <w:t>Біосферний заповідник Дельта Дунаю розстеляється на території Румунії та займає площу 5800 км</w:t>
      </w:r>
      <w:r>
        <w:rPr>
          <w:vertAlign w:val="superscript"/>
        </w:rPr>
        <w:t>2</w:t>
      </w:r>
      <w:r>
        <w:t xml:space="preserve"> а на території України – 465 км</w:t>
      </w:r>
      <w:r>
        <w:rPr>
          <w:vertAlign w:val="superscript"/>
        </w:rPr>
        <w:t>2</w:t>
      </w:r>
      <w:r>
        <w:t xml:space="preserve"> . Складними частинами Біосферного заповідника Дельта Дунаю на території Румунії є:</w:t>
      </w:r>
    </w:p>
    <w:p w:rsidR="00642FB4" w:rsidRDefault="00642FB4">
      <w:pPr>
        <w:numPr>
          <w:ilvl w:val="0"/>
          <w:numId w:val="63"/>
        </w:numPr>
        <w:spacing w:line="276" w:lineRule="auto"/>
        <w:ind w:left="993" w:hanging="284"/>
        <w:jc w:val="both"/>
        <w:rPr>
          <w:rFonts w:eastAsia="Calibri" w:cs="Arial"/>
        </w:rPr>
      </w:pPr>
      <w:r>
        <w:t>3.510 км</w:t>
      </w:r>
      <w:r>
        <w:rPr>
          <w:vertAlign w:val="superscript"/>
        </w:rPr>
        <w:t>2</w:t>
      </w:r>
      <w:r>
        <w:t xml:space="preserve"> самої дельти (румунський відрізок);</w:t>
      </w:r>
    </w:p>
    <w:p w:rsidR="00642FB4" w:rsidRDefault="00642FB4">
      <w:pPr>
        <w:numPr>
          <w:ilvl w:val="0"/>
          <w:numId w:val="63"/>
        </w:numPr>
        <w:spacing w:line="276" w:lineRule="auto"/>
        <w:ind w:left="993" w:hanging="284"/>
        <w:jc w:val="both"/>
        <w:rPr>
          <w:rFonts w:eastAsia="Calibri" w:cs="Arial"/>
        </w:rPr>
      </w:pPr>
      <w:r>
        <w:t>1.145км</w:t>
      </w:r>
      <w:r>
        <w:rPr>
          <w:vertAlign w:val="superscript"/>
        </w:rPr>
        <w:t>2</w:t>
      </w:r>
      <w:r>
        <w:t xml:space="preserve"> - озерний комплекс Разім-Сіноє;</w:t>
      </w:r>
    </w:p>
    <w:p w:rsidR="00642FB4" w:rsidRDefault="00642FB4">
      <w:pPr>
        <w:numPr>
          <w:ilvl w:val="0"/>
          <w:numId w:val="63"/>
        </w:numPr>
        <w:spacing w:line="276" w:lineRule="auto"/>
        <w:ind w:left="993" w:hanging="284"/>
        <w:jc w:val="both"/>
        <w:rPr>
          <w:rFonts w:eastAsia="Calibri" w:cs="Arial"/>
        </w:rPr>
      </w:pPr>
      <w:r>
        <w:t>1.030 км</w:t>
      </w:r>
      <w:r>
        <w:rPr>
          <w:vertAlign w:val="superscript"/>
        </w:rPr>
        <w:t>2</w:t>
      </w:r>
      <w:r>
        <w:t xml:space="preserve"> - морські води (до ізобати - 20 м від південного краю мису Капу Мідія);</w:t>
      </w:r>
    </w:p>
    <w:p w:rsidR="00642FB4" w:rsidRDefault="00642FB4">
      <w:pPr>
        <w:numPr>
          <w:ilvl w:val="0"/>
          <w:numId w:val="63"/>
        </w:numPr>
        <w:spacing w:line="276" w:lineRule="auto"/>
        <w:ind w:left="993" w:hanging="284"/>
        <w:jc w:val="both"/>
        <w:rPr>
          <w:rFonts w:eastAsia="Calibri" w:cs="Arial"/>
        </w:rPr>
      </w:pPr>
      <w:r>
        <w:t>13 км</w:t>
      </w:r>
      <w:r>
        <w:rPr>
          <w:vertAlign w:val="superscript"/>
        </w:rPr>
        <w:t>2</w:t>
      </w:r>
      <w:r>
        <w:t xml:space="preserve"> русло Дунаю між поворотом Пісічі та Ісакчі (Румунія);</w:t>
      </w:r>
    </w:p>
    <w:p w:rsidR="00642FB4" w:rsidRDefault="00642FB4">
      <w:pPr>
        <w:numPr>
          <w:ilvl w:val="0"/>
          <w:numId w:val="63"/>
        </w:numPr>
        <w:spacing w:line="276" w:lineRule="auto"/>
        <w:ind w:left="993" w:hanging="284"/>
        <w:jc w:val="both"/>
        <w:rPr>
          <w:rFonts w:eastAsia="Calibri" w:cs="Arial"/>
        </w:rPr>
      </w:pPr>
      <w:r>
        <w:t>102 км</w:t>
      </w:r>
      <w:r>
        <w:rPr>
          <w:vertAlign w:val="superscript"/>
        </w:rPr>
        <w:t>2</w:t>
      </w:r>
      <w:r>
        <w:t xml:space="preserve"> заплави Дунаю між Ісакча і Тулча.</w:t>
      </w:r>
    </w:p>
    <w:p w:rsidR="00642FB4" w:rsidRDefault="00642FB4">
      <w:pPr>
        <w:spacing w:line="276" w:lineRule="auto"/>
        <w:ind w:firstLine="709"/>
        <w:jc w:val="both"/>
        <w:rPr>
          <w:rFonts w:eastAsia="Calibri" w:cs="Arial"/>
        </w:rPr>
      </w:pPr>
      <w:r>
        <w:t>Тому особливості обігу води залежати від структури територіальних географічних одиниць. Води поступають до дельти від:</w:t>
      </w:r>
    </w:p>
    <w:p w:rsidR="00642FB4" w:rsidRDefault="00642FB4">
      <w:pPr>
        <w:numPr>
          <w:ilvl w:val="0"/>
          <w:numId w:val="64"/>
        </w:numPr>
        <w:spacing w:line="276" w:lineRule="auto"/>
        <w:ind w:left="993" w:hanging="284"/>
        <w:jc w:val="both"/>
        <w:rPr>
          <w:rFonts w:eastAsia="Calibri" w:cs="Arial"/>
        </w:rPr>
      </w:pPr>
      <w:r>
        <w:t xml:space="preserve">Кілійське гирло через канали: Сіряса, Шонтя, Пардіна; </w:t>
      </w:r>
    </w:p>
    <w:p w:rsidR="00642FB4" w:rsidRDefault="00642FB4">
      <w:pPr>
        <w:numPr>
          <w:ilvl w:val="0"/>
          <w:numId w:val="64"/>
        </w:numPr>
        <w:spacing w:line="276" w:lineRule="auto"/>
        <w:ind w:left="993" w:hanging="284"/>
        <w:jc w:val="both"/>
        <w:rPr>
          <w:rFonts w:eastAsia="Calibri" w:cs="Arial"/>
        </w:rPr>
      </w:pPr>
      <w:r>
        <w:t>Георгіївське  гирло через Літков;</w:t>
      </w:r>
    </w:p>
    <w:p w:rsidR="00642FB4" w:rsidRDefault="00642FB4">
      <w:pPr>
        <w:numPr>
          <w:ilvl w:val="0"/>
          <w:numId w:val="64"/>
        </w:numPr>
        <w:spacing w:line="276" w:lineRule="auto"/>
        <w:ind w:left="993" w:hanging="284"/>
        <w:jc w:val="both"/>
        <w:rPr>
          <w:rFonts w:eastAsia="Calibri" w:cs="Arial"/>
        </w:rPr>
      </w:pPr>
      <w:r>
        <w:t>Сулинське гирло через бічні канали.</w:t>
      </w:r>
    </w:p>
    <w:p w:rsidR="00642FB4" w:rsidRDefault="00642FB4">
      <w:pPr>
        <w:spacing w:before="60" w:after="60" w:line="276" w:lineRule="auto"/>
        <w:ind w:firstLine="706"/>
        <w:jc w:val="both"/>
      </w:pPr>
    </w:p>
    <w:p w:rsidR="00642FB4" w:rsidRDefault="00642FB4">
      <w:pPr>
        <w:spacing w:before="60" w:after="60" w:line="276" w:lineRule="auto"/>
        <w:ind w:firstLine="706"/>
        <w:jc w:val="both"/>
      </w:pPr>
      <w:r>
        <w:t>Аналіз даних про якість води в доповідях місцевих Агентств з охорони довкілля про стан навколишнього середовища в 5 повітах в прийнятній території Програми показав, що воно знаходиться в межах значень якісних показників відповідно до чинного законодавства і що останнім часом не було зареєстровано жодного значного інциденту забруднення.</w:t>
      </w:r>
    </w:p>
    <w:p w:rsidR="002C0454" w:rsidRDefault="002C0454" w:rsidP="002C0454">
      <w:pPr>
        <w:spacing w:before="60" w:after="60" w:line="276" w:lineRule="auto"/>
        <w:ind w:firstLine="706"/>
        <w:jc w:val="both"/>
      </w:pPr>
      <w:r>
        <w:t xml:space="preserve">Характеристика еколого-хімічного стану вод Дунаю, басейну Доброджеа, та Дельти Дунаю </w:t>
      </w:r>
    </w:p>
    <w:p w:rsidR="002C0454" w:rsidRDefault="002C0454" w:rsidP="002C0454">
      <w:pPr>
        <w:spacing w:before="60" w:after="60" w:line="276" w:lineRule="auto"/>
        <w:ind w:firstLine="706"/>
        <w:jc w:val="both"/>
      </w:pPr>
      <w:r>
        <w:t>На рівні річки Дунай, Дельти Дунаю, гідрографічного середовища Доброджа і прибережних вод, зі 115 водних об'єктів було проаналізовано і охарактеризовано з точки зору екологічного стану/потенціалу 93 (81%) водних об'єкти, з яких 79 (69%) природних і 14 сильно змінених/штучних (12%), з яких: 57 (61%) водні об'єкти знаходяться в доброму екологічному стані і 8 (9%) з максимальним і добрим екологічним станом. Решта 22 об'єкти це рибогосподарські ставки і лікувальні озера, екологічний стан яких не впливає на загальну ситуацію.</w:t>
      </w:r>
    </w:p>
    <w:p w:rsidR="00633709" w:rsidRPr="002C0454" w:rsidRDefault="002C0454" w:rsidP="002C0454">
      <w:pPr>
        <w:spacing w:before="60" w:after="60" w:line="276" w:lineRule="auto"/>
        <w:ind w:firstLine="706"/>
        <w:jc w:val="both"/>
      </w:pPr>
      <w:r>
        <w:t>На рівні річки Дунай, Дельти Дунаю, гідрографічного середовища Доброджа і прибережних вод з хімічної точки зору було проаналізовано і охарактеризовано 115 водних об'єктів, з яких 112 (97%) водних об'єктів мають відповідний хімічний стан, а 3 (3%) - не відповідають нормам.</w:t>
      </w:r>
    </w:p>
    <w:p w:rsidR="00642FB4" w:rsidRDefault="00642FB4">
      <w:pPr>
        <w:pStyle w:val="Heading1"/>
        <w:rPr>
          <w:rFonts w:ascii="Arial" w:hAnsi="Arial" w:cs="Arial"/>
          <w:sz w:val="24"/>
          <w:szCs w:val="24"/>
        </w:rPr>
      </w:pPr>
      <w:bookmarkStart w:id="13" w:name="_Toc418279299"/>
      <w:bookmarkStart w:id="14" w:name="_Toc419199661"/>
      <w:r>
        <w:rPr>
          <w:rFonts w:ascii="Arial" w:hAnsi="Arial"/>
          <w:sz w:val="24"/>
        </w:rPr>
        <w:t>4.1 Повіт Ботошань</w:t>
      </w:r>
      <w:bookmarkEnd w:id="13"/>
      <w:bookmarkEnd w:id="14"/>
    </w:p>
    <w:p w:rsidR="00642FB4" w:rsidRDefault="00642FB4">
      <w:pPr>
        <w:spacing w:before="60" w:after="60" w:line="288" w:lineRule="auto"/>
        <w:jc w:val="both"/>
        <w:rPr>
          <w:b/>
          <w:u w:val="single"/>
        </w:rPr>
      </w:pPr>
    </w:p>
    <w:p w:rsidR="00642FB4" w:rsidRDefault="00642FB4">
      <w:pPr>
        <w:numPr>
          <w:ilvl w:val="0"/>
          <w:numId w:val="1"/>
        </w:numPr>
        <w:spacing w:before="60" w:after="60" w:line="288" w:lineRule="auto"/>
        <w:jc w:val="both"/>
        <w:rPr>
          <w:b/>
        </w:rPr>
      </w:pPr>
      <w:r>
        <w:rPr>
          <w:b/>
        </w:rPr>
        <w:t>ПОВІТРЯ</w:t>
      </w:r>
    </w:p>
    <w:p w:rsidR="00642FB4" w:rsidRDefault="00642FB4">
      <w:pPr>
        <w:spacing w:before="60" w:after="60" w:line="288" w:lineRule="auto"/>
        <w:ind w:firstLine="720"/>
        <w:jc w:val="both"/>
        <w:rPr>
          <w:bCs/>
          <w:i/>
        </w:rPr>
      </w:pPr>
      <w:r>
        <w:rPr>
          <w:i/>
        </w:rPr>
        <w:t>Діоксид сірки (SO</w:t>
      </w:r>
      <w:r>
        <w:rPr>
          <w:i/>
          <w:vertAlign w:val="subscript"/>
        </w:rPr>
        <w:t>2</w:t>
      </w:r>
      <w:r>
        <w:rPr>
          <w:i/>
        </w:rPr>
        <w:t>)</w:t>
      </w:r>
    </w:p>
    <w:p w:rsidR="00642FB4" w:rsidRDefault="00642FB4">
      <w:pPr>
        <w:spacing w:before="60" w:after="60" w:line="288" w:lineRule="auto"/>
        <w:ind w:firstLine="720"/>
        <w:jc w:val="both"/>
      </w:pPr>
      <w:r>
        <w:t>У 2013 році загальний обсяг викидів SO</w:t>
      </w:r>
      <w:r>
        <w:rPr>
          <w:vertAlign w:val="subscript"/>
        </w:rPr>
        <w:t>x</w:t>
      </w:r>
      <w:r>
        <w:t xml:space="preserve"> досягнув 115,603 Мг які в основному походять від спалювання для опалення житлових приміщень та приготування їжі (95%), торговельного та інституційного опалення (3%).</w:t>
      </w:r>
    </w:p>
    <w:p w:rsidR="00642FB4" w:rsidRDefault="00642FB4">
      <w:pPr>
        <w:spacing w:before="60" w:after="60" w:line="288" w:lineRule="auto"/>
        <w:ind w:firstLine="720"/>
        <w:jc w:val="both"/>
      </w:pPr>
      <w:r>
        <w:t>Викиди SO</w:t>
      </w:r>
      <w:r>
        <w:rPr>
          <w:vertAlign w:val="subscript"/>
        </w:rPr>
        <w:t>x</w:t>
      </w:r>
      <w:r>
        <w:t xml:space="preserve">  в 2013 році збільшилися за рахунок включення в інвентар великої кількості мерій (10 мерій в 2012 році та 42 в 2013 році).</w:t>
      </w:r>
    </w:p>
    <w:p w:rsidR="00642FB4" w:rsidRDefault="00642FB4">
      <w:pPr>
        <w:spacing w:before="60" w:after="60" w:line="288" w:lineRule="auto"/>
        <w:jc w:val="both"/>
        <w:rPr>
          <w:sz w:val="23"/>
          <w:szCs w:val="23"/>
        </w:rPr>
      </w:pPr>
    </w:p>
    <w:p w:rsidR="00642FB4" w:rsidRDefault="00642FB4">
      <w:pPr>
        <w:spacing w:before="60" w:after="60" w:line="288" w:lineRule="auto"/>
        <w:jc w:val="center"/>
        <w:rPr>
          <w:noProof/>
          <w:sz w:val="23"/>
          <w:szCs w:val="23"/>
          <w:lang w:eastAsia="en-GB"/>
        </w:rPr>
      </w:pPr>
      <w:r>
        <w:rPr>
          <w:noProof/>
          <w:sz w:val="23"/>
          <w:szCs w:val="23"/>
          <w:lang w:eastAsia="en-GB"/>
        </w:rPr>
        <w:br w:type="page"/>
      </w:r>
    </w:p>
    <w:p w:rsidR="00642FB4" w:rsidRPr="00B521A8" w:rsidRDefault="00642FB4" w:rsidP="00B521A8">
      <w:pPr>
        <w:jc w:val="center"/>
        <w:rPr>
          <w:rFonts w:cs="Arial"/>
        </w:rPr>
      </w:pPr>
      <w:bookmarkStart w:id="15" w:name="bookmark0"/>
      <w:r w:rsidRPr="00B521A8">
        <w:rPr>
          <w:rFonts w:cs="Arial"/>
        </w:rPr>
        <w:t>Річні викиди</w:t>
      </w:r>
      <w:r w:rsidRPr="00B521A8">
        <w:rPr>
          <w:rFonts w:cs="Arial"/>
          <w:color w:val="000000"/>
        </w:rPr>
        <w:t xml:space="preserve"> SOx </w:t>
      </w:r>
      <w:r w:rsidRPr="00B521A8">
        <w:rPr>
          <w:rStyle w:val="Heading12MicrosoftSansSerif22ptItalic"/>
          <w:rFonts w:ascii="Arial" w:hAnsi="Arial" w:cs="Arial"/>
          <w:sz w:val="24"/>
          <w:szCs w:val="24"/>
        </w:rPr>
        <w:t>(%)</w:t>
      </w:r>
      <w:bookmarkEnd w:id="15"/>
    </w:p>
    <w:p w:rsidR="00642FB4" w:rsidRDefault="00642FB4"/>
    <w:tbl>
      <w:tblPr>
        <w:tblW w:w="0" w:type="auto"/>
        <w:tblLook w:val="04A0" w:firstRow="1" w:lastRow="0" w:firstColumn="1" w:lastColumn="0" w:noHBand="0" w:noVBand="1"/>
      </w:tblPr>
      <w:tblGrid>
        <w:gridCol w:w="4776"/>
        <w:gridCol w:w="4621"/>
      </w:tblGrid>
      <w:tr w:rsidR="00642FB4">
        <w:tc>
          <w:tcPr>
            <w:tcW w:w="4621" w:type="dxa"/>
            <w:shd w:val="clear" w:color="auto" w:fill="auto"/>
          </w:tcPr>
          <w:p w:rsidR="00642FB4" w:rsidRDefault="001C33BE">
            <w:pPr>
              <w:rPr>
                <w:sz w:val="2"/>
                <w:szCs w:val="2"/>
              </w:rPr>
            </w:pPr>
            <w:r>
              <w:rPr>
                <w:noProof/>
                <w:lang w:val="en-US" w:eastAsia="en-US"/>
              </w:rPr>
              <w:drawing>
                <wp:inline distT="0" distB="0" distL="0" distR="0" wp14:anchorId="76FB7833" wp14:editId="283F30E5">
                  <wp:extent cx="2870200" cy="3212465"/>
                  <wp:effectExtent l="19050" t="0" r="6350" b="0"/>
                  <wp:docPr id="9" name="Imagine 1" descr="Description: D:\Documents\My Documents\nadia\nadia traduceri\traduceri birouri\traducembine buc\needitabile\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 descr="Description: D:\Documents\My Documents\nadia\nadia traduceri\traduceri birouri\traducembine buc\needitabile\media\image1.jpeg"/>
                          <pic:cNvPicPr>
                            <a:picLocks noChangeAspect="1" noChangeArrowheads="1"/>
                          </pic:cNvPicPr>
                        </pic:nvPicPr>
                        <pic:blipFill>
                          <a:blip r:embed="rId18" cstate="print"/>
                          <a:srcRect/>
                          <a:stretch>
                            <a:fillRect/>
                          </a:stretch>
                        </pic:blipFill>
                        <pic:spPr bwMode="auto">
                          <a:xfrm>
                            <a:off x="0" y="0"/>
                            <a:ext cx="2870200" cy="3212465"/>
                          </a:xfrm>
                          <a:prstGeom prst="rect">
                            <a:avLst/>
                          </a:prstGeom>
                          <a:noFill/>
                          <a:ln w="9525">
                            <a:noFill/>
                            <a:miter lim="800000"/>
                            <a:headEnd/>
                            <a:tailEnd/>
                          </a:ln>
                        </pic:spPr>
                      </pic:pic>
                    </a:graphicData>
                  </a:graphic>
                </wp:inline>
              </w:drawing>
            </w:r>
          </w:p>
          <w:p w:rsidR="00642FB4" w:rsidRDefault="00642FB4">
            <w:pPr>
              <w:jc w:val="center"/>
            </w:pPr>
          </w:p>
        </w:tc>
        <w:tc>
          <w:tcPr>
            <w:tcW w:w="4621" w:type="dxa"/>
            <w:shd w:val="clear" w:color="auto" w:fill="auto"/>
          </w:tcPr>
          <w:p w:rsidR="00642FB4" w:rsidRDefault="00642FB4">
            <w:pPr>
              <w:numPr>
                <w:ilvl w:val="0"/>
                <w:numId w:val="72"/>
              </w:numPr>
              <w:jc w:val="both"/>
            </w:pPr>
            <w:r>
              <w:t xml:space="preserve">Виробництво електроенергії і тепловій енергії </w:t>
            </w:r>
          </w:p>
          <w:p w:rsidR="00642FB4" w:rsidRDefault="00642FB4">
            <w:pPr>
              <w:numPr>
                <w:ilvl w:val="0"/>
                <w:numId w:val="72"/>
              </w:numPr>
              <w:jc w:val="both"/>
            </w:pPr>
            <w:r>
              <w:t>Згоряння в переробній промисловості чавуна та сталі, залізосплавів</w:t>
            </w:r>
          </w:p>
          <w:p w:rsidR="00642FB4" w:rsidRDefault="00642FB4">
            <w:pPr>
              <w:numPr>
                <w:ilvl w:val="0"/>
                <w:numId w:val="72"/>
              </w:numPr>
              <w:jc w:val="both"/>
            </w:pPr>
            <w:r>
              <w:t>Згоряння в переробній промисловості кольорових металів</w:t>
            </w:r>
          </w:p>
          <w:p w:rsidR="00642FB4" w:rsidRDefault="00642FB4">
            <w:pPr>
              <w:numPr>
                <w:ilvl w:val="0"/>
                <w:numId w:val="72"/>
              </w:numPr>
              <w:jc w:val="both"/>
            </w:pPr>
            <w:r>
              <w:t>Згоряння у виробництві харчових продуктів, напоїв</w:t>
            </w:r>
          </w:p>
          <w:p w:rsidR="00642FB4" w:rsidRDefault="00642FB4">
            <w:pPr>
              <w:numPr>
                <w:ilvl w:val="0"/>
                <w:numId w:val="72"/>
              </w:numPr>
              <w:jc w:val="both"/>
            </w:pPr>
            <w:r>
              <w:t>Згоряння в обробній промисловості та будівництві - інші стаціонарні джерела</w:t>
            </w:r>
          </w:p>
          <w:p w:rsidR="00642FB4" w:rsidRDefault="00642FB4">
            <w:pPr>
              <w:numPr>
                <w:ilvl w:val="0"/>
                <w:numId w:val="72"/>
              </w:numPr>
              <w:jc w:val="both"/>
            </w:pPr>
            <w:r>
              <w:t>Спалювання для торговельного та інституційного опалення</w:t>
            </w:r>
          </w:p>
          <w:p w:rsidR="00642FB4" w:rsidRDefault="00642FB4">
            <w:pPr>
              <w:numPr>
                <w:ilvl w:val="0"/>
                <w:numId w:val="72"/>
              </w:numPr>
              <w:jc w:val="both"/>
            </w:pPr>
            <w:r>
              <w:t xml:space="preserve"> Спалювання для опалення житлових приміщень та приготування їжі</w:t>
            </w:r>
          </w:p>
          <w:p w:rsidR="00642FB4" w:rsidRDefault="00642FB4"/>
        </w:tc>
      </w:tr>
    </w:tbl>
    <w:p w:rsidR="00642FB4" w:rsidRDefault="00642FB4">
      <w:pPr>
        <w:spacing w:before="60" w:after="60" w:line="288" w:lineRule="auto"/>
        <w:jc w:val="center"/>
        <w:rPr>
          <w:sz w:val="23"/>
          <w:szCs w:val="23"/>
        </w:rPr>
      </w:pPr>
    </w:p>
    <w:p w:rsidR="00642FB4" w:rsidRDefault="00642FB4">
      <w:pPr>
        <w:spacing w:before="60" w:after="60" w:line="288" w:lineRule="auto"/>
        <w:jc w:val="center"/>
        <w:rPr>
          <w:sz w:val="22"/>
          <w:szCs w:val="22"/>
        </w:rPr>
      </w:pPr>
      <w:r>
        <w:rPr>
          <w:b/>
          <w:i/>
          <w:sz w:val="22"/>
        </w:rPr>
        <w:t>Рисунок 4.1.1</w:t>
      </w:r>
      <w:r>
        <w:rPr>
          <w:sz w:val="22"/>
        </w:rPr>
        <w:t xml:space="preserve">  Річні викиди SO</w:t>
      </w:r>
      <w:r>
        <w:rPr>
          <w:sz w:val="22"/>
          <w:vertAlign w:val="subscript"/>
        </w:rPr>
        <w:t>x</w:t>
      </w:r>
    </w:p>
    <w:p w:rsidR="00642FB4" w:rsidRDefault="00642FB4">
      <w:pPr>
        <w:spacing w:before="60" w:after="60" w:line="288" w:lineRule="auto"/>
        <w:ind w:firstLine="630"/>
        <w:jc w:val="both"/>
        <w:rPr>
          <w:i/>
        </w:rPr>
      </w:pPr>
    </w:p>
    <w:p w:rsidR="00642FB4" w:rsidRDefault="00642FB4">
      <w:pPr>
        <w:spacing w:before="60" w:after="60" w:line="288" w:lineRule="auto"/>
        <w:ind w:firstLine="630"/>
        <w:jc w:val="both"/>
        <w:rPr>
          <w:i/>
        </w:rPr>
      </w:pPr>
      <w:r>
        <w:rPr>
          <w:i/>
        </w:rPr>
        <w:t>Оксиди азоту (NO</w:t>
      </w:r>
      <w:r>
        <w:rPr>
          <w:i/>
          <w:vertAlign w:val="subscript"/>
        </w:rPr>
        <w:t>x</w:t>
      </w:r>
      <w:r>
        <w:rPr>
          <w:i/>
        </w:rPr>
        <w:t xml:space="preserve">) </w:t>
      </w:r>
    </w:p>
    <w:p w:rsidR="00642FB4" w:rsidRDefault="00642FB4">
      <w:pPr>
        <w:spacing w:before="60" w:after="60" w:line="288" w:lineRule="auto"/>
        <w:ind w:firstLine="720"/>
        <w:jc w:val="both"/>
      </w:pPr>
      <w:r>
        <w:t>У 2013 році загальний обсяг викидів NO</w:t>
      </w:r>
      <w:r>
        <w:rPr>
          <w:vertAlign w:val="subscript"/>
        </w:rPr>
        <w:t>x</w:t>
      </w:r>
      <w:r>
        <w:t xml:space="preserve"> досягнув 1 335,530 Мг, які в основному походять від дорожнього руху (68%), спалювання для опалення житлових приміщень та приготування їжі (24%), торговельного та інституційного опалення (7%). Загальний обсяг викидів NO</w:t>
      </w:r>
      <w:r>
        <w:rPr>
          <w:vertAlign w:val="subscript"/>
        </w:rPr>
        <w:t>x</w:t>
      </w:r>
      <w:r>
        <w:t xml:space="preserve"> знизився в порівнянні з попереднім роком на 53,06% у зв'язку зі зменшенням  викидів від дорожнього руху.</w:t>
      </w:r>
    </w:p>
    <w:p w:rsidR="00642FB4" w:rsidRDefault="00642FB4">
      <w:pPr>
        <w:jc w:val="center"/>
      </w:pPr>
      <w:r>
        <w:t>Річні викиди NOx (%)</w:t>
      </w:r>
    </w:p>
    <w:p w:rsidR="00642FB4" w:rsidRDefault="00642FB4">
      <w:pPr>
        <w:jc w:val="center"/>
      </w:pPr>
    </w:p>
    <w:tbl>
      <w:tblPr>
        <w:tblW w:w="0" w:type="auto"/>
        <w:tblLook w:val="04A0" w:firstRow="1" w:lastRow="0" w:firstColumn="1" w:lastColumn="0" w:noHBand="0" w:noVBand="1"/>
      </w:tblPr>
      <w:tblGrid>
        <w:gridCol w:w="5718"/>
        <w:gridCol w:w="4420"/>
      </w:tblGrid>
      <w:tr w:rsidR="00642FB4">
        <w:tc>
          <w:tcPr>
            <w:tcW w:w="4621" w:type="dxa"/>
            <w:shd w:val="clear" w:color="auto" w:fill="auto"/>
          </w:tcPr>
          <w:p w:rsidR="00642FB4" w:rsidRDefault="001C33BE">
            <w:pPr>
              <w:rPr>
                <w:sz w:val="2"/>
                <w:szCs w:val="2"/>
              </w:rPr>
            </w:pPr>
            <w:r>
              <w:rPr>
                <w:noProof/>
                <w:lang w:val="en-US" w:eastAsia="en-US"/>
              </w:rPr>
              <w:drawing>
                <wp:inline distT="0" distB="0" distL="0" distR="0" wp14:anchorId="1B43781E" wp14:editId="0663CFD9">
                  <wp:extent cx="3474720" cy="3339465"/>
                  <wp:effectExtent l="19050" t="0" r="0" b="0"/>
                  <wp:docPr id="10" name="Imagine 2" descr="Description: D:\Documents\My Documents\nadia\nadia traduceri\traduceri birouri\traducembine buc\needitabile\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2" descr="Description: D:\Documents\My Documents\nadia\nadia traduceri\traduceri birouri\traducembine buc\needitabile\media\image1.jpeg"/>
                          <pic:cNvPicPr>
                            <a:picLocks noChangeAspect="1" noChangeArrowheads="1"/>
                          </pic:cNvPicPr>
                        </pic:nvPicPr>
                        <pic:blipFill>
                          <a:blip r:embed="rId19" cstate="print"/>
                          <a:srcRect/>
                          <a:stretch>
                            <a:fillRect/>
                          </a:stretch>
                        </pic:blipFill>
                        <pic:spPr bwMode="auto">
                          <a:xfrm>
                            <a:off x="0" y="0"/>
                            <a:ext cx="3474720" cy="3339465"/>
                          </a:xfrm>
                          <a:prstGeom prst="rect">
                            <a:avLst/>
                          </a:prstGeom>
                          <a:noFill/>
                          <a:ln w="9525">
                            <a:noFill/>
                            <a:miter lim="800000"/>
                            <a:headEnd/>
                            <a:tailEnd/>
                          </a:ln>
                        </pic:spPr>
                      </pic:pic>
                    </a:graphicData>
                  </a:graphic>
                </wp:inline>
              </w:drawing>
            </w:r>
          </w:p>
          <w:p w:rsidR="00642FB4" w:rsidRDefault="00642FB4">
            <w:pPr>
              <w:jc w:val="center"/>
            </w:pPr>
          </w:p>
        </w:tc>
        <w:tc>
          <w:tcPr>
            <w:tcW w:w="4621" w:type="dxa"/>
            <w:shd w:val="clear" w:color="auto" w:fill="auto"/>
          </w:tcPr>
          <w:p w:rsidR="00642FB4" w:rsidRDefault="00642FB4">
            <w:pPr>
              <w:numPr>
                <w:ilvl w:val="0"/>
                <w:numId w:val="73"/>
              </w:numPr>
              <w:jc w:val="both"/>
            </w:pPr>
            <w:r>
              <w:t>Виробництво електроенергії і тепловій енергії</w:t>
            </w:r>
          </w:p>
          <w:p w:rsidR="00642FB4" w:rsidRDefault="00642FB4">
            <w:pPr>
              <w:numPr>
                <w:ilvl w:val="0"/>
                <w:numId w:val="73"/>
              </w:numPr>
              <w:jc w:val="both"/>
            </w:pPr>
            <w:r>
              <w:t>Згоряння в переробній промисловості чавуна та сталі</w:t>
            </w:r>
          </w:p>
          <w:p w:rsidR="00642FB4" w:rsidRDefault="00642FB4">
            <w:pPr>
              <w:numPr>
                <w:ilvl w:val="0"/>
                <w:numId w:val="73"/>
              </w:numPr>
              <w:jc w:val="both"/>
            </w:pPr>
            <w:r>
              <w:t>Спалювання в переробній промисловості кольорових металів</w:t>
            </w:r>
          </w:p>
          <w:p w:rsidR="00642FB4" w:rsidRDefault="00642FB4">
            <w:pPr>
              <w:numPr>
                <w:ilvl w:val="0"/>
                <w:numId w:val="73"/>
              </w:numPr>
              <w:jc w:val="both"/>
            </w:pPr>
            <w:r>
              <w:t>Згоряння у виробництві харчових продуктів, напоїв</w:t>
            </w:r>
          </w:p>
          <w:p w:rsidR="00642FB4" w:rsidRDefault="00642FB4">
            <w:pPr>
              <w:numPr>
                <w:ilvl w:val="0"/>
                <w:numId w:val="73"/>
              </w:numPr>
              <w:jc w:val="both"/>
            </w:pPr>
            <w:r>
              <w:t>Згоряння в обробній промисловості та будівництві - інші стаціонарні джерела</w:t>
            </w:r>
          </w:p>
          <w:p w:rsidR="00642FB4" w:rsidRDefault="00642FB4">
            <w:pPr>
              <w:numPr>
                <w:ilvl w:val="0"/>
                <w:numId w:val="73"/>
              </w:numPr>
              <w:jc w:val="both"/>
            </w:pPr>
            <w:r>
              <w:t>мобільна техніка та обладнання в промисловості</w:t>
            </w:r>
          </w:p>
          <w:p w:rsidR="00642FB4" w:rsidRDefault="00642FB4">
            <w:pPr>
              <w:numPr>
                <w:ilvl w:val="0"/>
                <w:numId w:val="73"/>
              </w:numPr>
              <w:jc w:val="both"/>
            </w:pPr>
            <w:r>
              <w:t>Спалювання для торговельного та інституційного опалення</w:t>
            </w:r>
          </w:p>
          <w:p w:rsidR="00642FB4" w:rsidRDefault="00642FB4">
            <w:pPr>
              <w:numPr>
                <w:ilvl w:val="0"/>
                <w:numId w:val="73"/>
              </w:numPr>
              <w:jc w:val="both"/>
            </w:pPr>
            <w:r>
              <w:t>Мобільна техніка та обладнання в комерційній діяльності та діяльності установ</w:t>
            </w:r>
          </w:p>
          <w:p w:rsidR="00642FB4" w:rsidRDefault="00642FB4">
            <w:pPr>
              <w:numPr>
                <w:ilvl w:val="0"/>
                <w:numId w:val="73"/>
              </w:numPr>
              <w:jc w:val="both"/>
            </w:pPr>
            <w:r>
              <w:t>Спалювання для опалення житлових приміщень та приготування їжі</w:t>
            </w:r>
          </w:p>
          <w:p w:rsidR="00642FB4" w:rsidRDefault="00642FB4">
            <w:pPr>
              <w:numPr>
                <w:ilvl w:val="0"/>
                <w:numId w:val="73"/>
              </w:numPr>
              <w:jc w:val="both"/>
            </w:pPr>
            <w:r>
              <w:t>Згорання від позашляхових мобільних т.з. та іншої мобільної техніки в сільському господарстві</w:t>
            </w:r>
          </w:p>
          <w:p w:rsidR="00642FB4" w:rsidRDefault="00642FB4">
            <w:pPr>
              <w:numPr>
                <w:ilvl w:val="0"/>
                <w:numId w:val="73"/>
              </w:numPr>
              <w:jc w:val="both"/>
            </w:pPr>
            <w:r>
              <w:t>Дорожній транспорт</w:t>
            </w:r>
          </w:p>
          <w:p w:rsidR="00642FB4" w:rsidRDefault="00642FB4"/>
        </w:tc>
      </w:tr>
    </w:tbl>
    <w:p w:rsidR="00642FB4" w:rsidRDefault="00642FB4">
      <w:pPr>
        <w:spacing w:before="60" w:after="60" w:line="288" w:lineRule="auto"/>
        <w:jc w:val="center"/>
        <w:rPr>
          <w:sz w:val="23"/>
          <w:szCs w:val="23"/>
        </w:rPr>
      </w:pPr>
    </w:p>
    <w:p w:rsidR="00642FB4" w:rsidRDefault="00642FB4">
      <w:pPr>
        <w:spacing w:before="60" w:after="60" w:line="288" w:lineRule="auto"/>
        <w:jc w:val="center"/>
        <w:rPr>
          <w:sz w:val="22"/>
          <w:szCs w:val="22"/>
        </w:rPr>
      </w:pPr>
      <w:r>
        <w:rPr>
          <w:b/>
          <w:i/>
          <w:sz w:val="22"/>
        </w:rPr>
        <w:t>Рисунок 4.1.2</w:t>
      </w:r>
      <w:r>
        <w:rPr>
          <w:sz w:val="22"/>
        </w:rPr>
        <w:t xml:space="preserve">  Річні викиди NO</w:t>
      </w:r>
      <w:r>
        <w:rPr>
          <w:sz w:val="22"/>
          <w:vertAlign w:val="subscript"/>
        </w:rPr>
        <w:t>x</w:t>
      </w:r>
    </w:p>
    <w:p w:rsidR="00642FB4" w:rsidRDefault="00642FB4">
      <w:pPr>
        <w:spacing w:before="60" w:after="60" w:line="288" w:lineRule="auto"/>
        <w:jc w:val="both"/>
        <w:rPr>
          <w:b/>
        </w:rPr>
      </w:pPr>
    </w:p>
    <w:p w:rsidR="00642FB4" w:rsidRDefault="00642FB4">
      <w:pPr>
        <w:autoSpaceDE w:val="0"/>
        <w:autoSpaceDN w:val="0"/>
        <w:adjustRightInd w:val="0"/>
        <w:spacing w:before="60" w:after="60" w:line="288" w:lineRule="auto"/>
        <w:ind w:firstLine="720"/>
        <w:jc w:val="both"/>
        <w:rPr>
          <w:rFonts w:eastAsia="Calibri" w:cs="Arial"/>
          <w:color w:val="000000"/>
        </w:rPr>
      </w:pPr>
      <w:r>
        <w:rPr>
          <w:color w:val="000000"/>
        </w:rPr>
        <w:t xml:space="preserve">У 2013 році кількість енергії, виробленої в когенерації АТ МОДЕРН КАЛОР ТТ досягнула 135.807 МВт-г, з яких 73.940 МВт-г теплової енергії та 61.867 МВт-г електроенергії. </w:t>
      </w:r>
    </w:p>
    <w:p w:rsidR="00642FB4" w:rsidRDefault="00642FB4">
      <w:pPr>
        <w:autoSpaceDE w:val="0"/>
        <w:autoSpaceDN w:val="0"/>
        <w:adjustRightInd w:val="0"/>
        <w:spacing w:before="60" w:after="60" w:line="288" w:lineRule="auto"/>
        <w:ind w:firstLine="720"/>
        <w:jc w:val="both"/>
        <w:rPr>
          <w:rFonts w:eastAsia="Calibri" w:cs="Arial"/>
          <w:color w:val="000000"/>
        </w:rPr>
      </w:pPr>
      <w:r>
        <w:rPr>
          <w:color w:val="000000"/>
        </w:rPr>
        <w:t xml:space="preserve">На рівні 2013 року, моніторинг якості повітря здійснювався наступним чином: </w:t>
      </w:r>
    </w:p>
    <w:p w:rsidR="00642FB4" w:rsidRDefault="00642FB4">
      <w:pPr>
        <w:numPr>
          <w:ilvl w:val="0"/>
          <w:numId w:val="4"/>
        </w:numPr>
        <w:autoSpaceDE w:val="0"/>
        <w:autoSpaceDN w:val="0"/>
        <w:adjustRightInd w:val="0"/>
        <w:spacing w:before="60" w:after="60" w:line="288" w:lineRule="auto"/>
        <w:ind w:left="1080"/>
        <w:contextualSpacing/>
        <w:jc w:val="both"/>
        <w:rPr>
          <w:rFonts w:eastAsia="Calibri" w:cs="Arial"/>
          <w:color w:val="000000"/>
        </w:rPr>
      </w:pPr>
      <w:r>
        <w:rPr>
          <w:color w:val="000000"/>
        </w:rPr>
        <w:t>за допомогою безперервних вимірювань автоматичної міської станції, для наступних забруднюючих речовин: SO</w:t>
      </w:r>
      <w:r>
        <w:rPr>
          <w:color w:val="000000"/>
          <w:vertAlign w:val="subscript"/>
        </w:rPr>
        <w:t>2</w:t>
      </w:r>
      <w:r>
        <w:rPr>
          <w:color w:val="000000"/>
        </w:rPr>
        <w:t>, O</w:t>
      </w:r>
      <w:r>
        <w:rPr>
          <w:color w:val="000000"/>
          <w:vertAlign w:val="subscript"/>
        </w:rPr>
        <w:t>3</w:t>
      </w:r>
      <w:r>
        <w:rPr>
          <w:color w:val="000000"/>
        </w:rPr>
        <w:t>, COV-BTEX та PM</w:t>
      </w:r>
      <w:r>
        <w:rPr>
          <w:color w:val="000000"/>
          <w:vertAlign w:val="subscript"/>
        </w:rPr>
        <w:t>10</w:t>
      </w:r>
      <w:r>
        <w:rPr>
          <w:color w:val="000000"/>
        </w:rPr>
        <w:t xml:space="preserve">; </w:t>
      </w:r>
    </w:p>
    <w:p w:rsidR="00642FB4" w:rsidRDefault="00642FB4">
      <w:pPr>
        <w:numPr>
          <w:ilvl w:val="0"/>
          <w:numId w:val="4"/>
        </w:numPr>
        <w:autoSpaceDE w:val="0"/>
        <w:autoSpaceDN w:val="0"/>
        <w:adjustRightInd w:val="0"/>
        <w:spacing w:before="60" w:after="60" w:line="288" w:lineRule="auto"/>
        <w:ind w:left="1080"/>
        <w:contextualSpacing/>
        <w:jc w:val="both"/>
        <w:rPr>
          <w:rFonts w:eastAsia="Calibri" w:cs="Arial"/>
          <w:color w:val="000000"/>
        </w:rPr>
      </w:pPr>
      <w:r>
        <w:rPr>
          <w:color w:val="000000"/>
        </w:rPr>
        <w:t>за допомогою гравіметричних вимірювань – для твердих частинок (PM</w:t>
      </w:r>
      <w:r>
        <w:rPr>
          <w:color w:val="000000"/>
          <w:vertAlign w:val="subscript"/>
        </w:rPr>
        <w:t>10</w:t>
      </w:r>
      <w:r>
        <w:rPr>
          <w:color w:val="000000"/>
        </w:rPr>
        <w:t xml:space="preserve"> та PM</w:t>
      </w:r>
      <w:r>
        <w:rPr>
          <w:color w:val="000000"/>
          <w:vertAlign w:val="subscript"/>
        </w:rPr>
        <w:t>2,5</w:t>
      </w:r>
      <w:r>
        <w:rPr>
          <w:color w:val="000000"/>
        </w:rPr>
        <w:t xml:space="preserve">); </w:t>
      </w:r>
    </w:p>
    <w:p w:rsidR="00642FB4" w:rsidRDefault="00642FB4">
      <w:pPr>
        <w:numPr>
          <w:ilvl w:val="0"/>
          <w:numId w:val="4"/>
        </w:numPr>
        <w:autoSpaceDE w:val="0"/>
        <w:autoSpaceDN w:val="0"/>
        <w:adjustRightInd w:val="0"/>
        <w:spacing w:before="60" w:after="60" w:line="288" w:lineRule="auto"/>
        <w:ind w:left="1080"/>
        <w:contextualSpacing/>
        <w:jc w:val="both"/>
        <w:rPr>
          <w:rFonts w:eastAsia="Calibri" w:cs="Arial"/>
          <w:color w:val="000000"/>
        </w:rPr>
      </w:pPr>
      <w:r>
        <w:rPr>
          <w:color w:val="000000"/>
        </w:rPr>
        <w:t>Якість опадів у точці АОД Ботошань, з моніторингом наступних забруднювачів: pH, провідність, лужність/кислотність, твердість, SO</w:t>
      </w:r>
      <w:r>
        <w:rPr>
          <w:color w:val="000000"/>
          <w:vertAlign w:val="subscript"/>
        </w:rPr>
        <w:t>4</w:t>
      </w:r>
      <w:r>
        <w:rPr>
          <w:color w:val="000000"/>
          <w:vertAlign w:val="superscript"/>
        </w:rPr>
        <w:t>2</w:t>
      </w:r>
      <w:r>
        <w:rPr>
          <w:b/>
          <w:color w:val="000000"/>
          <w:vertAlign w:val="superscript"/>
        </w:rPr>
        <w:t>-</w:t>
      </w:r>
      <w:r>
        <w:rPr>
          <w:color w:val="000000"/>
        </w:rPr>
        <w:t>, NO</w:t>
      </w:r>
      <w:r>
        <w:rPr>
          <w:color w:val="000000"/>
          <w:vertAlign w:val="superscript"/>
        </w:rPr>
        <w:t>2-</w:t>
      </w:r>
      <w:r>
        <w:rPr>
          <w:color w:val="000000"/>
        </w:rPr>
        <w:t>, NO</w:t>
      </w:r>
      <w:r>
        <w:rPr>
          <w:color w:val="000000"/>
          <w:vertAlign w:val="superscript"/>
        </w:rPr>
        <w:t>3-</w:t>
      </w:r>
      <w:r>
        <w:rPr>
          <w:color w:val="000000"/>
        </w:rPr>
        <w:t>, NH</w:t>
      </w:r>
      <w:r>
        <w:rPr>
          <w:color w:val="000000"/>
          <w:vertAlign w:val="superscript"/>
        </w:rPr>
        <w:t>4-</w:t>
      </w:r>
      <w:r>
        <w:rPr>
          <w:color w:val="000000"/>
        </w:rPr>
        <w:t>, Cl</w:t>
      </w:r>
      <w:r>
        <w:rPr>
          <w:color w:val="000000"/>
          <w:vertAlign w:val="superscript"/>
        </w:rPr>
        <w:t>-</w:t>
      </w:r>
      <w:r>
        <w:rPr>
          <w:color w:val="000000"/>
        </w:rPr>
        <w:t>, Ca</w:t>
      </w:r>
      <w:r>
        <w:rPr>
          <w:color w:val="000000"/>
          <w:vertAlign w:val="superscript"/>
        </w:rPr>
        <w:t>2+</w:t>
      </w:r>
      <w:r>
        <w:rPr>
          <w:color w:val="000000"/>
        </w:rPr>
        <w:t xml:space="preserve"> та Mg</w:t>
      </w:r>
      <w:r>
        <w:rPr>
          <w:color w:val="000000"/>
          <w:vertAlign w:val="superscript"/>
        </w:rPr>
        <w:t>2+</w:t>
      </w:r>
      <w:r>
        <w:rPr>
          <w:color w:val="000000"/>
        </w:rPr>
        <w:t xml:space="preserve">. </w:t>
      </w:r>
    </w:p>
    <w:p w:rsidR="00642FB4" w:rsidRDefault="00642FB4">
      <w:pPr>
        <w:autoSpaceDE w:val="0"/>
        <w:autoSpaceDN w:val="0"/>
        <w:adjustRightInd w:val="0"/>
        <w:spacing w:before="60" w:after="60" w:line="288" w:lineRule="auto"/>
        <w:jc w:val="both"/>
        <w:rPr>
          <w:rFonts w:eastAsia="Calibri" w:cs="Arial"/>
          <w:color w:val="000000"/>
        </w:rPr>
      </w:pPr>
    </w:p>
    <w:p w:rsidR="00642FB4" w:rsidRDefault="00642FB4">
      <w:pPr>
        <w:spacing w:before="60" w:after="60" w:line="288" w:lineRule="auto"/>
        <w:ind w:firstLine="720"/>
        <w:jc w:val="both"/>
        <w:rPr>
          <w:rFonts w:eastAsia="Calibri" w:cs="Arial"/>
          <w:color w:val="000000"/>
        </w:rPr>
      </w:pPr>
      <w:r>
        <w:rPr>
          <w:color w:val="000000"/>
        </w:rPr>
        <w:t>Міська станція, яка призначена для оцінки якості повітря, знаходиться на достатній відстані від точкових або мобільних джерел, вона розташована в житловому районі з високою щільністю населення.</w:t>
      </w:r>
    </w:p>
    <w:p w:rsidR="00642FB4" w:rsidRDefault="00642FB4">
      <w:pPr>
        <w:spacing w:before="60" w:after="60" w:line="288" w:lineRule="auto"/>
        <w:ind w:firstLine="720"/>
        <w:jc w:val="both"/>
        <w:rPr>
          <w:rFonts w:eastAsia="Calibri" w:cs="Arial"/>
          <w:i/>
          <w:color w:val="000000"/>
        </w:rPr>
      </w:pPr>
    </w:p>
    <w:p w:rsidR="00642FB4" w:rsidRDefault="00642FB4">
      <w:pPr>
        <w:spacing w:before="60" w:after="60" w:line="288" w:lineRule="auto"/>
        <w:ind w:firstLine="720"/>
        <w:jc w:val="both"/>
        <w:rPr>
          <w:rFonts w:eastAsia="Calibri" w:cs="Arial"/>
          <w:i/>
          <w:color w:val="000000"/>
        </w:rPr>
      </w:pPr>
      <w:r>
        <w:rPr>
          <w:i/>
          <w:color w:val="000000"/>
        </w:rPr>
        <w:t>Діоксид азоту</w:t>
      </w:r>
    </w:p>
    <w:p w:rsidR="00642FB4" w:rsidRDefault="00642FB4">
      <w:pPr>
        <w:spacing w:before="60" w:after="60" w:line="288" w:lineRule="auto"/>
        <w:ind w:firstLine="720"/>
        <w:jc w:val="both"/>
        <w:rPr>
          <w:rFonts w:eastAsia="Calibri" w:cs="Arial"/>
          <w:color w:val="000000"/>
        </w:rPr>
      </w:pPr>
      <w:r>
        <w:rPr>
          <w:color w:val="000000"/>
        </w:rPr>
        <w:t>У 2013 році були виконані безперервні вимірювання за допомогою Автоматичної станції моніторингу якості повітря (в Ботошань), тому що аналізатор NO</w:t>
      </w:r>
      <w:r>
        <w:rPr>
          <w:color w:val="000000"/>
          <w:vertAlign w:val="subscript"/>
        </w:rPr>
        <w:t>x</w:t>
      </w:r>
      <w:r>
        <w:rPr>
          <w:color w:val="000000"/>
        </w:rPr>
        <w:t xml:space="preserve"> був несправний.</w:t>
      </w:r>
    </w:p>
    <w:p w:rsidR="00642FB4" w:rsidRDefault="00642FB4">
      <w:pPr>
        <w:spacing w:before="60" w:after="60" w:line="288" w:lineRule="auto"/>
        <w:ind w:firstLine="630"/>
        <w:jc w:val="both"/>
        <w:rPr>
          <w:rFonts w:eastAsia="Calibri" w:cs="Arial"/>
          <w:i/>
          <w:color w:val="000000"/>
        </w:rPr>
      </w:pPr>
    </w:p>
    <w:p w:rsidR="00642FB4" w:rsidRDefault="00642FB4">
      <w:pPr>
        <w:spacing w:before="60" w:after="60" w:line="288" w:lineRule="auto"/>
        <w:ind w:firstLine="630"/>
        <w:jc w:val="both"/>
        <w:rPr>
          <w:rFonts w:eastAsia="Calibri" w:cs="Arial"/>
          <w:i/>
          <w:color w:val="000000"/>
        </w:rPr>
      </w:pPr>
      <w:r>
        <w:rPr>
          <w:i/>
          <w:color w:val="000000"/>
        </w:rPr>
        <w:t>Діоксид сірки</w:t>
      </w:r>
    </w:p>
    <w:p w:rsidR="00642FB4" w:rsidRDefault="00642FB4">
      <w:pPr>
        <w:spacing w:before="60" w:after="60" w:line="288" w:lineRule="auto"/>
        <w:ind w:firstLine="720"/>
        <w:jc w:val="both"/>
        <w:rPr>
          <w:rFonts w:eastAsia="Calibri" w:cs="Arial"/>
          <w:color w:val="000000"/>
        </w:rPr>
      </w:pPr>
      <w:r>
        <w:rPr>
          <w:color w:val="000000"/>
        </w:rPr>
        <w:t>На показникові діоксиду сірки, записані значення були значно нижче погодинного граничного значення (350.μ/м</w:t>
      </w:r>
      <w:r>
        <w:rPr>
          <w:color w:val="000000"/>
          <w:vertAlign w:val="superscript"/>
        </w:rPr>
        <w:t>3</w:t>
      </w:r>
      <w:r>
        <w:rPr>
          <w:color w:val="000000"/>
        </w:rPr>
        <w:t>), але також і  нижче денного граничного значення (125 мг/м</w:t>
      </w:r>
      <w:r>
        <w:rPr>
          <w:color w:val="000000"/>
          <w:vertAlign w:val="superscript"/>
        </w:rPr>
        <w:t>3</w:t>
      </w:r>
      <w:r>
        <w:rPr>
          <w:color w:val="000000"/>
        </w:rPr>
        <w:t xml:space="preserve">) для захисту здоров'я людини, відповідно до Закону № 104/2011, про Якість Повітря. </w:t>
      </w:r>
    </w:p>
    <w:p w:rsidR="00642FB4" w:rsidRDefault="00642FB4">
      <w:pPr>
        <w:spacing w:before="60" w:after="60" w:line="288" w:lineRule="auto"/>
        <w:ind w:firstLine="720"/>
        <w:jc w:val="both"/>
        <w:rPr>
          <w:rFonts w:eastAsia="Calibri" w:cs="Arial"/>
          <w:color w:val="000000"/>
        </w:rPr>
      </w:pPr>
      <w:r>
        <w:rPr>
          <w:color w:val="000000"/>
        </w:rPr>
        <w:t>Не було зафіксовано ніяких перевищень аварійного порога 500 мг/м3, виміряний протягом 3 годин поспіль.</w:t>
      </w:r>
    </w:p>
    <w:p w:rsidR="00642FB4" w:rsidRDefault="00642FB4">
      <w:pPr>
        <w:spacing w:before="60" w:after="60" w:line="288" w:lineRule="auto"/>
        <w:ind w:firstLine="630"/>
        <w:jc w:val="both"/>
        <w:rPr>
          <w:rFonts w:eastAsia="Calibri" w:cs="Arial"/>
          <w:i/>
          <w:color w:val="000000"/>
        </w:rPr>
      </w:pPr>
    </w:p>
    <w:p w:rsidR="00642FB4" w:rsidRDefault="00642FB4">
      <w:pPr>
        <w:spacing w:before="60" w:after="60" w:line="288" w:lineRule="auto"/>
        <w:ind w:firstLine="630"/>
        <w:jc w:val="both"/>
        <w:rPr>
          <w:rFonts w:eastAsia="Calibri" w:cs="Arial"/>
          <w:i/>
          <w:color w:val="000000"/>
        </w:rPr>
      </w:pPr>
    </w:p>
    <w:p w:rsidR="00642FB4" w:rsidRDefault="00642FB4">
      <w:pPr>
        <w:spacing w:before="60" w:after="60" w:line="288" w:lineRule="auto"/>
        <w:ind w:firstLine="630"/>
        <w:jc w:val="both"/>
        <w:rPr>
          <w:rFonts w:eastAsia="Calibri" w:cs="Arial"/>
          <w:i/>
          <w:color w:val="000000"/>
        </w:rPr>
      </w:pPr>
      <w:r>
        <w:rPr>
          <w:i/>
          <w:color w:val="000000"/>
        </w:rPr>
        <w:t>Тверді частинки</w:t>
      </w:r>
    </w:p>
    <w:p w:rsidR="00642FB4" w:rsidRDefault="00642FB4">
      <w:pPr>
        <w:spacing w:before="60" w:after="60" w:line="288" w:lineRule="auto"/>
        <w:ind w:firstLine="720"/>
        <w:jc w:val="both"/>
        <w:rPr>
          <w:rFonts w:eastAsia="Calibri" w:cs="Arial"/>
          <w:color w:val="000000"/>
        </w:rPr>
      </w:pPr>
      <w:r>
        <w:rPr>
          <w:color w:val="000000"/>
        </w:rPr>
        <w:t>У 2013 році, частота перевищення денного граничного значення для захисту здоров'я людини в PM</w:t>
      </w:r>
      <w:r>
        <w:rPr>
          <w:color w:val="000000"/>
          <w:vertAlign w:val="subscript"/>
        </w:rPr>
        <w:t>10</w:t>
      </w:r>
      <w:r>
        <w:rPr>
          <w:color w:val="000000"/>
        </w:rPr>
        <w:t xml:space="preserve"> (50 мг / м</w:t>
      </w:r>
      <w:r>
        <w:rPr>
          <w:color w:val="000000"/>
          <w:vertAlign w:val="superscript"/>
        </w:rPr>
        <w:t>3</w:t>
      </w:r>
      <w:r>
        <w:rPr>
          <w:color w:val="000000"/>
        </w:rPr>
        <w:t>) досягнуло 6,86% та 14,09% для PM</w:t>
      </w:r>
      <w:r>
        <w:rPr>
          <w:color w:val="000000"/>
          <w:vertAlign w:val="subscript"/>
        </w:rPr>
        <w:t>10</w:t>
      </w:r>
      <w:r>
        <w:rPr>
          <w:color w:val="000000"/>
        </w:rPr>
        <w:t xml:space="preserve"> нефелометричний. Протягом 2013 року мали місце 23 порушень твердих частинок визначених ваговим методом. </w:t>
      </w:r>
    </w:p>
    <w:p w:rsidR="00642FB4" w:rsidRDefault="00642FB4">
      <w:pPr>
        <w:spacing w:before="60" w:after="60" w:line="288" w:lineRule="auto"/>
        <w:ind w:firstLine="720"/>
        <w:jc w:val="both"/>
        <w:rPr>
          <w:rFonts w:eastAsia="Calibri" w:cs="Arial"/>
          <w:color w:val="000000"/>
        </w:rPr>
      </w:pPr>
      <w:r>
        <w:rPr>
          <w:color w:val="000000"/>
        </w:rPr>
        <w:t>Ці порушення були викликані: дорожнім рухом, дорожніми роботами, експлуатацією електростанцій і метеорологічними умовами (атмосферним спокоєм), який сприяв підтримці забруднюючих речовин поблизу землі.</w:t>
      </w:r>
    </w:p>
    <w:p w:rsidR="00642FB4" w:rsidRDefault="00642FB4">
      <w:pPr>
        <w:spacing w:before="60" w:after="60" w:line="288" w:lineRule="auto"/>
        <w:ind w:firstLine="720"/>
        <w:jc w:val="both"/>
        <w:rPr>
          <w:rFonts w:eastAsia="Calibri" w:cs="Arial"/>
          <w:color w:val="000000"/>
        </w:rPr>
      </w:pPr>
      <w:r>
        <w:t>У 2013 році мали місце аварійні забруднення, з великим впливом на навколишнє середовище та громадян.</w:t>
      </w:r>
    </w:p>
    <w:p w:rsidR="00642FB4" w:rsidRDefault="00642FB4">
      <w:pPr>
        <w:spacing w:before="60" w:after="60" w:line="288" w:lineRule="auto"/>
        <w:jc w:val="both"/>
        <w:rPr>
          <w:b/>
        </w:rPr>
      </w:pPr>
    </w:p>
    <w:p w:rsidR="00642FB4" w:rsidRDefault="00642FB4">
      <w:pPr>
        <w:numPr>
          <w:ilvl w:val="0"/>
          <w:numId w:val="2"/>
        </w:numPr>
        <w:spacing w:before="60" w:after="60" w:line="288" w:lineRule="auto"/>
        <w:jc w:val="both"/>
        <w:rPr>
          <w:b/>
        </w:rPr>
      </w:pPr>
      <w:r>
        <w:rPr>
          <w:b/>
        </w:rPr>
        <w:t>Ґрунт</w:t>
      </w:r>
    </w:p>
    <w:p w:rsidR="00642FB4" w:rsidRDefault="00642FB4">
      <w:pPr>
        <w:spacing w:before="60" w:after="60" w:line="288" w:lineRule="auto"/>
        <w:ind w:firstLine="720"/>
        <w:jc w:val="both"/>
      </w:pPr>
      <w:r>
        <w:t>Згідно з даними, наданими Управлінням сільського господарства повіту Ботошань, еволюція розподілу по категоріям землекористування, з 2008 по 2013 р. є наступною:</w:t>
      </w:r>
    </w:p>
    <w:p w:rsidR="00642FB4" w:rsidRDefault="00642FB4">
      <w:pPr>
        <w:spacing w:before="60" w:after="60" w:line="288" w:lineRule="auto"/>
        <w:ind w:firstLine="720"/>
        <w:jc w:val="both"/>
      </w:pPr>
    </w:p>
    <w:p w:rsidR="00642FB4" w:rsidRDefault="00642FB4">
      <w:pPr>
        <w:autoSpaceDE w:val="0"/>
        <w:autoSpaceDN w:val="0"/>
        <w:adjustRightInd w:val="0"/>
        <w:spacing w:before="60" w:after="60" w:line="288" w:lineRule="auto"/>
        <w:ind w:left="360"/>
        <w:jc w:val="center"/>
        <w:rPr>
          <w:b/>
          <w:bCs/>
          <w:iCs/>
          <w:sz w:val="22"/>
          <w:szCs w:val="22"/>
        </w:rPr>
      </w:pPr>
      <w:r>
        <w:rPr>
          <w:b/>
          <w:i/>
          <w:sz w:val="22"/>
        </w:rPr>
        <w:t xml:space="preserve">Таблиця 4.1.1  </w:t>
      </w:r>
      <w:r>
        <w:rPr>
          <w:sz w:val="22"/>
        </w:rPr>
        <w:t>Еволюція розподілу сільськогосподарських угідь по категоріям використання</w:t>
      </w:r>
    </w:p>
    <w:p w:rsidR="00642FB4" w:rsidRDefault="00642FB4"/>
    <w:tbl>
      <w:tblPr>
        <w:tblW w:w="8789" w:type="dxa"/>
        <w:tblInd w:w="5" w:type="dxa"/>
        <w:tblLayout w:type="fixed"/>
        <w:tblCellMar>
          <w:left w:w="0" w:type="dxa"/>
          <w:right w:w="0" w:type="dxa"/>
        </w:tblCellMar>
        <w:tblLook w:val="0000" w:firstRow="0" w:lastRow="0" w:firstColumn="0" w:lastColumn="0" w:noHBand="0" w:noVBand="0"/>
      </w:tblPr>
      <w:tblGrid>
        <w:gridCol w:w="735"/>
        <w:gridCol w:w="2384"/>
        <w:gridCol w:w="850"/>
        <w:gridCol w:w="993"/>
        <w:gridCol w:w="992"/>
        <w:gridCol w:w="992"/>
        <w:gridCol w:w="992"/>
        <w:gridCol w:w="851"/>
      </w:tblGrid>
      <w:tr w:rsidR="00642FB4">
        <w:trPr>
          <w:trHeight w:val="428"/>
        </w:trPr>
        <w:tc>
          <w:tcPr>
            <w:tcW w:w="735"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w:t>
            </w:r>
          </w:p>
        </w:tc>
        <w:tc>
          <w:tcPr>
            <w:tcW w:w="2384" w:type="dxa"/>
            <w:vMerge w:val="restart"/>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 xml:space="preserve">Категорія використання </w:t>
            </w:r>
          </w:p>
        </w:tc>
        <w:tc>
          <w:tcPr>
            <w:tcW w:w="5670" w:type="dxa"/>
            <w:gridSpan w:val="6"/>
            <w:tcBorders>
              <w:top w:val="single" w:sz="4" w:space="0" w:color="auto"/>
              <w:left w:val="single" w:sz="4" w:space="0" w:color="auto"/>
              <w:bottom w:val="nil"/>
              <w:right w:val="single" w:sz="4" w:space="0" w:color="auto"/>
            </w:tcBorders>
            <w:shd w:val="clear" w:color="auto" w:fill="FFFFFF"/>
            <w:vAlign w:val="bottom"/>
          </w:tcPr>
          <w:p w:rsidR="00642FB4" w:rsidRDefault="00642FB4">
            <w:pPr>
              <w:rPr>
                <w:sz w:val="20"/>
                <w:szCs w:val="20"/>
              </w:rPr>
            </w:pPr>
            <w:r>
              <w:rPr>
                <w:sz w:val="20"/>
                <w:szCs w:val="20"/>
              </w:rPr>
              <w:t>Площа (га)</w:t>
            </w:r>
          </w:p>
        </w:tc>
      </w:tr>
      <w:tr w:rsidR="00642FB4">
        <w:trPr>
          <w:trHeight w:val="390"/>
        </w:trPr>
        <w:tc>
          <w:tcPr>
            <w:tcW w:w="735" w:type="dxa"/>
            <w:tcBorders>
              <w:top w:val="nil"/>
              <w:left w:val="single" w:sz="4" w:space="0" w:color="auto"/>
              <w:bottom w:val="nil"/>
              <w:right w:val="nil"/>
            </w:tcBorders>
            <w:shd w:val="clear" w:color="auto" w:fill="FFFFFF"/>
            <w:vAlign w:val="center"/>
          </w:tcPr>
          <w:p w:rsidR="00642FB4" w:rsidRDefault="00642FB4">
            <w:pPr>
              <w:rPr>
                <w:sz w:val="20"/>
                <w:szCs w:val="20"/>
              </w:rPr>
            </w:pPr>
            <w:r>
              <w:rPr>
                <w:sz w:val="20"/>
                <w:szCs w:val="20"/>
              </w:rPr>
              <w:t>п/п</w:t>
            </w:r>
          </w:p>
        </w:tc>
        <w:tc>
          <w:tcPr>
            <w:tcW w:w="2384" w:type="dxa"/>
            <w:vMerge/>
            <w:tcBorders>
              <w:top w:val="nil"/>
              <w:left w:val="single" w:sz="4" w:space="0" w:color="auto"/>
              <w:bottom w:val="nil"/>
              <w:right w:val="nil"/>
            </w:tcBorders>
            <w:shd w:val="clear" w:color="auto" w:fill="FFFFFF"/>
            <w:vAlign w:val="bottom"/>
          </w:tcPr>
          <w:p w:rsidR="00642FB4" w:rsidRDefault="00642FB4">
            <w:pPr>
              <w:rPr>
                <w:sz w:val="20"/>
                <w:szCs w:val="20"/>
              </w:rPr>
            </w:pPr>
          </w:p>
        </w:tc>
        <w:tc>
          <w:tcPr>
            <w:tcW w:w="850"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2008</w:t>
            </w:r>
          </w:p>
        </w:tc>
        <w:tc>
          <w:tcPr>
            <w:tcW w:w="993" w:type="dxa"/>
            <w:tcBorders>
              <w:top w:val="single" w:sz="4" w:space="0" w:color="auto"/>
              <w:left w:val="single" w:sz="4" w:space="0" w:color="auto"/>
              <w:bottom w:val="nil"/>
              <w:right w:val="nil"/>
            </w:tcBorders>
            <w:shd w:val="clear" w:color="auto" w:fill="FFFFFF"/>
            <w:vAlign w:val="center"/>
          </w:tcPr>
          <w:p w:rsidR="00642FB4" w:rsidRDefault="00642FB4">
            <w:pPr>
              <w:rPr>
                <w:sz w:val="20"/>
                <w:szCs w:val="20"/>
              </w:rPr>
            </w:pPr>
            <w:r>
              <w:rPr>
                <w:sz w:val="20"/>
                <w:szCs w:val="20"/>
              </w:rPr>
              <w:t>2009</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2010</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2011</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2012</w:t>
            </w:r>
          </w:p>
        </w:tc>
        <w:tc>
          <w:tcPr>
            <w:tcW w:w="851" w:type="dxa"/>
            <w:tcBorders>
              <w:top w:val="single" w:sz="4" w:space="0" w:color="auto"/>
              <w:left w:val="single" w:sz="4" w:space="0" w:color="auto"/>
              <w:bottom w:val="nil"/>
              <w:right w:val="single" w:sz="4" w:space="0" w:color="auto"/>
            </w:tcBorders>
            <w:shd w:val="clear" w:color="auto" w:fill="FFFFFF"/>
            <w:vAlign w:val="center"/>
          </w:tcPr>
          <w:p w:rsidR="00642FB4" w:rsidRDefault="00642FB4">
            <w:pPr>
              <w:rPr>
                <w:sz w:val="20"/>
                <w:szCs w:val="20"/>
              </w:rPr>
            </w:pPr>
            <w:r>
              <w:rPr>
                <w:sz w:val="20"/>
                <w:szCs w:val="20"/>
              </w:rPr>
              <w:t>2013</w:t>
            </w:r>
          </w:p>
        </w:tc>
      </w:tr>
      <w:tr w:rsidR="00642FB4">
        <w:trPr>
          <w:trHeight w:val="720"/>
        </w:trPr>
        <w:tc>
          <w:tcPr>
            <w:tcW w:w="735"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1</w:t>
            </w:r>
          </w:p>
        </w:tc>
        <w:tc>
          <w:tcPr>
            <w:tcW w:w="2384"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b/>
                <w:sz w:val="20"/>
                <w:szCs w:val="20"/>
              </w:rPr>
              <w:t>орна</w:t>
            </w:r>
          </w:p>
        </w:tc>
        <w:tc>
          <w:tcPr>
            <w:tcW w:w="850"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298 774</w:t>
            </w:r>
          </w:p>
        </w:tc>
        <w:tc>
          <w:tcPr>
            <w:tcW w:w="993"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298 762</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298 762</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298 739</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298 747</w:t>
            </w:r>
          </w:p>
        </w:tc>
        <w:tc>
          <w:tcPr>
            <w:tcW w:w="851" w:type="dxa"/>
            <w:tcBorders>
              <w:top w:val="single" w:sz="4" w:space="0" w:color="auto"/>
              <w:left w:val="single" w:sz="4" w:space="0" w:color="auto"/>
              <w:bottom w:val="nil"/>
              <w:right w:val="single" w:sz="4" w:space="0" w:color="auto"/>
            </w:tcBorders>
            <w:shd w:val="clear" w:color="auto" w:fill="FFFFFF"/>
            <w:vAlign w:val="bottom"/>
          </w:tcPr>
          <w:p w:rsidR="00642FB4" w:rsidRDefault="00642FB4">
            <w:pPr>
              <w:rPr>
                <w:sz w:val="20"/>
                <w:szCs w:val="20"/>
              </w:rPr>
            </w:pPr>
            <w:r>
              <w:rPr>
                <w:sz w:val="20"/>
                <w:szCs w:val="20"/>
              </w:rPr>
              <w:t>298 742</w:t>
            </w:r>
          </w:p>
        </w:tc>
      </w:tr>
      <w:tr w:rsidR="00642FB4">
        <w:trPr>
          <w:trHeight w:val="720"/>
        </w:trPr>
        <w:tc>
          <w:tcPr>
            <w:tcW w:w="735"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2</w:t>
            </w:r>
          </w:p>
        </w:tc>
        <w:tc>
          <w:tcPr>
            <w:tcW w:w="2384"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Пасовища</w:t>
            </w:r>
          </w:p>
        </w:tc>
        <w:tc>
          <w:tcPr>
            <w:tcW w:w="850"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75 381</w:t>
            </w:r>
          </w:p>
        </w:tc>
        <w:tc>
          <w:tcPr>
            <w:tcW w:w="993"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75 146</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75 146</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75 146</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75 146</w:t>
            </w:r>
          </w:p>
        </w:tc>
        <w:tc>
          <w:tcPr>
            <w:tcW w:w="851" w:type="dxa"/>
            <w:tcBorders>
              <w:top w:val="single" w:sz="4" w:space="0" w:color="auto"/>
              <w:left w:val="single" w:sz="4" w:space="0" w:color="auto"/>
              <w:bottom w:val="nil"/>
              <w:right w:val="single" w:sz="4" w:space="0" w:color="auto"/>
            </w:tcBorders>
            <w:shd w:val="clear" w:color="auto" w:fill="FFFFFF"/>
            <w:vAlign w:val="bottom"/>
          </w:tcPr>
          <w:p w:rsidR="00642FB4" w:rsidRDefault="00642FB4">
            <w:pPr>
              <w:rPr>
                <w:sz w:val="20"/>
                <w:szCs w:val="20"/>
              </w:rPr>
            </w:pPr>
            <w:r>
              <w:rPr>
                <w:sz w:val="20"/>
                <w:szCs w:val="20"/>
              </w:rPr>
              <w:t>75 146</w:t>
            </w:r>
          </w:p>
        </w:tc>
      </w:tr>
      <w:tr w:rsidR="00642FB4">
        <w:trPr>
          <w:trHeight w:val="795"/>
        </w:trPr>
        <w:tc>
          <w:tcPr>
            <w:tcW w:w="735"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3</w:t>
            </w:r>
          </w:p>
        </w:tc>
        <w:tc>
          <w:tcPr>
            <w:tcW w:w="2384"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Луги і природні пасовища</w:t>
            </w:r>
          </w:p>
        </w:tc>
        <w:tc>
          <w:tcPr>
            <w:tcW w:w="850"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14 635</w:t>
            </w:r>
          </w:p>
        </w:tc>
        <w:tc>
          <w:tcPr>
            <w:tcW w:w="993"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14 635</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14 635</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14 635</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14 635</w:t>
            </w:r>
          </w:p>
        </w:tc>
        <w:tc>
          <w:tcPr>
            <w:tcW w:w="851" w:type="dxa"/>
            <w:tcBorders>
              <w:top w:val="single" w:sz="4" w:space="0" w:color="auto"/>
              <w:left w:val="single" w:sz="4" w:space="0" w:color="auto"/>
              <w:bottom w:val="nil"/>
              <w:right w:val="single" w:sz="4" w:space="0" w:color="auto"/>
            </w:tcBorders>
            <w:shd w:val="clear" w:color="auto" w:fill="FFFFFF"/>
            <w:vAlign w:val="bottom"/>
          </w:tcPr>
          <w:p w:rsidR="00642FB4" w:rsidRDefault="00642FB4">
            <w:pPr>
              <w:rPr>
                <w:sz w:val="20"/>
                <w:szCs w:val="20"/>
              </w:rPr>
            </w:pPr>
            <w:r>
              <w:rPr>
                <w:sz w:val="20"/>
                <w:szCs w:val="20"/>
              </w:rPr>
              <w:t>14 635</w:t>
            </w:r>
          </w:p>
        </w:tc>
      </w:tr>
      <w:tr w:rsidR="00642FB4">
        <w:trPr>
          <w:trHeight w:val="720"/>
        </w:trPr>
        <w:tc>
          <w:tcPr>
            <w:tcW w:w="735"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4</w:t>
            </w:r>
          </w:p>
        </w:tc>
        <w:tc>
          <w:tcPr>
            <w:tcW w:w="2384"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Виноградники</w:t>
            </w:r>
          </w:p>
        </w:tc>
        <w:tc>
          <w:tcPr>
            <w:tcW w:w="850"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1 690</w:t>
            </w:r>
          </w:p>
        </w:tc>
        <w:tc>
          <w:tcPr>
            <w:tcW w:w="993"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1 690</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1 690</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1 690</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1 680</w:t>
            </w:r>
          </w:p>
        </w:tc>
        <w:tc>
          <w:tcPr>
            <w:tcW w:w="851" w:type="dxa"/>
            <w:tcBorders>
              <w:top w:val="single" w:sz="4" w:space="0" w:color="auto"/>
              <w:left w:val="single" w:sz="4" w:space="0" w:color="auto"/>
              <w:bottom w:val="nil"/>
              <w:right w:val="single" w:sz="4" w:space="0" w:color="auto"/>
            </w:tcBorders>
            <w:shd w:val="clear" w:color="auto" w:fill="FFFFFF"/>
            <w:vAlign w:val="bottom"/>
          </w:tcPr>
          <w:p w:rsidR="00642FB4" w:rsidRDefault="00642FB4">
            <w:pPr>
              <w:rPr>
                <w:sz w:val="20"/>
                <w:szCs w:val="20"/>
              </w:rPr>
            </w:pPr>
            <w:r>
              <w:rPr>
                <w:sz w:val="20"/>
                <w:szCs w:val="20"/>
              </w:rPr>
              <w:t>1 680</w:t>
            </w:r>
          </w:p>
        </w:tc>
      </w:tr>
      <w:tr w:rsidR="00642FB4">
        <w:trPr>
          <w:trHeight w:val="705"/>
        </w:trPr>
        <w:tc>
          <w:tcPr>
            <w:tcW w:w="735"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5</w:t>
            </w:r>
          </w:p>
        </w:tc>
        <w:tc>
          <w:tcPr>
            <w:tcW w:w="2384"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Сади</w:t>
            </w:r>
          </w:p>
        </w:tc>
        <w:tc>
          <w:tcPr>
            <w:tcW w:w="850"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2 559</w:t>
            </w:r>
          </w:p>
        </w:tc>
        <w:tc>
          <w:tcPr>
            <w:tcW w:w="993"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2 559</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2 559</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2 559</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2 559</w:t>
            </w:r>
          </w:p>
        </w:tc>
        <w:tc>
          <w:tcPr>
            <w:tcW w:w="851" w:type="dxa"/>
            <w:tcBorders>
              <w:top w:val="single" w:sz="4" w:space="0" w:color="auto"/>
              <w:left w:val="single" w:sz="4" w:space="0" w:color="auto"/>
              <w:bottom w:val="nil"/>
              <w:right w:val="single" w:sz="4" w:space="0" w:color="auto"/>
            </w:tcBorders>
            <w:shd w:val="clear" w:color="auto" w:fill="FFFFFF"/>
            <w:vAlign w:val="bottom"/>
          </w:tcPr>
          <w:p w:rsidR="00642FB4" w:rsidRDefault="00642FB4">
            <w:pPr>
              <w:rPr>
                <w:sz w:val="20"/>
                <w:szCs w:val="20"/>
              </w:rPr>
            </w:pPr>
            <w:r>
              <w:rPr>
                <w:sz w:val="20"/>
                <w:szCs w:val="20"/>
              </w:rPr>
              <w:t>2 559</w:t>
            </w:r>
          </w:p>
        </w:tc>
      </w:tr>
      <w:tr w:rsidR="00642FB4">
        <w:trPr>
          <w:trHeight w:val="795"/>
        </w:trPr>
        <w:tc>
          <w:tcPr>
            <w:tcW w:w="3119" w:type="dxa"/>
            <w:gridSpan w:val="2"/>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Всього на сільськогосподарські угіддя</w:t>
            </w:r>
          </w:p>
        </w:tc>
        <w:tc>
          <w:tcPr>
            <w:tcW w:w="850"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393 039</w:t>
            </w:r>
          </w:p>
        </w:tc>
        <w:tc>
          <w:tcPr>
            <w:tcW w:w="993"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392 792</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392 792</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392 769</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sz w:val="20"/>
                <w:szCs w:val="20"/>
              </w:rPr>
              <w:t>392 767</w:t>
            </w:r>
          </w:p>
        </w:tc>
        <w:tc>
          <w:tcPr>
            <w:tcW w:w="851" w:type="dxa"/>
            <w:tcBorders>
              <w:top w:val="single" w:sz="4" w:space="0" w:color="auto"/>
              <w:left w:val="single" w:sz="4" w:space="0" w:color="auto"/>
              <w:bottom w:val="nil"/>
              <w:right w:val="single" w:sz="4" w:space="0" w:color="auto"/>
            </w:tcBorders>
            <w:shd w:val="clear" w:color="auto" w:fill="FFFFFF"/>
            <w:vAlign w:val="bottom"/>
          </w:tcPr>
          <w:p w:rsidR="00642FB4" w:rsidRDefault="00642FB4">
            <w:pPr>
              <w:rPr>
                <w:sz w:val="20"/>
                <w:szCs w:val="20"/>
              </w:rPr>
            </w:pPr>
            <w:r>
              <w:rPr>
                <w:sz w:val="20"/>
                <w:szCs w:val="20"/>
              </w:rPr>
              <w:t>392 762</w:t>
            </w:r>
          </w:p>
        </w:tc>
      </w:tr>
      <w:tr w:rsidR="00642FB4">
        <w:trPr>
          <w:trHeight w:val="308"/>
        </w:trPr>
        <w:tc>
          <w:tcPr>
            <w:tcW w:w="3119" w:type="dxa"/>
            <w:gridSpan w:val="2"/>
            <w:tcBorders>
              <w:top w:val="single" w:sz="4" w:space="0" w:color="auto"/>
              <w:left w:val="nil"/>
              <w:bottom w:val="nil"/>
              <w:right w:val="nil"/>
            </w:tcBorders>
            <w:shd w:val="clear" w:color="auto" w:fill="FFFFFF"/>
            <w:vAlign w:val="bottom"/>
          </w:tcPr>
          <w:p w:rsidR="00642FB4" w:rsidRDefault="00642FB4">
            <w:pPr>
              <w:rPr>
                <w:sz w:val="20"/>
                <w:szCs w:val="20"/>
              </w:rPr>
            </w:pPr>
            <w:r>
              <w:rPr>
                <w:i/>
                <w:sz w:val="20"/>
                <w:szCs w:val="20"/>
              </w:rPr>
              <w:t>Джерело: INSSE- TEMPO</w:t>
            </w:r>
          </w:p>
        </w:tc>
        <w:tc>
          <w:tcPr>
            <w:tcW w:w="5670" w:type="dxa"/>
            <w:gridSpan w:val="6"/>
            <w:tcBorders>
              <w:top w:val="single" w:sz="4" w:space="0" w:color="auto"/>
              <w:left w:val="single" w:sz="4" w:space="0" w:color="auto"/>
              <w:bottom w:val="nil"/>
              <w:right w:val="nil"/>
            </w:tcBorders>
            <w:shd w:val="clear" w:color="auto" w:fill="FFFFFF"/>
            <w:vAlign w:val="bottom"/>
          </w:tcPr>
          <w:p w:rsidR="00642FB4" w:rsidRDefault="00642FB4">
            <w:pPr>
              <w:rPr>
                <w:sz w:val="20"/>
                <w:szCs w:val="20"/>
              </w:rPr>
            </w:pPr>
            <w:r>
              <w:rPr>
                <w:b/>
                <w:i/>
                <w:sz w:val="20"/>
                <w:szCs w:val="20"/>
              </w:rPr>
              <w:t>Онлайн</w:t>
            </w:r>
          </w:p>
        </w:tc>
      </w:tr>
    </w:tbl>
    <w:p w:rsidR="00642FB4" w:rsidRDefault="00642FB4">
      <w:pPr>
        <w:spacing w:before="60" w:after="60" w:line="288" w:lineRule="auto"/>
        <w:jc w:val="center"/>
      </w:pPr>
    </w:p>
    <w:p w:rsidR="00642FB4" w:rsidRDefault="00642FB4">
      <w:pPr>
        <w:spacing w:before="60" w:after="60" w:line="288" w:lineRule="auto"/>
        <w:jc w:val="both"/>
      </w:pPr>
    </w:p>
    <w:p w:rsidR="00642FB4" w:rsidRDefault="00642FB4">
      <w:pPr>
        <w:spacing w:before="60" w:after="60" w:line="288" w:lineRule="auto"/>
        <w:ind w:firstLine="720"/>
        <w:jc w:val="both"/>
      </w:pPr>
      <w:r>
        <w:t>У зв'язку з придатністю до польових культур, орні землі згруповані в шість категорій придатності, які враховують характер та інтенсивність обмежувальних факторів виробництва. Ситуація в повіті Ботошань в 2013 році, представлена нижче:</w:t>
      </w:r>
    </w:p>
    <w:p w:rsidR="00642FB4" w:rsidRDefault="00642FB4">
      <w:pPr>
        <w:spacing w:before="60" w:after="60" w:line="288" w:lineRule="auto"/>
        <w:ind w:firstLine="720"/>
        <w:jc w:val="both"/>
      </w:pPr>
    </w:p>
    <w:p w:rsidR="00642FB4" w:rsidRDefault="00642FB4">
      <w:pPr>
        <w:spacing w:before="60" w:after="60" w:line="288" w:lineRule="auto"/>
        <w:ind w:firstLine="720"/>
        <w:jc w:val="both"/>
      </w:pPr>
    </w:p>
    <w:p w:rsidR="00642FB4" w:rsidRDefault="00642FB4">
      <w:pPr>
        <w:spacing w:before="60" w:after="60" w:line="288" w:lineRule="auto"/>
        <w:ind w:firstLine="720"/>
        <w:jc w:val="both"/>
      </w:pPr>
    </w:p>
    <w:p w:rsidR="00642FB4" w:rsidRDefault="00642FB4">
      <w:pPr>
        <w:spacing w:before="60" w:after="60" w:line="288" w:lineRule="auto"/>
        <w:ind w:firstLine="720"/>
        <w:jc w:val="both"/>
      </w:pPr>
    </w:p>
    <w:p w:rsidR="00642FB4" w:rsidRDefault="00642FB4">
      <w:pPr>
        <w:spacing w:before="60" w:after="60" w:line="288" w:lineRule="auto"/>
        <w:jc w:val="center"/>
        <w:rPr>
          <w:sz w:val="22"/>
          <w:szCs w:val="22"/>
        </w:rPr>
      </w:pPr>
      <w:r>
        <w:rPr>
          <w:b/>
          <w:i/>
          <w:sz w:val="22"/>
        </w:rPr>
        <w:t>Таблиця 4.1.2</w:t>
      </w:r>
      <w:r>
        <w:rPr>
          <w:sz w:val="22"/>
        </w:rPr>
        <w:t xml:space="preserve"> Ситуація сільськогосподарських угідь в залежності від типів грунтів у повіті Ботошань </w:t>
      </w:r>
    </w:p>
    <w:p w:rsidR="00642FB4" w:rsidRDefault="00642FB4"/>
    <w:tbl>
      <w:tblPr>
        <w:tblOverlap w:val="never"/>
        <w:tblW w:w="9064" w:type="dxa"/>
        <w:tblLayout w:type="fixed"/>
        <w:tblCellMar>
          <w:left w:w="10" w:type="dxa"/>
          <w:right w:w="10" w:type="dxa"/>
        </w:tblCellMar>
        <w:tblLook w:val="04A0" w:firstRow="1" w:lastRow="0" w:firstColumn="1" w:lastColumn="0" w:noHBand="0" w:noVBand="1"/>
      </w:tblPr>
      <w:tblGrid>
        <w:gridCol w:w="623"/>
        <w:gridCol w:w="1230"/>
        <w:gridCol w:w="567"/>
        <w:gridCol w:w="851"/>
        <w:gridCol w:w="992"/>
        <w:gridCol w:w="992"/>
        <w:gridCol w:w="851"/>
        <w:gridCol w:w="850"/>
        <w:gridCol w:w="608"/>
        <w:gridCol w:w="1500"/>
      </w:tblGrid>
      <w:tr w:rsidR="00642FB4">
        <w:trPr>
          <w:trHeight w:hRule="exact" w:val="368"/>
        </w:trPr>
        <w:tc>
          <w:tcPr>
            <w:tcW w:w="623" w:type="dxa"/>
            <w:vMerge w:val="restart"/>
            <w:tcBorders>
              <w:top w:val="single" w:sz="4" w:space="0" w:color="auto"/>
              <w:left w:val="single" w:sz="4" w:space="0" w:color="auto"/>
            </w:tcBorders>
            <w:shd w:val="clear" w:color="auto" w:fill="FFFFFF"/>
            <w:vAlign w:val="center"/>
          </w:tcPr>
          <w:p w:rsidR="00642FB4" w:rsidRDefault="00642FB4">
            <w:r>
              <w:t>№</w:t>
            </w:r>
          </w:p>
          <w:p w:rsidR="00642FB4" w:rsidRDefault="00642FB4">
            <w:r>
              <w:t>п/п</w:t>
            </w:r>
          </w:p>
        </w:tc>
        <w:tc>
          <w:tcPr>
            <w:tcW w:w="1230" w:type="dxa"/>
            <w:vMerge w:val="restart"/>
            <w:tcBorders>
              <w:top w:val="single" w:sz="4" w:space="0" w:color="auto"/>
              <w:left w:val="single" w:sz="4" w:space="0" w:color="auto"/>
            </w:tcBorders>
            <w:shd w:val="clear" w:color="auto" w:fill="FFFFFF"/>
            <w:vAlign w:val="center"/>
          </w:tcPr>
          <w:p w:rsidR="00642FB4" w:rsidRDefault="00642FB4">
            <w:r>
              <w:t>Уточнення</w:t>
            </w:r>
          </w:p>
        </w:tc>
        <w:tc>
          <w:tcPr>
            <w:tcW w:w="567" w:type="dxa"/>
            <w:vMerge w:val="restart"/>
            <w:tcBorders>
              <w:top w:val="single" w:sz="4" w:space="0" w:color="auto"/>
              <w:left w:val="single" w:sz="4" w:space="0" w:color="auto"/>
            </w:tcBorders>
            <w:shd w:val="clear" w:color="auto" w:fill="FFFFFF"/>
            <w:vAlign w:val="center"/>
          </w:tcPr>
          <w:p w:rsidR="00642FB4" w:rsidRDefault="00642FB4">
            <w:r>
              <w:t>О.В.</w:t>
            </w:r>
          </w:p>
        </w:tc>
        <w:tc>
          <w:tcPr>
            <w:tcW w:w="6644" w:type="dxa"/>
            <w:gridSpan w:val="7"/>
            <w:tcBorders>
              <w:top w:val="single" w:sz="4" w:space="0" w:color="auto"/>
              <w:left w:val="single" w:sz="4" w:space="0" w:color="auto"/>
              <w:right w:val="single" w:sz="4" w:space="0" w:color="auto"/>
            </w:tcBorders>
            <w:shd w:val="clear" w:color="auto" w:fill="FFFFFF"/>
            <w:vAlign w:val="bottom"/>
          </w:tcPr>
          <w:p w:rsidR="00642FB4" w:rsidRDefault="00642FB4">
            <w:r>
              <w:t>Класи бонітування ґрунтів</w:t>
            </w:r>
          </w:p>
        </w:tc>
      </w:tr>
      <w:tr w:rsidR="00642FB4">
        <w:trPr>
          <w:trHeight w:hRule="exact" w:val="690"/>
        </w:trPr>
        <w:tc>
          <w:tcPr>
            <w:tcW w:w="623" w:type="dxa"/>
            <w:vMerge/>
            <w:tcBorders>
              <w:left w:val="single" w:sz="4" w:space="0" w:color="auto"/>
            </w:tcBorders>
            <w:shd w:val="clear" w:color="auto" w:fill="FFFFFF"/>
            <w:vAlign w:val="center"/>
          </w:tcPr>
          <w:p w:rsidR="00642FB4" w:rsidRDefault="00642FB4"/>
        </w:tc>
        <w:tc>
          <w:tcPr>
            <w:tcW w:w="1230" w:type="dxa"/>
            <w:vMerge/>
            <w:tcBorders>
              <w:left w:val="single" w:sz="4" w:space="0" w:color="auto"/>
            </w:tcBorders>
            <w:shd w:val="clear" w:color="auto" w:fill="FFFFFF"/>
            <w:vAlign w:val="center"/>
          </w:tcPr>
          <w:p w:rsidR="00642FB4" w:rsidRDefault="00642FB4"/>
        </w:tc>
        <w:tc>
          <w:tcPr>
            <w:tcW w:w="567" w:type="dxa"/>
            <w:vMerge/>
            <w:tcBorders>
              <w:left w:val="single" w:sz="4" w:space="0" w:color="auto"/>
            </w:tcBorders>
            <w:shd w:val="clear" w:color="auto" w:fill="FFFFFF"/>
            <w:vAlign w:val="center"/>
          </w:tcPr>
          <w:p w:rsidR="00642FB4" w:rsidRDefault="00642FB4"/>
        </w:tc>
        <w:tc>
          <w:tcPr>
            <w:tcW w:w="851" w:type="dxa"/>
            <w:tcBorders>
              <w:top w:val="single" w:sz="4" w:space="0" w:color="auto"/>
              <w:left w:val="single" w:sz="4" w:space="0" w:color="auto"/>
            </w:tcBorders>
            <w:shd w:val="clear" w:color="auto" w:fill="FFFFFF"/>
            <w:vAlign w:val="center"/>
          </w:tcPr>
          <w:p w:rsidR="00642FB4" w:rsidRDefault="00642FB4">
            <w:r>
              <w:t>I</w:t>
            </w:r>
          </w:p>
        </w:tc>
        <w:tc>
          <w:tcPr>
            <w:tcW w:w="992" w:type="dxa"/>
            <w:tcBorders>
              <w:top w:val="single" w:sz="4" w:space="0" w:color="auto"/>
              <w:left w:val="single" w:sz="4" w:space="0" w:color="auto"/>
            </w:tcBorders>
            <w:shd w:val="clear" w:color="auto" w:fill="FFFFFF"/>
            <w:vAlign w:val="center"/>
          </w:tcPr>
          <w:p w:rsidR="00642FB4" w:rsidRDefault="00642FB4">
            <w:r>
              <w:t>II</w:t>
            </w:r>
          </w:p>
        </w:tc>
        <w:tc>
          <w:tcPr>
            <w:tcW w:w="992" w:type="dxa"/>
            <w:tcBorders>
              <w:top w:val="single" w:sz="4" w:space="0" w:color="auto"/>
              <w:left w:val="single" w:sz="4" w:space="0" w:color="auto"/>
            </w:tcBorders>
            <w:shd w:val="clear" w:color="auto" w:fill="FFFFFF"/>
            <w:vAlign w:val="center"/>
          </w:tcPr>
          <w:p w:rsidR="00642FB4" w:rsidRDefault="00642FB4">
            <w:r>
              <w:t>III</w:t>
            </w:r>
          </w:p>
        </w:tc>
        <w:tc>
          <w:tcPr>
            <w:tcW w:w="851" w:type="dxa"/>
            <w:tcBorders>
              <w:top w:val="single" w:sz="4" w:space="0" w:color="auto"/>
              <w:left w:val="single" w:sz="4" w:space="0" w:color="auto"/>
            </w:tcBorders>
            <w:shd w:val="clear" w:color="auto" w:fill="FFFFFF"/>
            <w:vAlign w:val="center"/>
          </w:tcPr>
          <w:p w:rsidR="00642FB4" w:rsidRDefault="00642FB4">
            <w:r>
              <w:t>IV</w:t>
            </w:r>
          </w:p>
        </w:tc>
        <w:tc>
          <w:tcPr>
            <w:tcW w:w="850" w:type="dxa"/>
            <w:tcBorders>
              <w:top w:val="single" w:sz="4" w:space="0" w:color="auto"/>
              <w:left w:val="single" w:sz="4" w:space="0" w:color="auto"/>
            </w:tcBorders>
            <w:shd w:val="clear" w:color="auto" w:fill="FFFFFF"/>
            <w:vAlign w:val="center"/>
          </w:tcPr>
          <w:p w:rsidR="00642FB4" w:rsidRDefault="00642FB4">
            <w:r>
              <w:t>V</w:t>
            </w:r>
          </w:p>
        </w:tc>
        <w:tc>
          <w:tcPr>
            <w:tcW w:w="608" w:type="dxa"/>
            <w:tcBorders>
              <w:top w:val="single" w:sz="4" w:space="0" w:color="auto"/>
              <w:left w:val="single" w:sz="4" w:space="0" w:color="auto"/>
            </w:tcBorders>
            <w:shd w:val="clear" w:color="auto" w:fill="FFFFFF"/>
            <w:vAlign w:val="center"/>
          </w:tcPr>
          <w:p w:rsidR="00642FB4" w:rsidRDefault="00642FB4">
            <w:r>
              <w:t>VI</w:t>
            </w:r>
          </w:p>
        </w:tc>
        <w:tc>
          <w:tcPr>
            <w:tcW w:w="1500" w:type="dxa"/>
            <w:tcBorders>
              <w:top w:val="single" w:sz="4" w:space="0" w:color="auto"/>
              <w:left w:val="single" w:sz="4" w:space="0" w:color="auto"/>
              <w:right w:val="single" w:sz="4" w:space="0" w:color="auto"/>
            </w:tcBorders>
            <w:shd w:val="clear" w:color="auto" w:fill="FFFFFF"/>
            <w:vAlign w:val="bottom"/>
          </w:tcPr>
          <w:p w:rsidR="00642FB4" w:rsidRDefault="00642FB4">
            <w:r>
              <w:t>Всього</w:t>
            </w:r>
          </w:p>
          <w:p w:rsidR="00642FB4" w:rsidRDefault="00642FB4">
            <w:r>
              <w:t>(га)</w:t>
            </w:r>
          </w:p>
        </w:tc>
      </w:tr>
      <w:tr w:rsidR="00642FB4">
        <w:trPr>
          <w:trHeight w:hRule="exact" w:val="675"/>
        </w:trPr>
        <w:tc>
          <w:tcPr>
            <w:tcW w:w="623" w:type="dxa"/>
            <w:tcBorders>
              <w:top w:val="single" w:sz="4" w:space="0" w:color="auto"/>
              <w:left w:val="single" w:sz="4" w:space="0" w:color="auto"/>
            </w:tcBorders>
            <w:shd w:val="clear" w:color="auto" w:fill="FFFFFF"/>
            <w:vAlign w:val="center"/>
          </w:tcPr>
          <w:p w:rsidR="00642FB4" w:rsidRDefault="00642FB4">
            <w:r>
              <w:t>1</w:t>
            </w:r>
          </w:p>
        </w:tc>
        <w:tc>
          <w:tcPr>
            <w:tcW w:w="1230" w:type="dxa"/>
            <w:tcBorders>
              <w:top w:val="single" w:sz="4" w:space="0" w:color="auto"/>
              <w:left w:val="single" w:sz="4" w:space="0" w:color="auto"/>
            </w:tcBorders>
            <w:shd w:val="clear" w:color="auto" w:fill="FFFFFF"/>
            <w:vAlign w:val="center"/>
          </w:tcPr>
          <w:p w:rsidR="00642FB4" w:rsidRDefault="00642FB4">
            <w:r>
              <w:t>Орна</w:t>
            </w:r>
          </w:p>
        </w:tc>
        <w:tc>
          <w:tcPr>
            <w:tcW w:w="567" w:type="dxa"/>
            <w:tcBorders>
              <w:top w:val="single" w:sz="4" w:space="0" w:color="auto"/>
              <w:left w:val="single" w:sz="4" w:space="0" w:color="auto"/>
            </w:tcBorders>
            <w:shd w:val="clear" w:color="auto" w:fill="FFFFFF"/>
            <w:vAlign w:val="center"/>
          </w:tcPr>
          <w:p w:rsidR="00642FB4" w:rsidRDefault="00642FB4">
            <w:r>
              <w:t>га</w:t>
            </w:r>
          </w:p>
        </w:tc>
        <w:tc>
          <w:tcPr>
            <w:tcW w:w="851" w:type="dxa"/>
            <w:tcBorders>
              <w:top w:val="single" w:sz="4" w:space="0" w:color="auto"/>
              <w:left w:val="single" w:sz="4" w:space="0" w:color="auto"/>
            </w:tcBorders>
            <w:shd w:val="clear" w:color="auto" w:fill="FFFFFF"/>
            <w:vAlign w:val="center"/>
          </w:tcPr>
          <w:p w:rsidR="00642FB4" w:rsidRDefault="00642FB4">
            <w:r>
              <w:t>14 379</w:t>
            </w:r>
          </w:p>
        </w:tc>
        <w:tc>
          <w:tcPr>
            <w:tcW w:w="992" w:type="dxa"/>
            <w:tcBorders>
              <w:top w:val="single" w:sz="4" w:space="0" w:color="auto"/>
              <w:left w:val="single" w:sz="4" w:space="0" w:color="auto"/>
            </w:tcBorders>
            <w:shd w:val="clear" w:color="auto" w:fill="FFFFFF"/>
            <w:vAlign w:val="center"/>
          </w:tcPr>
          <w:p w:rsidR="00642FB4" w:rsidRDefault="00642FB4">
            <w:r>
              <w:t>110 009</w:t>
            </w:r>
          </w:p>
        </w:tc>
        <w:tc>
          <w:tcPr>
            <w:tcW w:w="992" w:type="dxa"/>
            <w:tcBorders>
              <w:top w:val="single" w:sz="4" w:space="0" w:color="auto"/>
              <w:left w:val="single" w:sz="4" w:space="0" w:color="auto"/>
            </w:tcBorders>
            <w:shd w:val="clear" w:color="auto" w:fill="FFFFFF"/>
            <w:vAlign w:val="center"/>
          </w:tcPr>
          <w:p w:rsidR="00642FB4" w:rsidRDefault="00642FB4">
            <w:r>
              <w:t>119 055</w:t>
            </w:r>
          </w:p>
        </w:tc>
        <w:tc>
          <w:tcPr>
            <w:tcW w:w="851" w:type="dxa"/>
            <w:tcBorders>
              <w:top w:val="single" w:sz="4" w:space="0" w:color="auto"/>
              <w:left w:val="single" w:sz="4" w:space="0" w:color="auto"/>
            </w:tcBorders>
            <w:shd w:val="clear" w:color="auto" w:fill="FFFFFF"/>
            <w:vAlign w:val="center"/>
          </w:tcPr>
          <w:p w:rsidR="00642FB4" w:rsidRDefault="00642FB4">
            <w:r>
              <w:t>36 973</w:t>
            </w:r>
          </w:p>
        </w:tc>
        <w:tc>
          <w:tcPr>
            <w:tcW w:w="850" w:type="dxa"/>
            <w:tcBorders>
              <w:top w:val="single" w:sz="4" w:space="0" w:color="auto"/>
              <w:left w:val="single" w:sz="4" w:space="0" w:color="auto"/>
            </w:tcBorders>
            <w:shd w:val="clear" w:color="auto" w:fill="FFFFFF"/>
            <w:vAlign w:val="center"/>
          </w:tcPr>
          <w:p w:rsidR="00642FB4" w:rsidRDefault="00642FB4">
            <w:r>
              <w:t>18 331</w:t>
            </w:r>
          </w:p>
        </w:tc>
        <w:tc>
          <w:tcPr>
            <w:tcW w:w="608" w:type="dxa"/>
            <w:tcBorders>
              <w:top w:val="single" w:sz="4" w:space="0" w:color="auto"/>
              <w:left w:val="single" w:sz="4" w:space="0" w:color="auto"/>
            </w:tcBorders>
            <w:shd w:val="clear" w:color="auto" w:fill="FFFFFF"/>
            <w:vAlign w:val="center"/>
          </w:tcPr>
          <w:p w:rsidR="00642FB4" w:rsidRDefault="00642FB4">
            <w:r>
              <w:t>0</w:t>
            </w:r>
          </w:p>
        </w:tc>
        <w:tc>
          <w:tcPr>
            <w:tcW w:w="1500" w:type="dxa"/>
            <w:tcBorders>
              <w:top w:val="single" w:sz="4" w:space="0" w:color="auto"/>
              <w:left w:val="single" w:sz="4" w:space="0" w:color="auto"/>
              <w:right w:val="single" w:sz="4" w:space="0" w:color="auto"/>
            </w:tcBorders>
            <w:shd w:val="clear" w:color="auto" w:fill="FFFFFF"/>
            <w:vAlign w:val="center"/>
          </w:tcPr>
          <w:p w:rsidR="00642FB4" w:rsidRDefault="00642FB4">
            <w:r>
              <w:t>209 739</w:t>
            </w:r>
          </w:p>
        </w:tc>
      </w:tr>
      <w:tr w:rsidR="00642FB4">
        <w:trPr>
          <w:trHeight w:hRule="exact" w:val="345"/>
        </w:trPr>
        <w:tc>
          <w:tcPr>
            <w:tcW w:w="623" w:type="dxa"/>
            <w:tcBorders>
              <w:top w:val="single" w:sz="4" w:space="0" w:color="auto"/>
              <w:left w:val="single" w:sz="4" w:space="0" w:color="auto"/>
            </w:tcBorders>
            <w:shd w:val="clear" w:color="auto" w:fill="FFFFFF"/>
            <w:vAlign w:val="bottom"/>
          </w:tcPr>
          <w:p w:rsidR="00642FB4" w:rsidRDefault="00642FB4">
            <w:r>
              <w:t>2</w:t>
            </w:r>
          </w:p>
        </w:tc>
        <w:tc>
          <w:tcPr>
            <w:tcW w:w="1230" w:type="dxa"/>
            <w:tcBorders>
              <w:top w:val="single" w:sz="4" w:space="0" w:color="auto"/>
              <w:left w:val="single" w:sz="4" w:space="0" w:color="auto"/>
            </w:tcBorders>
            <w:shd w:val="clear" w:color="auto" w:fill="FFFFFF"/>
            <w:vAlign w:val="bottom"/>
          </w:tcPr>
          <w:p w:rsidR="00642FB4" w:rsidRDefault="00642FB4">
            <w:r>
              <w:t>Пасовища</w:t>
            </w:r>
          </w:p>
        </w:tc>
        <w:tc>
          <w:tcPr>
            <w:tcW w:w="567" w:type="dxa"/>
            <w:tcBorders>
              <w:top w:val="single" w:sz="4" w:space="0" w:color="auto"/>
              <w:left w:val="single" w:sz="4" w:space="0" w:color="auto"/>
            </w:tcBorders>
            <w:shd w:val="clear" w:color="auto" w:fill="FFFFFF"/>
            <w:vAlign w:val="bottom"/>
          </w:tcPr>
          <w:p w:rsidR="00642FB4" w:rsidRDefault="00642FB4">
            <w:r>
              <w:t>га</w:t>
            </w:r>
          </w:p>
        </w:tc>
        <w:tc>
          <w:tcPr>
            <w:tcW w:w="851" w:type="dxa"/>
            <w:tcBorders>
              <w:top w:val="single" w:sz="4" w:space="0" w:color="auto"/>
              <w:left w:val="single" w:sz="4" w:space="0" w:color="auto"/>
            </w:tcBorders>
            <w:shd w:val="clear" w:color="auto" w:fill="FFFFFF"/>
            <w:vAlign w:val="bottom"/>
          </w:tcPr>
          <w:p w:rsidR="00642FB4" w:rsidRDefault="00642FB4">
            <w:r>
              <w:t>1 503</w:t>
            </w:r>
          </w:p>
        </w:tc>
        <w:tc>
          <w:tcPr>
            <w:tcW w:w="992" w:type="dxa"/>
            <w:tcBorders>
              <w:top w:val="single" w:sz="4" w:space="0" w:color="auto"/>
              <w:left w:val="single" w:sz="4" w:space="0" w:color="auto"/>
            </w:tcBorders>
            <w:shd w:val="clear" w:color="auto" w:fill="FFFFFF"/>
            <w:vAlign w:val="bottom"/>
          </w:tcPr>
          <w:p w:rsidR="00642FB4" w:rsidRDefault="00642FB4">
            <w:r>
              <w:t>12 775</w:t>
            </w:r>
          </w:p>
        </w:tc>
        <w:tc>
          <w:tcPr>
            <w:tcW w:w="992" w:type="dxa"/>
            <w:tcBorders>
              <w:top w:val="single" w:sz="4" w:space="0" w:color="auto"/>
              <w:left w:val="single" w:sz="4" w:space="0" w:color="auto"/>
            </w:tcBorders>
            <w:shd w:val="clear" w:color="auto" w:fill="FFFFFF"/>
            <w:vAlign w:val="bottom"/>
          </w:tcPr>
          <w:p w:rsidR="00642FB4" w:rsidRDefault="00642FB4">
            <w:r>
              <w:t>8 266</w:t>
            </w:r>
          </w:p>
        </w:tc>
        <w:tc>
          <w:tcPr>
            <w:tcW w:w="851" w:type="dxa"/>
            <w:tcBorders>
              <w:top w:val="single" w:sz="4" w:space="0" w:color="auto"/>
              <w:left w:val="single" w:sz="4" w:space="0" w:color="auto"/>
            </w:tcBorders>
            <w:shd w:val="clear" w:color="auto" w:fill="FFFFFF"/>
            <w:vAlign w:val="bottom"/>
          </w:tcPr>
          <w:p w:rsidR="00642FB4" w:rsidRDefault="00642FB4">
            <w:r>
              <w:t>48 845</w:t>
            </w:r>
          </w:p>
        </w:tc>
        <w:tc>
          <w:tcPr>
            <w:tcW w:w="850" w:type="dxa"/>
            <w:tcBorders>
              <w:top w:val="single" w:sz="4" w:space="0" w:color="auto"/>
              <w:left w:val="single" w:sz="4" w:space="0" w:color="auto"/>
            </w:tcBorders>
            <w:shd w:val="clear" w:color="auto" w:fill="FFFFFF"/>
            <w:vAlign w:val="bottom"/>
          </w:tcPr>
          <w:p w:rsidR="00642FB4" w:rsidRDefault="00642FB4">
            <w:r>
              <w:t>3 757</w:t>
            </w:r>
          </w:p>
        </w:tc>
        <w:tc>
          <w:tcPr>
            <w:tcW w:w="608" w:type="dxa"/>
            <w:tcBorders>
              <w:top w:val="single" w:sz="4" w:space="0" w:color="auto"/>
              <w:left w:val="single" w:sz="4" w:space="0" w:color="auto"/>
            </w:tcBorders>
            <w:shd w:val="clear" w:color="auto" w:fill="FFFFFF"/>
            <w:vAlign w:val="bottom"/>
          </w:tcPr>
          <w:p w:rsidR="00642FB4" w:rsidRDefault="00642FB4">
            <w:r>
              <w:t>0</w:t>
            </w:r>
          </w:p>
        </w:tc>
        <w:tc>
          <w:tcPr>
            <w:tcW w:w="1500" w:type="dxa"/>
            <w:tcBorders>
              <w:top w:val="single" w:sz="4" w:space="0" w:color="auto"/>
              <w:left w:val="single" w:sz="4" w:space="0" w:color="auto"/>
              <w:right w:val="single" w:sz="4" w:space="0" w:color="auto"/>
            </w:tcBorders>
            <w:shd w:val="clear" w:color="auto" w:fill="FFFFFF"/>
            <w:vAlign w:val="bottom"/>
          </w:tcPr>
          <w:p w:rsidR="00642FB4" w:rsidRDefault="00642FB4">
            <w:r>
              <w:t>75 146</w:t>
            </w:r>
          </w:p>
        </w:tc>
      </w:tr>
      <w:tr w:rsidR="00642FB4">
        <w:trPr>
          <w:trHeight w:hRule="exact" w:val="675"/>
        </w:trPr>
        <w:tc>
          <w:tcPr>
            <w:tcW w:w="623" w:type="dxa"/>
            <w:tcBorders>
              <w:top w:val="single" w:sz="4" w:space="0" w:color="auto"/>
              <w:left w:val="single" w:sz="4" w:space="0" w:color="auto"/>
            </w:tcBorders>
            <w:shd w:val="clear" w:color="auto" w:fill="FFFFFF"/>
            <w:vAlign w:val="center"/>
          </w:tcPr>
          <w:p w:rsidR="00642FB4" w:rsidRDefault="00642FB4">
            <w:r>
              <w:t>3</w:t>
            </w:r>
          </w:p>
        </w:tc>
        <w:tc>
          <w:tcPr>
            <w:tcW w:w="1230" w:type="dxa"/>
            <w:tcBorders>
              <w:top w:val="single" w:sz="4" w:space="0" w:color="auto"/>
              <w:left w:val="single" w:sz="4" w:space="0" w:color="auto"/>
            </w:tcBorders>
            <w:shd w:val="clear" w:color="auto" w:fill="FFFFFF"/>
          </w:tcPr>
          <w:p w:rsidR="00642FB4" w:rsidRDefault="00642FB4">
            <w:r>
              <w:t>Луги</w:t>
            </w:r>
          </w:p>
        </w:tc>
        <w:tc>
          <w:tcPr>
            <w:tcW w:w="567" w:type="dxa"/>
            <w:tcBorders>
              <w:top w:val="single" w:sz="4" w:space="0" w:color="auto"/>
              <w:left w:val="single" w:sz="4" w:space="0" w:color="auto"/>
            </w:tcBorders>
            <w:shd w:val="clear" w:color="auto" w:fill="FFFFFF"/>
            <w:vAlign w:val="center"/>
          </w:tcPr>
          <w:p w:rsidR="00642FB4" w:rsidRDefault="00642FB4">
            <w:r>
              <w:t>га</w:t>
            </w:r>
          </w:p>
        </w:tc>
        <w:tc>
          <w:tcPr>
            <w:tcW w:w="851" w:type="dxa"/>
            <w:tcBorders>
              <w:top w:val="single" w:sz="4" w:space="0" w:color="auto"/>
              <w:left w:val="single" w:sz="4" w:space="0" w:color="auto"/>
            </w:tcBorders>
            <w:shd w:val="clear" w:color="auto" w:fill="FFFFFF"/>
            <w:vAlign w:val="center"/>
          </w:tcPr>
          <w:p w:rsidR="00642FB4" w:rsidRDefault="00642FB4">
            <w:r>
              <w:t>293</w:t>
            </w:r>
          </w:p>
        </w:tc>
        <w:tc>
          <w:tcPr>
            <w:tcW w:w="992" w:type="dxa"/>
            <w:tcBorders>
              <w:top w:val="single" w:sz="4" w:space="0" w:color="auto"/>
              <w:left w:val="single" w:sz="4" w:space="0" w:color="auto"/>
            </w:tcBorders>
            <w:shd w:val="clear" w:color="auto" w:fill="FFFFFF"/>
            <w:vAlign w:val="center"/>
          </w:tcPr>
          <w:p w:rsidR="00642FB4" w:rsidRDefault="00642FB4">
            <w:r>
              <w:t>2 488</w:t>
            </w:r>
          </w:p>
        </w:tc>
        <w:tc>
          <w:tcPr>
            <w:tcW w:w="992" w:type="dxa"/>
            <w:tcBorders>
              <w:top w:val="single" w:sz="4" w:space="0" w:color="auto"/>
              <w:left w:val="single" w:sz="4" w:space="0" w:color="auto"/>
            </w:tcBorders>
            <w:shd w:val="clear" w:color="auto" w:fill="FFFFFF"/>
            <w:vAlign w:val="center"/>
          </w:tcPr>
          <w:p w:rsidR="00642FB4" w:rsidRDefault="00642FB4">
            <w:r>
              <w:t>1 609</w:t>
            </w:r>
          </w:p>
        </w:tc>
        <w:tc>
          <w:tcPr>
            <w:tcW w:w="851" w:type="dxa"/>
            <w:tcBorders>
              <w:top w:val="single" w:sz="4" w:space="0" w:color="auto"/>
              <w:left w:val="single" w:sz="4" w:space="0" w:color="auto"/>
            </w:tcBorders>
            <w:shd w:val="clear" w:color="auto" w:fill="FFFFFF"/>
            <w:vAlign w:val="center"/>
          </w:tcPr>
          <w:p w:rsidR="00642FB4" w:rsidRDefault="00642FB4">
            <w:r>
              <w:t>9 513</w:t>
            </w:r>
          </w:p>
        </w:tc>
        <w:tc>
          <w:tcPr>
            <w:tcW w:w="850" w:type="dxa"/>
            <w:tcBorders>
              <w:top w:val="single" w:sz="4" w:space="0" w:color="auto"/>
              <w:left w:val="single" w:sz="4" w:space="0" w:color="auto"/>
            </w:tcBorders>
            <w:shd w:val="clear" w:color="auto" w:fill="FFFFFF"/>
            <w:vAlign w:val="center"/>
          </w:tcPr>
          <w:p w:rsidR="00642FB4" w:rsidRDefault="00642FB4">
            <w:r>
              <w:t>732</w:t>
            </w:r>
          </w:p>
        </w:tc>
        <w:tc>
          <w:tcPr>
            <w:tcW w:w="608" w:type="dxa"/>
            <w:tcBorders>
              <w:top w:val="single" w:sz="4" w:space="0" w:color="auto"/>
              <w:left w:val="single" w:sz="4" w:space="0" w:color="auto"/>
            </w:tcBorders>
            <w:shd w:val="clear" w:color="auto" w:fill="FFFFFF"/>
            <w:vAlign w:val="center"/>
          </w:tcPr>
          <w:p w:rsidR="00642FB4" w:rsidRDefault="00642FB4">
            <w:r>
              <w:t>0</w:t>
            </w:r>
          </w:p>
        </w:tc>
        <w:tc>
          <w:tcPr>
            <w:tcW w:w="1500" w:type="dxa"/>
            <w:tcBorders>
              <w:top w:val="single" w:sz="4" w:space="0" w:color="auto"/>
              <w:left w:val="single" w:sz="4" w:space="0" w:color="auto"/>
              <w:right w:val="single" w:sz="4" w:space="0" w:color="auto"/>
            </w:tcBorders>
            <w:shd w:val="clear" w:color="auto" w:fill="FFFFFF"/>
            <w:vAlign w:val="center"/>
          </w:tcPr>
          <w:p w:rsidR="00642FB4" w:rsidRDefault="00642FB4">
            <w:r>
              <w:t>14 635</w:t>
            </w:r>
          </w:p>
        </w:tc>
      </w:tr>
      <w:tr w:rsidR="00642FB4">
        <w:trPr>
          <w:trHeight w:hRule="exact" w:val="675"/>
        </w:trPr>
        <w:tc>
          <w:tcPr>
            <w:tcW w:w="623" w:type="dxa"/>
            <w:tcBorders>
              <w:top w:val="single" w:sz="4" w:space="0" w:color="auto"/>
              <w:left w:val="single" w:sz="4" w:space="0" w:color="auto"/>
            </w:tcBorders>
            <w:shd w:val="clear" w:color="auto" w:fill="FFFFFF"/>
          </w:tcPr>
          <w:p w:rsidR="00642FB4" w:rsidRDefault="00642FB4">
            <w:r>
              <w:t>4</w:t>
            </w:r>
          </w:p>
        </w:tc>
        <w:tc>
          <w:tcPr>
            <w:tcW w:w="1230" w:type="dxa"/>
            <w:tcBorders>
              <w:top w:val="single" w:sz="4" w:space="0" w:color="auto"/>
              <w:left w:val="single" w:sz="4" w:space="0" w:color="auto"/>
            </w:tcBorders>
            <w:shd w:val="clear" w:color="auto" w:fill="FFFFFF"/>
            <w:vAlign w:val="center"/>
          </w:tcPr>
          <w:p w:rsidR="00642FB4" w:rsidRDefault="00642FB4">
            <w:r>
              <w:t>Виноградники</w:t>
            </w:r>
          </w:p>
        </w:tc>
        <w:tc>
          <w:tcPr>
            <w:tcW w:w="567" w:type="dxa"/>
            <w:tcBorders>
              <w:top w:val="single" w:sz="4" w:space="0" w:color="auto"/>
              <w:left w:val="single" w:sz="4" w:space="0" w:color="auto"/>
            </w:tcBorders>
            <w:shd w:val="clear" w:color="auto" w:fill="FFFFFF"/>
            <w:vAlign w:val="center"/>
          </w:tcPr>
          <w:p w:rsidR="00642FB4" w:rsidRDefault="00642FB4">
            <w:r>
              <w:t>га</w:t>
            </w:r>
          </w:p>
        </w:tc>
        <w:tc>
          <w:tcPr>
            <w:tcW w:w="851" w:type="dxa"/>
            <w:tcBorders>
              <w:top w:val="single" w:sz="4" w:space="0" w:color="auto"/>
              <w:left w:val="single" w:sz="4" w:space="0" w:color="auto"/>
            </w:tcBorders>
            <w:shd w:val="clear" w:color="auto" w:fill="FFFFFF"/>
            <w:vAlign w:val="center"/>
          </w:tcPr>
          <w:p w:rsidR="00642FB4" w:rsidRDefault="00642FB4">
            <w:r>
              <w:t>0</w:t>
            </w:r>
          </w:p>
        </w:tc>
        <w:tc>
          <w:tcPr>
            <w:tcW w:w="992" w:type="dxa"/>
            <w:tcBorders>
              <w:top w:val="single" w:sz="4" w:space="0" w:color="auto"/>
              <w:left w:val="single" w:sz="4" w:space="0" w:color="auto"/>
            </w:tcBorders>
            <w:shd w:val="clear" w:color="auto" w:fill="FFFFFF"/>
            <w:vAlign w:val="center"/>
          </w:tcPr>
          <w:p w:rsidR="00642FB4" w:rsidRDefault="00642FB4">
            <w:r>
              <w:t>0</w:t>
            </w:r>
          </w:p>
        </w:tc>
        <w:tc>
          <w:tcPr>
            <w:tcW w:w="992" w:type="dxa"/>
            <w:tcBorders>
              <w:top w:val="single" w:sz="4" w:space="0" w:color="auto"/>
              <w:left w:val="single" w:sz="4" w:space="0" w:color="auto"/>
            </w:tcBorders>
            <w:shd w:val="clear" w:color="auto" w:fill="FFFFFF"/>
            <w:vAlign w:val="center"/>
          </w:tcPr>
          <w:p w:rsidR="00642FB4" w:rsidRDefault="00642FB4">
            <w:r>
              <w:t>23</w:t>
            </w:r>
          </w:p>
        </w:tc>
        <w:tc>
          <w:tcPr>
            <w:tcW w:w="851" w:type="dxa"/>
            <w:tcBorders>
              <w:top w:val="single" w:sz="4" w:space="0" w:color="auto"/>
              <w:left w:val="single" w:sz="4" w:space="0" w:color="auto"/>
            </w:tcBorders>
            <w:shd w:val="clear" w:color="auto" w:fill="FFFFFF"/>
            <w:vAlign w:val="center"/>
          </w:tcPr>
          <w:p w:rsidR="00642FB4" w:rsidRDefault="00642FB4">
            <w:r>
              <w:t>600</w:t>
            </w:r>
          </w:p>
        </w:tc>
        <w:tc>
          <w:tcPr>
            <w:tcW w:w="850" w:type="dxa"/>
            <w:tcBorders>
              <w:top w:val="single" w:sz="4" w:space="0" w:color="auto"/>
              <w:left w:val="single" w:sz="4" w:space="0" w:color="auto"/>
            </w:tcBorders>
            <w:shd w:val="clear" w:color="auto" w:fill="FFFFFF"/>
            <w:vAlign w:val="center"/>
          </w:tcPr>
          <w:p w:rsidR="00642FB4" w:rsidRDefault="00642FB4">
            <w:r>
              <w:t>1 067</w:t>
            </w:r>
          </w:p>
        </w:tc>
        <w:tc>
          <w:tcPr>
            <w:tcW w:w="608" w:type="dxa"/>
            <w:tcBorders>
              <w:top w:val="single" w:sz="4" w:space="0" w:color="auto"/>
              <w:left w:val="single" w:sz="4" w:space="0" w:color="auto"/>
            </w:tcBorders>
            <w:shd w:val="clear" w:color="auto" w:fill="FFFFFF"/>
            <w:vAlign w:val="center"/>
          </w:tcPr>
          <w:p w:rsidR="00642FB4" w:rsidRDefault="00642FB4">
            <w:r>
              <w:t>0</w:t>
            </w:r>
          </w:p>
        </w:tc>
        <w:tc>
          <w:tcPr>
            <w:tcW w:w="1500" w:type="dxa"/>
            <w:tcBorders>
              <w:top w:val="single" w:sz="4" w:space="0" w:color="auto"/>
              <w:left w:val="single" w:sz="4" w:space="0" w:color="auto"/>
              <w:right w:val="single" w:sz="4" w:space="0" w:color="auto"/>
            </w:tcBorders>
            <w:shd w:val="clear" w:color="auto" w:fill="FFFFFF"/>
            <w:vAlign w:val="center"/>
          </w:tcPr>
          <w:p w:rsidR="00642FB4" w:rsidRDefault="00642FB4">
            <w:r>
              <w:t>1 680</w:t>
            </w:r>
          </w:p>
        </w:tc>
      </w:tr>
      <w:tr w:rsidR="00642FB4">
        <w:trPr>
          <w:trHeight w:hRule="exact" w:val="690"/>
        </w:trPr>
        <w:tc>
          <w:tcPr>
            <w:tcW w:w="623" w:type="dxa"/>
            <w:tcBorders>
              <w:top w:val="single" w:sz="4" w:space="0" w:color="auto"/>
              <w:left w:val="single" w:sz="4" w:space="0" w:color="auto"/>
            </w:tcBorders>
            <w:shd w:val="clear" w:color="auto" w:fill="FFFFFF"/>
          </w:tcPr>
          <w:p w:rsidR="00642FB4" w:rsidRDefault="00642FB4">
            <w:r>
              <w:t>5</w:t>
            </w:r>
          </w:p>
        </w:tc>
        <w:tc>
          <w:tcPr>
            <w:tcW w:w="1230" w:type="dxa"/>
            <w:tcBorders>
              <w:top w:val="single" w:sz="4" w:space="0" w:color="auto"/>
              <w:left w:val="single" w:sz="4" w:space="0" w:color="auto"/>
            </w:tcBorders>
            <w:shd w:val="clear" w:color="auto" w:fill="FFFFFF"/>
            <w:vAlign w:val="center"/>
          </w:tcPr>
          <w:p w:rsidR="00642FB4" w:rsidRDefault="00642FB4">
            <w:r>
              <w:t>Сади</w:t>
            </w:r>
          </w:p>
        </w:tc>
        <w:tc>
          <w:tcPr>
            <w:tcW w:w="567" w:type="dxa"/>
            <w:tcBorders>
              <w:top w:val="single" w:sz="4" w:space="0" w:color="auto"/>
              <w:left w:val="single" w:sz="4" w:space="0" w:color="auto"/>
            </w:tcBorders>
            <w:shd w:val="clear" w:color="auto" w:fill="FFFFFF"/>
            <w:vAlign w:val="center"/>
          </w:tcPr>
          <w:p w:rsidR="00642FB4" w:rsidRDefault="00642FB4">
            <w:r>
              <w:t>га</w:t>
            </w:r>
          </w:p>
        </w:tc>
        <w:tc>
          <w:tcPr>
            <w:tcW w:w="851" w:type="dxa"/>
            <w:tcBorders>
              <w:top w:val="single" w:sz="4" w:space="0" w:color="auto"/>
              <w:left w:val="single" w:sz="4" w:space="0" w:color="auto"/>
            </w:tcBorders>
            <w:shd w:val="clear" w:color="auto" w:fill="FFFFFF"/>
            <w:vAlign w:val="center"/>
          </w:tcPr>
          <w:p w:rsidR="00642FB4" w:rsidRDefault="00642FB4">
            <w:r>
              <w:t>33</w:t>
            </w:r>
          </w:p>
        </w:tc>
        <w:tc>
          <w:tcPr>
            <w:tcW w:w="992" w:type="dxa"/>
            <w:tcBorders>
              <w:top w:val="single" w:sz="4" w:space="0" w:color="auto"/>
              <w:left w:val="single" w:sz="4" w:space="0" w:color="auto"/>
            </w:tcBorders>
            <w:shd w:val="clear" w:color="auto" w:fill="FFFFFF"/>
            <w:vAlign w:val="center"/>
          </w:tcPr>
          <w:p w:rsidR="00642FB4" w:rsidRDefault="00642FB4">
            <w:r>
              <w:t>395</w:t>
            </w:r>
          </w:p>
        </w:tc>
        <w:tc>
          <w:tcPr>
            <w:tcW w:w="992" w:type="dxa"/>
            <w:tcBorders>
              <w:top w:val="single" w:sz="4" w:space="0" w:color="auto"/>
              <w:left w:val="single" w:sz="4" w:space="0" w:color="auto"/>
            </w:tcBorders>
            <w:shd w:val="clear" w:color="auto" w:fill="FFFFFF"/>
            <w:vAlign w:val="center"/>
          </w:tcPr>
          <w:p w:rsidR="00642FB4" w:rsidRDefault="00642FB4">
            <w:r>
              <w:t>11</w:t>
            </w:r>
          </w:p>
        </w:tc>
        <w:tc>
          <w:tcPr>
            <w:tcW w:w="851" w:type="dxa"/>
            <w:tcBorders>
              <w:top w:val="single" w:sz="4" w:space="0" w:color="auto"/>
              <w:left w:val="single" w:sz="4" w:space="0" w:color="auto"/>
            </w:tcBorders>
            <w:shd w:val="clear" w:color="auto" w:fill="FFFFFF"/>
            <w:vAlign w:val="center"/>
          </w:tcPr>
          <w:p w:rsidR="00642FB4" w:rsidRDefault="00642FB4">
            <w:r>
              <w:t>117</w:t>
            </w:r>
          </w:p>
        </w:tc>
        <w:tc>
          <w:tcPr>
            <w:tcW w:w="850" w:type="dxa"/>
            <w:tcBorders>
              <w:top w:val="single" w:sz="4" w:space="0" w:color="auto"/>
              <w:left w:val="single" w:sz="4" w:space="0" w:color="auto"/>
            </w:tcBorders>
            <w:shd w:val="clear" w:color="auto" w:fill="FFFFFF"/>
            <w:vAlign w:val="center"/>
          </w:tcPr>
          <w:p w:rsidR="00642FB4" w:rsidRDefault="00642FB4">
            <w:r>
              <w:t>2 003</w:t>
            </w:r>
          </w:p>
        </w:tc>
        <w:tc>
          <w:tcPr>
            <w:tcW w:w="608" w:type="dxa"/>
            <w:tcBorders>
              <w:top w:val="single" w:sz="4" w:space="0" w:color="auto"/>
              <w:left w:val="single" w:sz="4" w:space="0" w:color="auto"/>
            </w:tcBorders>
            <w:shd w:val="clear" w:color="auto" w:fill="FFFFFF"/>
            <w:vAlign w:val="center"/>
          </w:tcPr>
          <w:p w:rsidR="00642FB4" w:rsidRDefault="00642FB4">
            <w:r>
              <w:t>0</w:t>
            </w:r>
          </w:p>
        </w:tc>
        <w:tc>
          <w:tcPr>
            <w:tcW w:w="1500" w:type="dxa"/>
            <w:tcBorders>
              <w:top w:val="single" w:sz="4" w:space="0" w:color="auto"/>
              <w:left w:val="single" w:sz="4" w:space="0" w:color="auto"/>
              <w:right w:val="single" w:sz="4" w:space="0" w:color="auto"/>
            </w:tcBorders>
            <w:shd w:val="clear" w:color="auto" w:fill="FFFFFF"/>
            <w:vAlign w:val="center"/>
          </w:tcPr>
          <w:p w:rsidR="00642FB4" w:rsidRDefault="00642FB4">
            <w:r>
              <w:t>2 556</w:t>
            </w:r>
          </w:p>
        </w:tc>
      </w:tr>
      <w:tr w:rsidR="00642FB4">
        <w:trPr>
          <w:trHeight w:hRule="exact" w:val="690"/>
        </w:trPr>
        <w:tc>
          <w:tcPr>
            <w:tcW w:w="623" w:type="dxa"/>
            <w:tcBorders>
              <w:top w:val="single" w:sz="4" w:space="0" w:color="auto"/>
              <w:left w:val="single" w:sz="4" w:space="0" w:color="auto"/>
              <w:bottom w:val="single" w:sz="4" w:space="0" w:color="auto"/>
            </w:tcBorders>
            <w:shd w:val="clear" w:color="auto" w:fill="FFFFFF"/>
          </w:tcPr>
          <w:p w:rsidR="00642FB4" w:rsidRDefault="00642FB4"/>
        </w:tc>
        <w:tc>
          <w:tcPr>
            <w:tcW w:w="1230" w:type="dxa"/>
            <w:tcBorders>
              <w:top w:val="single" w:sz="4" w:space="0" w:color="auto"/>
              <w:left w:val="single" w:sz="4" w:space="0" w:color="auto"/>
              <w:bottom w:val="single" w:sz="4" w:space="0" w:color="auto"/>
            </w:tcBorders>
            <w:shd w:val="clear" w:color="auto" w:fill="FFFFFF"/>
            <w:vAlign w:val="center"/>
          </w:tcPr>
          <w:p w:rsidR="00642FB4" w:rsidRDefault="00642FB4">
            <w:r>
              <w:t>ВСЬОГО</w:t>
            </w:r>
          </w:p>
        </w:tc>
        <w:tc>
          <w:tcPr>
            <w:tcW w:w="567" w:type="dxa"/>
            <w:tcBorders>
              <w:top w:val="single" w:sz="4" w:space="0" w:color="auto"/>
              <w:left w:val="single" w:sz="4" w:space="0" w:color="auto"/>
              <w:bottom w:val="single" w:sz="4" w:space="0" w:color="auto"/>
            </w:tcBorders>
            <w:shd w:val="clear" w:color="auto" w:fill="FFFFFF"/>
            <w:vAlign w:val="center"/>
          </w:tcPr>
          <w:p w:rsidR="00642FB4" w:rsidRDefault="00642FB4">
            <w:r>
              <w:rPr>
                <w:i/>
              </w:rPr>
              <w:t>га</w:t>
            </w:r>
          </w:p>
        </w:tc>
        <w:tc>
          <w:tcPr>
            <w:tcW w:w="851" w:type="dxa"/>
            <w:tcBorders>
              <w:top w:val="single" w:sz="4" w:space="0" w:color="auto"/>
              <w:left w:val="single" w:sz="4" w:space="0" w:color="auto"/>
              <w:bottom w:val="single" w:sz="4" w:space="0" w:color="auto"/>
            </w:tcBorders>
            <w:shd w:val="clear" w:color="auto" w:fill="FFFFFF"/>
            <w:vAlign w:val="center"/>
          </w:tcPr>
          <w:p w:rsidR="00642FB4" w:rsidRDefault="00642FB4">
            <w:r>
              <w:rPr>
                <w:i/>
              </w:rPr>
              <w:t>16 208</w:t>
            </w:r>
          </w:p>
        </w:tc>
        <w:tc>
          <w:tcPr>
            <w:tcW w:w="992" w:type="dxa"/>
            <w:tcBorders>
              <w:top w:val="single" w:sz="4" w:space="0" w:color="auto"/>
              <w:left w:val="single" w:sz="4" w:space="0" w:color="auto"/>
              <w:bottom w:val="single" w:sz="4" w:space="0" w:color="auto"/>
            </w:tcBorders>
            <w:shd w:val="clear" w:color="auto" w:fill="FFFFFF"/>
            <w:vAlign w:val="center"/>
          </w:tcPr>
          <w:p w:rsidR="00642FB4" w:rsidRDefault="00642FB4">
            <w:r>
              <w:rPr>
                <w:i/>
              </w:rPr>
              <w:t>125 667</w:t>
            </w:r>
          </w:p>
        </w:tc>
        <w:tc>
          <w:tcPr>
            <w:tcW w:w="992" w:type="dxa"/>
            <w:tcBorders>
              <w:top w:val="single" w:sz="4" w:space="0" w:color="auto"/>
              <w:left w:val="single" w:sz="4" w:space="0" w:color="auto"/>
              <w:bottom w:val="single" w:sz="4" w:space="0" w:color="auto"/>
            </w:tcBorders>
            <w:shd w:val="clear" w:color="auto" w:fill="FFFFFF"/>
            <w:vAlign w:val="center"/>
          </w:tcPr>
          <w:p w:rsidR="00642FB4" w:rsidRDefault="00642FB4">
            <w:r>
              <w:rPr>
                <w:i/>
              </w:rPr>
              <w:t>128 956</w:t>
            </w:r>
          </w:p>
        </w:tc>
        <w:tc>
          <w:tcPr>
            <w:tcW w:w="851" w:type="dxa"/>
            <w:tcBorders>
              <w:top w:val="single" w:sz="4" w:space="0" w:color="auto"/>
              <w:left w:val="single" w:sz="4" w:space="0" w:color="auto"/>
              <w:bottom w:val="single" w:sz="4" w:space="0" w:color="auto"/>
            </w:tcBorders>
            <w:shd w:val="clear" w:color="auto" w:fill="FFFFFF"/>
            <w:vAlign w:val="center"/>
          </w:tcPr>
          <w:p w:rsidR="00642FB4" w:rsidRDefault="00642FB4">
            <w:r>
              <w:rPr>
                <w:i/>
              </w:rPr>
              <w:t>96 048</w:t>
            </w:r>
          </w:p>
        </w:tc>
        <w:tc>
          <w:tcPr>
            <w:tcW w:w="850" w:type="dxa"/>
            <w:tcBorders>
              <w:top w:val="single" w:sz="4" w:space="0" w:color="auto"/>
              <w:left w:val="single" w:sz="4" w:space="0" w:color="auto"/>
              <w:bottom w:val="single" w:sz="4" w:space="0" w:color="auto"/>
            </w:tcBorders>
            <w:shd w:val="clear" w:color="auto" w:fill="FFFFFF"/>
            <w:vAlign w:val="center"/>
          </w:tcPr>
          <w:p w:rsidR="00642FB4" w:rsidRDefault="00642FB4">
            <w:r>
              <w:rPr>
                <w:i/>
              </w:rPr>
              <w:t>25 890</w:t>
            </w:r>
          </w:p>
        </w:tc>
        <w:tc>
          <w:tcPr>
            <w:tcW w:w="608" w:type="dxa"/>
            <w:tcBorders>
              <w:top w:val="single" w:sz="4" w:space="0" w:color="auto"/>
              <w:left w:val="single" w:sz="4" w:space="0" w:color="auto"/>
              <w:bottom w:val="single" w:sz="4" w:space="0" w:color="auto"/>
            </w:tcBorders>
            <w:shd w:val="clear" w:color="auto" w:fill="FFFFFF"/>
            <w:vAlign w:val="center"/>
          </w:tcPr>
          <w:p w:rsidR="00642FB4" w:rsidRDefault="00642FB4">
            <w:r>
              <w:rPr>
                <w:i/>
              </w:rPr>
              <w:t>0</w:t>
            </w:r>
          </w:p>
        </w:tc>
        <w:tc>
          <w:tcPr>
            <w:tcW w:w="1500" w:type="dxa"/>
            <w:tcBorders>
              <w:top w:val="single" w:sz="4" w:space="0" w:color="auto"/>
              <w:left w:val="single" w:sz="4" w:space="0" w:color="auto"/>
              <w:bottom w:val="single" w:sz="4" w:space="0" w:color="auto"/>
              <w:right w:val="single" w:sz="4" w:space="0" w:color="auto"/>
            </w:tcBorders>
            <w:shd w:val="clear" w:color="auto" w:fill="FFFFFF"/>
            <w:vAlign w:val="center"/>
          </w:tcPr>
          <w:p w:rsidR="00642FB4" w:rsidRDefault="00642FB4">
            <w:r>
              <w:rPr>
                <w:i/>
              </w:rPr>
              <w:t>392 769</w:t>
            </w:r>
          </w:p>
        </w:tc>
      </w:tr>
    </w:tbl>
    <w:p w:rsidR="00642FB4" w:rsidRDefault="00642FB4">
      <w:r>
        <w:t>Джерело: ДА Ботошань</w:t>
      </w:r>
    </w:p>
    <w:p w:rsidR="00642FB4" w:rsidRDefault="00642FB4">
      <w:pPr>
        <w:spacing w:before="60" w:after="60" w:line="288" w:lineRule="auto"/>
        <w:jc w:val="center"/>
      </w:pPr>
    </w:p>
    <w:p w:rsidR="00642FB4" w:rsidRDefault="00642FB4">
      <w:pPr>
        <w:spacing w:before="60" w:after="60" w:line="288" w:lineRule="auto"/>
        <w:jc w:val="both"/>
      </w:pPr>
    </w:p>
    <w:p w:rsidR="00642FB4" w:rsidRDefault="00642FB4">
      <w:pPr>
        <w:spacing w:before="60" w:after="60" w:line="288" w:lineRule="auto"/>
        <w:ind w:firstLine="720"/>
        <w:jc w:val="both"/>
      </w:pPr>
      <w:r>
        <w:t>Протягом 2013 року, в повіті Ботошань не відбулося аварійних забруднень довкілля чи серйозних інцидентів, які би сприяли забрудненню ґрунту.</w:t>
      </w:r>
    </w:p>
    <w:p w:rsidR="00642FB4" w:rsidRDefault="00642FB4">
      <w:pPr>
        <w:spacing w:before="60" w:after="60" w:line="288" w:lineRule="auto"/>
        <w:jc w:val="both"/>
      </w:pPr>
    </w:p>
    <w:p w:rsidR="00642FB4" w:rsidRDefault="00642FB4">
      <w:pPr>
        <w:pStyle w:val="Heading1"/>
        <w:rPr>
          <w:rFonts w:ascii="Arial" w:hAnsi="Arial" w:cs="Arial"/>
          <w:sz w:val="24"/>
          <w:szCs w:val="24"/>
        </w:rPr>
      </w:pPr>
      <w:bookmarkStart w:id="16" w:name="_Toc418279300"/>
      <w:bookmarkStart w:id="17" w:name="_Toc419199662"/>
      <w:r>
        <w:rPr>
          <w:rFonts w:ascii="Arial" w:hAnsi="Arial"/>
          <w:sz w:val="24"/>
        </w:rPr>
        <w:t>4.2 Повіт Марамуреш</w:t>
      </w:r>
      <w:bookmarkEnd w:id="16"/>
      <w:bookmarkEnd w:id="17"/>
    </w:p>
    <w:p w:rsidR="00642FB4" w:rsidRDefault="00642FB4">
      <w:pPr>
        <w:spacing w:before="60" w:after="60" w:line="288" w:lineRule="auto"/>
        <w:jc w:val="both"/>
        <w:rPr>
          <w:b/>
          <w:u w:val="single"/>
        </w:rPr>
      </w:pPr>
    </w:p>
    <w:p w:rsidR="00642FB4" w:rsidRDefault="00642FB4">
      <w:pPr>
        <w:numPr>
          <w:ilvl w:val="0"/>
          <w:numId w:val="1"/>
        </w:numPr>
        <w:spacing w:before="60" w:after="60" w:line="288" w:lineRule="auto"/>
        <w:jc w:val="both"/>
        <w:rPr>
          <w:b/>
        </w:rPr>
      </w:pPr>
      <w:r>
        <w:rPr>
          <w:b/>
        </w:rPr>
        <w:t>ПОВІТРЯ</w:t>
      </w:r>
    </w:p>
    <w:p w:rsidR="00642FB4" w:rsidRDefault="00642FB4">
      <w:pPr>
        <w:spacing w:before="60" w:after="60" w:line="288" w:lineRule="auto"/>
        <w:ind w:firstLine="630"/>
        <w:jc w:val="both"/>
        <w:rPr>
          <w:bCs/>
          <w:i/>
        </w:rPr>
      </w:pPr>
      <w:r>
        <w:rPr>
          <w:i/>
        </w:rPr>
        <w:t>Діоксид сірки (SO</w:t>
      </w:r>
      <w:r>
        <w:rPr>
          <w:i/>
          <w:vertAlign w:val="subscript"/>
        </w:rPr>
        <w:t>2</w:t>
      </w:r>
      <w:r>
        <w:rPr>
          <w:i/>
        </w:rPr>
        <w:t>)</w:t>
      </w:r>
    </w:p>
    <w:p w:rsidR="00642FB4" w:rsidRDefault="00642FB4">
      <w:pPr>
        <w:autoSpaceDE w:val="0"/>
        <w:autoSpaceDN w:val="0"/>
        <w:adjustRightInd w:val="0"/>
        <w:spacing w:before="60" w:after="60" w:line="288" w:lineRule="auto"/>
        <w:ind w:firstLine="720"/>
        <w:jc w:val="both"/>
        <w:rPr>
          <w:rFonts w:eastAsia="Calibri" w:cs="Arial"/>
          <w:color w:val="000000"/>
        </w:rPr>
      </w:pPr>
      <w:r>
        <w:rPr>
          <w:color w:val="000000"/>
        </w:rPr>
        <w:t>У 2013 році з інвентаризації викидів забруднюючих речовин в атмосферу в повіті Марамуреш, не виявлено жодних викидів SO</w:t>
      </w:r>
      <w:r>
        <w:rPr>
          <w:color w:val="000000"/>
          <w:vertAlign w:val="subscript"/>
        </w:rPr>
        <w:t>2</w:t>
      </w:r>
      <w:r>
        <w:rPr>
          <w:color w:val="000000"/>
        </w:rPr>
        <w:t xml:space="preserve">. Еволюція річних викидів діоксиду сірки в атмосферу за останні десять років приведена в </w:t>
      </w:r>
      <w:r>
        <w:rPr>
          <w:b/>
          <w:color w:val="000000"/>
        </w:rPr>
        <w:t>таблиці 4.2.1</w:t>
      </w:r>
      <w:r>
        <w:rPr>
          <w:color w:val="000000"/>
        </w:rPr>
        <w:t>:</w:t>
      </w:r>
    </w:p>
    <w:p w:rsidR="00642FB4" w:rsidRDefault="00642FB4">
      <w:pPr>
        <w:spacing w:before="60" w:after="60" w:line="288" w:lineRule="auto"/>
        <w:jc w:val="both"/>
        <w:rPr>
          <w:i/>
        </w:rPr>
      </w:pPr>
    </w:p>
    <w:p w:rsidR="00642FB4" w:rsidRDefault="00642FB4">
      <w:pPr>
        <w:autoSpaceDE w:val="0"/>
        <w:autoSpaceDN w:val="0"/>
        <w:adjustRightInd w:val="0"/>
        <w:spacing w:before="60" w:after="60" w:line="288" w:lineRule="auto"/>
        <w:ind w:left="360"/>
        <w:jc w:val="center"/>
        <w:rPr>
          <w:rFonts w:eastAsia="Calibri" w:cs="Arial"/>
          <w:b/>
          <w:bCs/>
          <w:i/>
          <w:sz w:val="22"/>
          <w:szCs w:val="22"/>
        </w:rPr>
      </w:pPr>
      <w:r>
        <w:rPr>
          <w:b/>
          <w:i/>
          <w:sz w:val="22"/>
        </w:rPr>
        <w:t xml:space="preserve">Таблиця 4.2.1 </w:t>
      </w:r>
      <w:r>
        <w:t>Річні викиди діоксиду сірки</w:t>
      </w:r>
    </w:p>
    <w:p w:rsidR="00642FB4" w:rsidRDefault="00642FB4"/>
    <w:tbl>
      <w:tblPr>
        <w:tblW w:w="9356" w:type="dxa"/>
        <w:tblInd w:w="5" w:type="dxa"/>
        <w:tblLayout w:type="fixed"/>
        <w:tblCellMar>
          <w:left w:w="0" w:type="dxa"/>
          <w:right w:w="0" w:type="dxa"/>
        </w:tblCellMar>
        <w:tblLook w:val="0000" w:firstRow="0" w:lastRow="0" w:firstColumn="0" w:lastColumn="0" w:noHBand="0" w:noVBand="0"/>
      </w:tblPr>
      <w:tblGrid>
        <w:gridCol w:w="2288"/>
        <w:gridCol w:w="689"/>
        <w:gridCol w:w="709"/>
        <w:gridCol w:w="709"/>
        <w:gridCol w:w="708"/>
        <w:gridCol w:w="709"/>
        <w:gridCol w:w="709"/>
        <w:gridCol w:w="709"/>
        <w:gridCol w:w="708"/>
        <w:gridCol w:w="709"/>
        <w:gridCol w:w="709"/>
      </w:tblGrid>
      <w:tr w:rsidR="00642FB4">
        <w:trPr>
          <w:trHeight w:val="518"/>
        </w:trPr>
        <w:tc>
          <w:tcPr>
            <w:tcW w:w="2288" w:type="dxa"/>
            <w:tcBorders>
              <w:top w:val="single" w:sz="4" w:space="0" w:color="auto"/>
              <w:left w:val="single" w:sz="4" w:space="0" w:color="auto"/>
              <w:bottom w:val="nil"/>
              <w:right w:val="nil"/>
            </w:tcBorders>
            <w:shd w:val="clear" w:color="auto" w:fill="FFFFFF"/>
          </w:tcPr>
          <w:p w:rsidR="00642FB4" w:rsidRDefault="00642FB4">
            <w:r>
              <w:t>Повіт Марамуреш Всього</w:t>
            </w:r>
          </w:p>
        </w:tc>
        <w:tc>
          <w:tcPr>
            <w:tcW w:w="689" w:type="dxa"/>
            <w:tcBorders>
              <w:top w:val="single" w:sz="4" w:space="0" w:color="auto"/>
              <w:left w:val="single" w:sz="4" w:space="0" w:color="auto"/>
              <w:bottom w:val="nil"/>
              <w:right w:val="nil"/>
            </w:tcBorders>
            <w:shd w:val="clear" w:color="auto" w:fill="FFFFFF"/>
            <w:vAlign w:val="center"/>
          </w:tcPr>
          <w:p w:rsidR="00642FB4" w:rsidRDefault="00642FB4">
            <w:r>
              <w:t>2004</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2005</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2006</w:t>
            </w:r>
          </w:p>
        </w:tc>
        <w:tc>
          <w:tcPr>
            <w:tcW w:w="708" w:type="dxa"/>
            <w:tcBorders>
              <w:top w:val="single" w:sz="4" w:space="0" w:color="auto"/>
              <w:left w:val="single" w:sz="4" w:space="0" w:color="auto"/>
              <w:bottom w:val="nil"/>
              <w:right w:val="nil"/>
            </w:tcBorders>
            <w:shd w:val="clear" w:color="auto" w:fill="FFFFFF"/>
            <w:vAlign w:val="center"/>
          </w:tcPr>
          <w:p w:rsidR="00642FB4" w:rsidRDefault="00642FB4">
            <w:r>
              <w:t>2007</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2008</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2009</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2010</w:t>
            </w:r>
          </w:p>
        </w:tc>
        <w:tc>
          <w:tcPr>
            <w:tcW w:w="708" w:type="dxa"/>
            <w:tcBorders>
              <w:top w:val="single" w:sz="4" w:space="0" w:color="auto"/>
              <w:left w:val="single" w:sz="4" w:space="0" w:color="auto"/>
              <w:bottom w:val="nil"/>
              <w:right w:val="nil"/>
            </w:tcBorders>
            <w:shd w:val="clear" w:color="auto" w:fill="FFFFFF"/>
            <w:vAlign w:val="center"/>
          </w:tcPr>
          <w:p w:rsidR="00642FB4" w:rsidRDefault="00642FB4">
            <w:r>
              <w:t>2011</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2012</w:t>
            </w:r>
          </w:p>
        </w:tc>
        <w:tc>
          <w:tcPr>
            <w:tcW w:w="709" w:type="dxa"/>
            <w:tcBorders>
              <w:top w:val="single" w:sz="4" w:space="0" w:color="auto"/>
              <w:left w:val="single" w:sz="4" w:space="0" w:color="auto"/>
              <w:bottom w:val="nil"/>
              <w:right w:val="single" w:sz="4" w:space="0" w:color="auto"/>
            </w:tcBorders>
            <w:shd w:val="clear" w:color="auto" w:fill="FFFFFF"/>
            <w:vAlign w:val="center"/>
          </w:tcPr>
          <w:p w:rsidR="00642FB4" w:rsidRDefault="00642FB4">
            <w:r>
              <w:t>2013</w:t>
            </w:r>
          </w:p>
        </w:tc>
      </w:tr>
      <w:tr w:rsidR="00642FB4">
        <w:trPr>
          <w:trHeight w:val="525"/>
        </w:trPr>
        <w:tc>
          <w:tcPr>
            <w:tcW w:w="2288" w:type="dxa"/>
            <w:tcBorders>
              <w:top w:val="single" w:sz="4" w:space="0" w:color="auto"/>
              <w:left w:val="single" w:sz="4" w:space="0" w:color="auto"/>
              <w:bottom w:val="single" w:sz="4" w:space="0" w:color="auto"/>
              <w:right w:val="nil"/>
            </w:tcBorders>
            <w:shd w:val="clear" w:color="auto" w:fill="FFFFFF"/>
          </w:tcPr>
          <w:p w:rsidR="00642FB4" w:rsidRDefault="00642FB4">
            <w:r>
              <w:t>Річні викиди SO</w:t>
            </w:r>
            <w:r>
              <w:rPr>
                <w:vertAlign w:val="subscript"/>
              </w:rPr>
              <w:t xml:space="preserve">2 </w:t>
            </w:r>
            <w:r>
              <w:t>(т/рік)</w:t>
            </w:r>
          </w:p>
        </w:tc>
        <w:tc>
          <w:tcPr>
            <w:tcW w:w="68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726</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618,8</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3533,5</w:t>
            </w:r>
          </w:p>
        </w:tc>
        <w:tc>
          <w:tcPr>
            <w:tcW w:w="708" w:type="dxa"/>
            <w:tcBorders>
              <w:top w:val="single" w:sz="4" w:space="0" w:color="auto"/>
              <w:left w:val="single" w:sz="4" w:space="0" w:color="auto"/>
              <w:bottom w:val="single" w:sz="4" w:space="0" w:color="auto"/>
              <w:right w:val="nil"/>
            </w:tcBorders>
            <w:shd w:val="clear" w:color="auto" w:fill="FFFFFF"/>
            <w:vAlign w:val="center"/>
          </w:tcPr>
          <w:p w:rsidR="00642FB4" w:rsidRDefault="00642FB4">
            <w:r>
              <w:t>2426,2</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1098,5</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1197,9</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1049,3</w:t>
            </w:r>
          </w:p>
        </w:tc>
        <w:tc>
          <w:tcPr>
            <w:tcW w:w="708" w:type="dxa"/>
            <w:tcBorders>
              <w:top w:val="single" w:sz="4" w:space="0" w:color="auto"/>
              <w:left w:val="single" w:sz="4" w:space="0" w:color="auto"/>
              <w:bottom w:val="single" w:sz="4" w:space="0" w:color="auto"/>
              <w:right w:val="nil"/>
            </w:tcBorders>
            <w:shd w:val="clear" w:color="auto" w:fill="FFFFFF"/>
            <w:vAlign w:val="center"/>
          </w:tcPr>
          <w:p w:rsidR="00642FB4" w:rsidRDefault="00642FB4">
            <w:r>
              <w:t>481,4</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2,76</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642FB4" w:rsidRDefault="00642FB4">
            <w:r>
              <w:t>0</w:t>
            </w:r>
          </w:p>
        </w:tc>
      </w:tr>
    </w:tbl>
    <w:p w:rsidR="00642FB4" w:rsidRDefault="00642FB4">
      <w:pPr>
        <w:spacing w:before="60" w:after="60" w:line="288" w:lineRule="auto"/>
        <w:jc w:val="center"/>
      </w:pPr>
    </w:p>
    <w:p w:rsidR="00642FB4" w:rsidRDefault="00642FB4">
      <w:pPr>
        <w:spacing w:before="60" w:after="60" w:line="288" w:lineRule="auto"/>
        <w:ind w:firstLine="630"/>
        <w:jc w:val="both"/>
      </w:pPr>
    </w:p>
    <w:p w:rsidR="00642FB4" w:rsidRDefault="00642FB4">
      <w:pPr>
        <w:spacing w:before="60" w:after="60" w:line="288" w:lineRule="auto"/>
        <w:ind w:firstLine="630"/>
        <w:jc w:val="both"/>
        <w:rPr>
          <w:i/>
        </w:rPr>
      </w:pPr>
      <w:r>
        <w:rPr>
          <w:i/>
        </w:rPr>
        <w:t xml:space="preserve">Оксиди азоту (NOx) </w:t>
      </w:r>
    </w:p>
    <w:p w:rsidR="00642FB4" w:rsidRDefault="00642FB4">
      <w:pPr>
        <w:autoSpaceDE w:val="0"/>
        <w:autoSpaceDN w:val="0"/>
        <w:adjustRightInd w:val="0"/>
        <w:spacing w:before="60" w:after="60" w:line="288" w:lineRule="auto"/>
        <w:ind w:firstLine="720"/>
        <w:jc w:val="both"/>
        <w:rPr>
          <w:rFonts w:eastAsia="Calibri" w:cs="Arial"/>
          <w:color w:val="000000"/>
        </w:rPr>
      </w:pPr>
      <w:r>
        <w:rPr>
          <w:color w:val="000000"/>
        </w:rPr>
        <w:t xml:space="preserve">Основними джерелами викидів оксидів азоту є згоряння і в житлових приміщеннях та від дорожнього руху. У 2013 році з інвентаризації викидів забруднюючих речовин в атмосферу в повіті Марамуреш, виявлено викид 3107,87 т оксидів азоту. Еволюція річних викидів оксидів азоту в атмосферу за останні десять років приведена в </w:t>
      </w:r>
      <w:r>
        <w:rPr>
          <w:b/>
          <w:color w:val="000000"/>
        </w:rPr>
        <w:t>таблиці 4.2.2</w:t>
      </w:r>
      <w:r>
        <w:rPr>
          <w:color w:val="000000"/>
        </w:rPr>
        <w:t>:</w:t>
      </w:r>
    </w:p>
    <w:p w:rsidR="00642FB4" w:rsidRDefault="00642FB4">
      <w:pPr>
        <w:spacing w:before="60" w:after="60" w:line="288" w:lineRule="auto"/>
        <w:jc w:val="both"/>
        <w:rPr>
          <w:b/>
        </w:rPr>
      </w:pPr>
    </w:p>
    <w:p w:rsidR="00642FB4" w:rsidRDefault="00642FB4">
      <w:pPr>
        <w:autoSpaceDE w:val="0"/>
        <w:autoSpaceDN w:val="0"/>
        <w:adjustRightInd w:val="0"/>
        <w:spacing w:before="60" w:after="60" w:line="288" w:lineRule="auto"/>
        <w:ind w:left="360"/>
        <w:jc w:val="center"/>
        <w:rPr>
          <w:rFonts w:eastAsia="Calibri" w:cs="Arial"/>
          <w:b/>
          <w:bCs/>
          <w:i/>
          <w:sz w:val="22"/>
          <w:szCs w:val="22"/>
        </w:rPr>
      </w:pPr>
      <w:r>
        <w:rPr>
          <w:b/>
          <w:i/>
          <w:sz w:val="22"/>
        </w:rPr>
        <w:t xml:space="preserve">Таблиця 4.2.2 </w:t>
      </w:r>
      <w:r>
        <w:t>Річні викиди оксидів азоту</w:t>
      </w:r>
    </w:p>
    <w:p w:rsidR="00642FB4" w:rsidRDefault="00642FB4"/>
    <w:tbl>
      <w:tblPr>
        <w:tblW w:w="9356" w:type="dxa"/>
        <w:tblInd w:w="5" w:type="dxa"/>
        <w:tblLayout w:type="fixed"/>
        <w:tblCellMar>
          <w:left w:w="0" w:type="dxa"/>
          <w:right w:w="0" w:type="dxa"/>
        </w:tblCellMar>
        <w:tblLook w:val="0000" w:firstRow="0" w:lastRow="0" w:firstColumn="0" w:lastColumn="0" w:noHBand="0" w:noVBand="0"/>
      </w:tblPr>
      <w:tblGrid>
        <w:gridCol w:w="2268"/>
        <w:gridCol w:w="709"/>
        <w:gridCol w:w="709"/>
        <w:gridCol w:w="709"/>
        <w:gridCol w:w="708"/>
        <w:gridCol w:w="709"/>
        <w:gridCol w:w="709"/>
        <w:gridCol w:w="709"/>
        <w:gridCol w:w="708"/>
        <w:gridCol w:w="709"/>
        <w:gridCol w:w="709"/>
      </w:tblGrid>
      <w:tr w:rsidR="00642FB4">
        <w:trPr>
          <w:trHeight w:val="518"/>
        </w:trPr>
        <w:tc>
          <w:tcPr>
            <w:tcW w:w="2268" w:type="dxa"/>
            <w:tcBorders>
              <w:top w:val="single" w:sz="4" w:space="0" w:color="auto"/>
              <w:left w:val="single" w:sz="4" w:space="0" w:color="auto"/>
              <w:bottom w:val="nil"/>
              <w:right w:val="nil"/>
            </w:tcBorders>
            <w:shd w:val="clear" w:color="auto" w:fill="FFFFFF"/>
          </w:tcPr>
          <w:p w:rsidR="00642FB4" w:rsidRDefault="00642FB4">
            <w:r>
              <w:t>Повіт Марамуреш Всього</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2004</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2005</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2006</w:t>
            </w:r>
          </w:p>
        </w:tc>
        <w:tc>
          <w:tcPr>
            <w:tcW w:w="708" w:type="dxa"/>
            <w:tcBorders>
              <w:top w:val="single" w:sz="4" w:space="0" w:color="auto"/>
              <w:left w:val="single" w:sz="4" w:space="0" w:color="auto"/>
              <w:bottom w:val="nil"/>
              <w:right w:val="nil"/>
            </w:tcBorders>
            <w:shd w:val="clear" w:color="auto" w:fill="FFFFFF"/>
            <w:vAlign w:val="center"/>
          </w:tcPr>
          <w:p w:rsidR="00642FB4" w:rsidRDefault="00642FB4">
            <w:r>
              <w:t>2007</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2008</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2009</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2010</w:t>
            </w:r>
          </w:p>
        </w:tc>
        <w:tc>
          <w:tcPr>
            <w:tcW w:w="708" w:type="dxa"/>
            <w:tcBorders>
              <w:top w:val="single" w:sz="4" w:space="0" w:color="auto"/>
              <w:left w:val="single" w:sz="4" w:space="0" w:color="auto"/>
              <w:bottom w:val="nil"/>
              <w:right w:val="nil"/>
            </w:tcBorders>
            <w:shd w:val="clear" w:color="auto" w:fill="FFFFFF"/>
            <w:vAlign w:val="center"/>
          </w:tcPr>
          <w:p w:rsidR="00642FB4" w:rsidRDefault="00642FB4">
            <w:r>
              <w:t>2011</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2012</w:t>
            </w:r>
          </w:p>
        </w:tc>
        <w:tc>
          <w:tcPr>
            <w:tcW w:w="709" w:type="dxa"/>
            <w:tcBorders>
              <w:top w:val="single" w:sz="4" w:space="0" w:color="auto"/>
              <w:left w:val="single" w:sz="4" w:space="0" w:color="auto"/>
              <w:bottom w:val="nil"/>
              <w:right w:val="single" w:sz="4" w:space="0" w:color="auto"/>
            </w:tcBorders>
            <w:shd w:val="clear" w:color="auto" w:fill="FFFFFF"/>
            <w:vAlign w:val="center"/>
          </w:tcPr>
          <w:p w:rsidR="00642FB4" w:rsidRDefault="00642FB4">
            <w:r>
              <w:t>2013</w:t>
            </w:r>
          </w:p>
        </w:tc>
      </w:tr>
      <w:tr w:rsidR="00642FB4">
        <w:trPr>
          <w:trHeight w:val="525"/>
        </w:trPr>
        <w:tc>
          <w:tcPr>
            <w:tcW w:w="2268" w:type="dxa"/>
            <w:tcBorders>
              <w:top w:val="single" w:sz="4" w:space="0" w:color="auto"/>
              <w:left w:val="single" w:sz="4" w:space="0" w:color="auto"/>
              <w:bottom w:val="single" w:sz="4" w:space="0" w:color="auto"/>
              <w:right w:val="nil"/>
            </w:tcBorders>
            <w:shd w:val="clear" w:color="auto" w:fill="FFFFFF"/>
            <w:vAlign w:val="bottom"/>
          </w:tcPr>
          <w:p w:rsidR="00642FB4" w:rsidRDefault="00642FB4">
            <w:r>
              <w:t>Річні викиди NO</w:t>
            </w:r>
            <w:r>
              <w:rPr>
                <w:vertAlign w:val="subscript"/>
              </w:rPr>
              <w:t xml:space="preserve">x </w:t>
            </w:r>
            <w:r>
              <w:t>(т/рік)</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1983</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1741</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1680,3</w:t>
            </w:r>
          </w:p>
        </w:tc>
        <w:tc>
          <w:tcPr>
            <w:tcW w:w="708" w:type="dxa"/>
            <w:tcBorders>
              <w:top w:val="single" w:sz="4" w:space="0" w:color="auto"/>
              <w:left w:val="single" w:sz="4" w:space="0" w:color="auto"/>
              <w:bottom w:val="single" w:sz="4" w:space="0" w:color="auto"/>
              <w:right w:val="nil"/>
            </w:tcBorders>
            <w:shd w:val="clear" w:color="auto" w:fill="FFFFFF"/>
            <w:vAlign w:val="center"/>
          </w:tcPr>
          <w:p w:rsidR="00642FB4" w:rsidRDefault="00642FB4">
            <w:r>
              <w:t>2470,2</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2873,9</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2253,5</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3199,3</w:t>
            </w:r>
          </w:p>
        </w:tc>
        <w:tc>
          <w:tcPr>
            <w:tcW w:w="708" w:type="dxa"/>
            <w:tcBorders>
              <w:top w:val="single" w:sz="4" w:space="0" w:color="auto"/>
              <w:left w:val="single" w:sz="4" w:space="0" w:color="auto"/>
              <w:bottom w:val="single" w:sz="4" w:space="0" w:color="auto"/>
              <w:right w:val="nil"/>
            </w:tcBorders>
            <w:shd w:val="clear" w:color="auto" w:fill="FFFFFF"/>
            <w:vAlign w:val="center"/>
          </w:tcPr>
          <w:p w:rsidR="00642FB4" w:rsidRDefault="00642FB4">
            <w:r>
              <w:t>4130,7</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4048,9</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642FB4" w:rsidRDefault="00642FB4">
            <w:r>
              <w:t>3107,87</w:t>
            </w:r>
          </w:p>
        </w:tc>
      </w:tr>
    </w:tbl>
    <w:p w:rsidR="00642FB4" w:rsidRDefault="00642FB4">
      <w:pPr>
        <w:autoSpaceDE w:val="0"/>
        <w:autoSpaceDN w:val="0"/>
        <w:adjustRightInd w:val="0"/>
        <w:spacing w:before="60" w:after="60" w:line="288" w:lineRule="auto"/>
        <w:jc w:val="center"/>
        <w:rPr>
          <w:rFonts w:eastAsia="Calibri" w:cs="Arial"/>
          <w:color w:val="000000"/>
        </w:rPr>
      </w:pPr>
    </w:p>
    <w:p w:rsidR="00642FB4" w:rsidRDefault="00642FB4">
      <w:pPr>
        <w:autoSpaceDE w:val="0"/>
        <w:autoSpaceDN w:val="0"/>
        <w:adjustRightInd w:val="0"/>
        <w:spacing w:before="60" w:after="60" w:line="288" w:lineRule="auto"/>
        <w:jc w:val="both"/>
        <w:rPr>
          <w:rFonts w:eastAsia="Calibri" w:cs="Arial"/>
          <w:color w:val="000000"/>
        </w:rPr>
      </w:pPr>
    </w:p>
    <w:p w:rsidR="00642FB4" w:rsidRDefault="00642FB4">
      <w:pPr>
        <w:spacing w:before="60" w:after="60" w:line="288" w:lineRule="auto"/>
        <w:ind w:firstLine="630"/>
        <w:jc w:val="both"/>
        <w:rPr>
          <w:i/>
        </w:rPr>
      </w:pPr>
      <w:r>
        <w:rPr>
          <w:i/>
        </w:rPr>
        <w:t>Тверді частинки</w:t>
      </w:r>
    </w:p>
    <w:p w:rsidR="00642FB4" w:rsidRDefault="00642FB4">
      <w:pPr>
        <w:autoSpaceDE w:val="0"/>
        <w:autoSpaceDN w:val="0"/>
        <w:adjustRightInd w:val="0"/>
        <w:spacing w:before="60" w:after="60" w:line="288" w:lineRule="auto"/>
        <w:ind w:firstLine="720"/>
        <w:jc w:val="both"/>
        <w:rPr>
          <w:rFonts w:eastAsia="Calibri" w:cs="Arial"/>
          <w:color w:val="000000"/>
        </w:rPr>
      </w:pPr>
      <w:r>
        <w:rPr>
          <w:color w:val="000000"/>
        </w:rPr>
        <w:t xml:space="preserve">Основними джерелами викидів частинок є згоряння в житлових будинках (теплових електростанціях, які в основному використовують як паливо деревину та деревні відходи) та від виробництва асфальту і асфальтування доріг та деревообробки. Були проведено інвентаризацію викидів твердих частинок від дорожнього руху, але вони значно нижче, в порівнянні з іншими галузями діяльності. </w:t>
      </w:r>
    </w:p>
    <w:p w:rsidR="00642FB4" w:rsidRDefault="00642FB4">
      <w:pPr>
        <w:spacing w:before="60" w:after="60" w:line="288" w:lineRule="auto"/>
        <w:ind w:firstLine="720"/>
        <w:jc w:val="both"/>
        <w:rPr>
          <w:rFonts w:eastAsia="Calibri" w:cs="Arial"/>
          <w:color w:val="000000"/>
        </w:rPr>
      </w:pPr>
      <w:r>
        <w:rPr>
          <w:color w:val="000000"/>
        </w:rPr>
        <w:t>У 2013 році проведена інвентаризація 8104 тонн викидів сумарної кількості зважених твердих частинок (22,6% від промисловості та 77,4% від згорання в житлових будинках та установах, в тому числі викиди від спалювання дров в домашніх господарствах).</w:t>
      </w:r>
    </w:p>
    <w:p w:rsidR="00642FB4" w:rsidRDefault="00642FB4">
      <w:pPr>
        <w:spacing w:before="60" w:after="60" w:line="288" w:lineRule="auto"/>
        <w:ind w:firstLine="720"/>
        <w:jc w:val="both"/>
        <w:rPr>
          <w:rFonts w:eastAsia="Calibri" w:cs="Arial"/>
          <w:color w:val="000000"/>
        </w:rPr>
      </w:pPr>
      <w:r>
        <w:t xml:space="preserve">Еволюція річних викидів сумарної кількості зважених твердих частинок в атмосфері в період з 2004 по 2013 р проведена в </w:t>
      </w:r>
      <w:r>
        <w:rPr>
          <w:b/>
        </w:rPr>
        <w:t>таблиці 4.2.3</w:t>
      </w:r>
      <w:r>
        <w:t>:</w:t>
      </w:r>
    </w:p>
    <w:p w:rsidR="00642FB4" w:rsidRDefault="00642FB4">
      <w:pPr>
        <w:spacing w:before="60" w:after="60" w:line="288" w:lineRule="auto"/>
        <w:jc w:val="both"/>
        <w:rPr>
          <w:rFonts w:eastAsia="Calibri" w:cs="Arial"/>
          <w:color w:val="000000"/>
        </w:rPr>
      </w:pPr>
    </w:p>
    <w:p w:rsidR="00642FB4" w:rsidRDefault="00642FB4">
      <w:pPr>
        <w:autoSpaceDE w:val="0"/>
        <w:autoSpaceDN w:val="0"/>
        <w:adjustRightInd w:val="0"/>
        <w:spacing w:before="60" w:after="60" w:line="288" w:lineRule="auto"/>
        <w:ind w:left="360"/>
        <w:jc w:val="center"/>
        <w:rPr>
          <w:rFonts w:eastAsia="Calibri" w:cs="Arial"/>
          <w:b/>
          <w:bCs/>
          <w:i/>
          <w:sz w:val="22"/>
          <w:szCs w:val="22"/>
        </w:rPr>
      </w:pPr>
      <w:r>
        <w:rPr>
          <w:b/>
          <w:i/>
          <w:sz w:val="22"/>
        </w:rPr>
        <w:t xml:space="preserve">Таблиця 4.2.3 </w:t>
      </w:r>
      <w:r>
        <w:t>Викиди твердих частинок</w:t>
      </w:r>
    </w:p>
    <w:p w:rsidR="00642FB4" w:rsidRDefault="00642FB4"/>
    <w:tbl>
      <w:tblPr>
        <w:tblW w:w="9356" w:type="dxa"/>
        <w:tblInd w:w="5" w:type="dxa"/>
        <w:tblLayout w:type="fixed"/>
        <w:tblCellMar>
          <w:left w:w="0" w:type="dxa"/>
          <w:right w:w="0" w:type="dxa"/>
        </w:tblCellMar>
        <w:tblLook w:val="0000" w:firstRow="0" w:lastRow="0" w:firstColumn="0" w:lastColumn="0" w:noHBand="0" w:noVBand="0"/>
      </w:tblPr>
      <w:tblGrid>
        <w:gridCol w:w="2268"/>
        <w:gridCol w:w="709"/>
        <w:gridCol w:w="709"/>
        <w:gridCol w:w="709"/>
        <w:gridCol w:w="708"/>
        <w:gridCol w:w="709"/>
        <w:gridCol w:w="709"/>
        <w:gridCol w:w="709"/>
        <w:gridCol w:w="708"/>
        <w:gridCol w:w="709"/>
        <w:gridCol w:w="709"/>
      </w:tblGrid>
      <w:tr w:rsidR="00642FB4">
        <w:trPr>
          <w:trHeight w:val="780"/>
        </w:trPr>
        <w:tc>
          <w:tcPr>
            <w:tcW w:w="2268" w:type="dxa"/>
            <w:tcBorders>
              <w:top w:val="single" w:sz="4" w:space="0" w:color="auto"/>
              <w:left w:val="single" w:sz="4" w:space="0" w:color="auto"/>
              <w:bottom w:val="nil"/>
              <w:right w:val="nil"/>
            </w:tcBorders>
            <w:shd w:val="clear" w:color="auto" w:fill="FFFFFF"/>
            <w:vAlign w:val="center"/>
          </w:tcPr>
          <w:p w:rsidR="00642FB4" w:rsidRDefault="00642FB4">
            <w:r>
              <w:t>Повіт</w:t>
            </w:r>
          </w:p>
          <w:p w:rsidR="00642FB4" w:rsidRDefault="00642FB4">
            <w:r>
              <w:t>Марамуреш/</w:t>
            </w:r>
          </w:p>
          <w:p w:rsidR="00642FB4" w:rsidRDefault="00642FB4">
            <w:r>
              <w:t>Всього</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2004</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2005</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2006</w:t>
            </w:r>
          </w:p>
        </w:tc>
        <w:tc>
          <w:tcPr>
            <w:tcW w:w="708" w:type="dxa"/>
            <w:tcBorders>
              <w:top w:val="single" w:sz="4" w:space="0" w:color="auto"/>
              <w:left w:val="single" w:sz="4" w:space="0" w:color="auto"/>
              <w:bottom w:val="nil"/>
              <w:right w:val="nil"/>
            </w:tcBorders>
            <w:shd w:val="clear" w:color="auto" w:fill="FFFFFF"/>
            <w:vAlign w:val="center"/>
          </w:tcPr>
          <w:p w:rsidR="00642FB4" w:rsidRDefault="00642FB4">
            <w:r>
              <w:t>2007</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2008</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2009</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2010</w:t>
            </w:r>
          </w:p>
        </w:tc>
        <w:tc>
          <w:tcPr>
            <w:tcW w:w="708" w:type="dxa"/>
            <w:tcBorders>
              <w:top w:val="single" w:sz="4" w:space="0" w:color="auto"/>
              <w:left w:val="single" w:sz="4" w:space="0" w:color="auto"/>
              <w:bottom w:val="nil"/>
              <w:right w:val="nil"/>
            </w:tcBorders>
            <w:shd w:val="clear" w:color="auto" w:fill="FFFFFF"/>
            <w:vAlign w:val="center"/>
          </w:tcPr>
          <w:p w:rsidR="00642FB4" w:rsidRDefault="00642FB4">
            <w:r>
              <w:t>2011</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2012</w:t>
            </w:r>
          </w:p>
        </w:tc>
        <w:tc>
          <w:tcPr>
            <w:tcW w:w="709" w:type="dxa"/>
            <w:tcBorders>
              <w:top w:val="single" w:sz="4" w:space="0" w:color="auto"/>
              <w:left w:val="single" w:sz="4" w:space="0" w:color="auto"/>
              <w:bottom w:val="nil"/>
              <w:right w:val="single" w:sz="4" w:space="0" w:color="auto"/>
            </w:tcBorders>
            <w:shd w:val="clear" w:color="auto" w:fill="FFFFFF"/>
            <w:vAlign w:val="center"/>
          </w:tcPr>
          <w:p w:rsidR="00642FB4" w:rsidRDefault="00642FB4">
            <w:r>
              <w:t>2013</w:t>
            </w:r>
          </w:p>
        </w:tc>
      </w:tr>
      <w:tr w:rsidR="00642FB4">
        <w:trPr>
          <w:trHeight w:val="525"/>
        </w:trPr>
        <w:tc>
          <w:tcPr>
            <w:tcW w:w="2268" w:type="dxa"/>
            <w:tcBorders>
              <w:top w:val="single" w:sz="4" w:space="0" w:color="auto"/>
              <w:left w:val="single" w:sz="4" w:space="0" w:color="auto"/>
              <w:bottom w:val="single" w:sz="4" w:space="0" w:color="auto"/>
              <w:right w:val="nil"/>
            </w:tcBorders>
            <w:shd w:val="clear" w:color="auto" w:fill="FFFFFF"/>
            <w:vAlign w:val="bottom"/>
          </w:tcPr>
          <w:p w:rsidR="00642FB4" w:rsidRDefault="00642FB4">
            <w:r>
              <w:t>Річні викиди (т/рік)</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1696,4</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2020,9</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2255,5</w:t>
            </w:r>
          </w:p>
        </w:tc>
        <w:tc>
          <w:tcPr>
            <w:tcW w:w="708" w:type="dxa"/>
            <w:tcBorders>
              <w:top w:val="single" w:sz="4" w:space="0" w:color="auto"/>
              <w:left w:val="single" w:sz="4" w:space="0" w:color="auto"/>
              <w:bottom w:val="single" w:sz="4" w:space="0" w:color="auto"/>
              <w:right w:val="nil"/>
            </w:tcBorders>
            <w:shd w:val="clear" w:color="auto" w:fill="FFFFFF"/>
            <w:vAlign w:val="center"/>
          </w:tcPr>
          <w:p w:rsidR="00642FB4" w:rsidRDefault="00642FB4">
            <w:r>
              <w:t>1524</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1125,2</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1691,6</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3262,8</w:t>
            </w:r>
          </w:p>
        </w:tc>
        <w:tc>
          <w:tcPr>
            <w:tcW w:w="708" w:type="dxa"/>
            <w:tcBorders>
              <w:top w:val="single" w:sz="4" w:space="0" w:color="auto"/>
              <w:left w:val="single" w:sz="4" w:space="0" w:color="auto"/>
              <w:bottom w:val="single" w:sz="4" w:space="0" w:color="auto"/>
              <w:right w:val="nil"/>
            </w:tcBorders>
            <w:shd w:val="clear" w:color="auto" w:fill="FFFFFF"/>
            <w:vAlign w:val="center"/>
          </w:tcPr>
          <w:p w:rsidR="00642FB4" w:rsidRDefault="00642FB4">
            <w:r>
              <w:t>1398,2</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3355,5</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642FB4" w:rsidRDefault="00642FB4">
            <w:r>
              <w:t>8104</w:t>
            </w:r>
          </w:p>
        </w:tc>
      </w:tr>
    </w:tbl>
    <w:p w:rsidR="00642FB4" w:rsidRDefault="00642FB4">
      <w:pPr>
        <w:spacing w:before="60" w:after="60" w:line="288" w:lineRule="auto"/>
        <w:jc w:val="center"/>
        <w:rPr>
          <w:rFonts w:eastAsia="Calibri" w:cs="Arial"/>
          <w:color w:val="000000"/>
        </w:rPr>
      </w:pPr>
    </w:p>
    <w:p w:rsidR="00642FB4" w:rsidRDefault="00642FB4">
      <w:pPr>
        <w:spacing w:before="60" w:after="60" w:line="288" w:lineRule="auto"/>
        <w:jc w:val="both"/>
        <w:rPr>
          <w:rFonts w:eastAsia="Calibri" w:cs="Arial"/>
          <w:color w:val="000000"/>
        </w:rPr>
      </w:pPr>
    </w:p>
    <w:p w:rsidR="00642FB4" w:rsidRDefault="00642FB4">
      <w:pPr>
        <w:spacing w:before="60" w:after="60" w:line="288" w:lineRule="auto"/>
        <w:ind w:firstLine="720"/>
        <w:jc w:val="both"/>
        <w:rPr>
          <w:rFonts w:eastAsia="Calibri" w:cs="Arial"/>
          <w:color w:val="000000"/>
        </w:rPr>
      </w:pPr>
      <w:r>
        <w:t>Моніторинг якості повітря в агломерації в Бая-Маре був виконаний за допомогою 5 автоматичних станцій та ручною мережею моніторингу.</w:t>
      </w:r>
    </w:p>
    <w:p w:rsidR="00642FB4" w:rsidRDefault="00642FB4">
      <w:pPr>
        <w:spacing w:before="60" w:after="60" w:line="288" w:lineRule="auto"/>
        <w:ind w:firstLine="720"/>
        <w:jc w:val="both"/>
      </w:pPr>
      <w:r>
        <w:t xml:space="preserve">Статистичні дані на 2013 рік, записані автоматичними станціями моніторингу якості повітря в агломерації в м. Бая-Маре наведені в </w:t>
      </w:r>
      <w:r>
        <w:rPr>
          <w:b/>
        </w:rPr>
        <w:t>таблиці 4.2.4.</w:t>
      </w:r>
    </w:p>
    <w:p w:rsidR="00642FB4" w:rsidRDefault="00642FB4">
      <w:pPr>
        <w:autoSpaceDE w:val="0"/>
        <w:autoSpaceDN w:val="0"/>
        <w:adjustRightInd w:val="0"/>
        <w:spacing w:before="60" w:after="60" w:line="288" w:lineRule="auto"/>
        <w:ind w:left="360"/>
        <w:jc w:val="both"/>
        <w:rPr>
          <w:rFonts w:eastAsia="Calibri" w:cs="Arial"/>
          <w:b/>
          <w:bCs/>
          <w:i/>
          <w:sz w:val="22"/>
          <w:szCs w:val="22"/>
        </w:rPr>
      </w:pPr>
      <w:r>
        <w:rPr>
          <w:b/>
          <w:i/>
          <w:sz w:val="22"/>
        </w:rPr>
        <w:t xml:space="preserve">Таблиця 4.2.4 </w:t>
      </w:r>
      <w:r>
        <w:rPr>
          <w:sz w:val="22"/>
        </w:rPr>
        <w:t>Відповідні дані про роботу автоматичної мережі моніторингу якості повітря в агломерації в м. Бая-Маре - в 2013 р.</w:t>
      </w:r>
    </w:p>
    <w:p w:rsidR="00642FB4" w:rsidRDefault="001C33BE">
      <w:pPr>
        <w:spacing w:before="60" w:after="60" w:line="288" w:lineRule="auto"/>
        <w:jc w:val="center"/>
      </w:pPr>
      <w:r>
        <w:rPr>
          <w:noProof/>
          <w:lang w:val="en-US" w:eastAsia="en-US"/>
        </w:rPr>
        <w:drawing>
          <wp:inline distT="0" distB="0" distL="0" distR="0" wp14:anchorId="3E296D1B" wp14:editId="564B8444">
            <wp:extent cx="2552065" cy="2512695"/>
            <wp:effectExtent l="19050" t="19050" r="19685" b="20955"/>
            <wp:docPr id="1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srcRect/>
                    <a:stretch>
                      <a:fillRect/>
                    </a:stretch>
                  </pic:blipFill>
                  <pic:spPr bwMode="auto">
                    <a:xfrm>
                      <a:off x="0" y="0"/>
                      <a:ext cx="2552065" cy="2512695"/>
                    </a:xfrm>
                    <a:prstGeom prst="rect">
                      <a:avLst/>
                    </a:prstGeom>
                    <a:noFill/>
                    <a:ln w="6350" cmpd="sng">
                      <a:solidFill>
                        <a:srgbClr val="000000"/>
                      </a:solidFill>
                      <a:miter lim="800000"/>
                      <a:headEnd/>
                      <a:tailEnd/>
                    </a:ln>
                    <a:effectLst/>
                  </pic:spPr>
                </pic:pic>
              </a:graphicData>
            </a:graphic>
          </wp:inline>
        </w:drawing>
      </w:r>
      <w:r w:rsidR="00642FB4">
        <w:t xml:space="preserve">  </w:t>
      </w:r>
      <w:r>
        <w:rPr>
          <w:noProof/>
          <w:lang w:val="en-US" w:eastAsia="en-US"/>
        </w:rPr>
        <w:drawing>
          <wp:inline distT="0" distB="0" distL="0" distR="0" wp14:anchorId="2A1E0E47" wp14:editId="5E169102">
            <wp:extent cx="2496820" cy="2504440"/>
            <wp:effectExtent l="19050" t="19050" r="17780" b="10160"/>
            <wp:docPr id="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srcRect/>
                    <a:stretch>
                      <a:fillRect/>
                    </a:stretch>
                  </pic:blipFill>
                  <pic:spPr bwMode="auto">
                    <a:xfrm>
                      <a:off x="0" y="0"/>
                      <a:ext cx="2496820" cy="2504440"/>
                    </a:xfrm>
                    <a:prstGeom prst="rect">
                      <a:avLst/>
                    </a:prstGeom>
                    <a:noFill/>
                    <a:ln w="6350" cmpd="sng">
                      <a:solidFill>
                        <a:srgbClr val="000000"/>
                      </a:solidFill>
                      <a:miter lim="800000"/>
                      <a:headEnd/>
                      <a:tailEnd/>
                    </a:ln>
                    <a:effectLst/>
                  </pic:spPr>
                </pic:pic>
              </a:graphicData>
            </a:graphic>
          </wp:inline>
        </w:drawing>
      </w:r>
    </w:p>
    <w:p w:rsidR="00642FB4" w:rsidRDefault="00642FB4">
      <w:pPr>
        <w:spacing w:before="60" w:after="60" w:line="288" w:lineRule="auto"/>
        <w:jc w:val="both"/>
      </w:pPr>
    </w:p>
    <w:p w:rsidR="00642FB4" w:rsidRDefault="00642FB4">
      <w:pPr>
        <w:spacing w:before="60" w:after="60" w:line="288" w:lineRule="auto"/>
        <w:ind w:firstLine="720"/>
        <w:jc w:val="both"/>
        <w:rPr>
          <w:i/>
        </w:rPr>
      </w:pPr>
      <w:r>
        <w:rPr>
          <w:i/>
        </w:rPr>
        <w:t xml:space="preserve">Оксиди азоту </w:t>
      </w:r>
    </w:p>
    <w:p w:rsidR="00642FB4" w:rsidRDefault="00642FB4">
      <w:pPr>
        <w:spacing w:before="60" w:after="60" w:line="288" w:lineRule="auto"/>
        <w:ind w:firstLine="720"/>
        <w:jc w:val="both"/>
      </w:pPr>
      <w:r>
        <w:t>У порівнянні з граничним значенням передбаченим Закон 104/2011, для усереднення протягом 1 року (межа впливу = 40 мг/ м3), річні середні концентрації в 2013 році досягли 6,4 мг / м</w:t>
      </w:r>
      <w:r>
        <w:rPr>
          <w:vertAlign w:val="superscript"/>
        </w:rPr>
        <w:t>3</w:t>
      </w:r>
      <w:r>
        <w:t xml:space="preserve"> на станції ММ3 і 22,9 мг / м3 на станції ММ1. Не було виявлено перевищення погодинного або річного граничного значення, а утримувалась та сама тенденція, як в минулому році.</w:t>
      </w:r>
    </w:p>
    <w:p w:rsidR="00642FB4" w:rsidRDefault="00642FB4">
      <w:pPr>
        <w:spacing w:before="60" w:after="60" w:line="288" w:lineRule="auto"/>
        <w:ind w:firstLine="720"/>
        <w:jc w:val="both"/>
      </w:pPr>
    </w:p>
    <w:p w:rsidR="00642FB4" w:rsidRDefault="00642FB4">
      <w:pPr>
        <w:spacing w:before="60" w:after="60" w:line="288" w:lineRule="auto"/>
        <w:ind w:firstLine="630"/>
        <w:jc w:val="both"/>
        <w:rPr>
          <w:i/>
        </w:rPr>
      </w:pPr>
      <w:r>
        <w:rPr>
          <w:i/>
        </w:rPr>
        <w:t>Діоксид сірки</w:t>
      </w:r>
    </w:p>
    <w:p w:rsidR="00642FB4" w:rsidRDefault="00642FB4">
      <w:pPr>
        <w:spacing w:before="60" w:after="60" w:line="288" w:lineRule="auto"/>
        <w:ind w:firstLine="630"/>
        <w:jc w:val="both"/>
      </w:pPr>
      <w:r>
        <w:t>Відносно граничних значень передбачених Законом №  104/2011 про якість навколишнього повітря для діоксиду сірки (350 мг / м</w:t>
      </w:r>
      <w:r>
        <w:rPr>
          <w:vertAlign w:val="superscript"/>
        </w:rPr>
        <w:t>3</w:t>
      </w:r>
      <w:r>
        <w:t xml:space="preserve"> для середньогодинних концентрацій та 125 мг / м</w:t>
      </w:r>
      <w:r>
        <w:rPr>
          <w:vertAlign w:val="superscript"/>
        </w:rPr>
        <w:t>3</w:t>
      </w:r>
      <w:r>
        <w:t xml:space="preserve"> для середньодобових концентрацій) в 2013 році, не було виявлено перевищень на цих 5 станцій. </w:t>
      </w:r>
    </w:p>
    <w:p w:rsidR="00642FB4" w:rsidRDefault="00642FB4">
      <w:pPr>
        <w:spacing w:before="60" w:after="60" w:line="288" w:lineRule="auto"/>
        <w:ind w:firstLine="720"/>
        <w:jc w:val="both"/>
      </w:pPr>
      <w:r>
        <w:t>Визначені середньорічні значення досягнули від 4.1 мг / м3 на станції ММ2 до  7,2 мг / м3 на станції ММ1.</w:t>
      </w:r>
    </w:p>
    <w:p w:rsidR="00642FB4" w:rsidRDefault="00642FB4">
      <w:pPr>
        <w:spacing w:before="60" w:after="60" w:line="288" w:lineRule="auto"/>
        <w:ind w:firstLine="720"/>
        <w:jc w:val="both"/>
      </w:pPr>
    </w:p>
    <w:p w:rsidR="00642FB4" w:rsidRDefault="00642FB4">
      <w:pPr>
        <w:spacing w:before="60" w:after="60" w:line="288" w:lineRule="auto"/>
        <w:ind w:firstLine="720"/>
        <w:jc w:val="both"/>
        <w:rPr>
          <w:i/>
        </w:rPr>
      </w:pPr>
      <w:r>
        <w:rPr>
          <w:i/>
        </w:rPr>
        <w:t>Тверді частинки</w:t>
      </w:r>
    </w:p>
    <w:p w:rsidR="00642FB4" w:rsidRDefault="00642FB4">
      <w:pPr>
        <w:spacing w:before="60" w:after="60" w:line="288" w:lineRule="auto"/>
        <w:ind w:firstLine="720"/>
        <w:jc w:val="both"/>
      </w:pPr>
      <w:r>
        <w:t xml:space="preserve">У 2013 році було виконано визначення РМ10 в гравіметричній та автоматичний системі на всіх станціях, та РМ2,5 в гравіметричній системі на станції MM2. </w:t>
      </w:r>
    </w:p>
    <w:p w:rsidR="00642FB4" w:rsidRDefault="00642FB4">
      <w:pPr>
        <w:spacing w:before="60" w:after="60" w:line="288" w:lineRule="auto"/>
        <w:ind w:firstLine="720"/>
        <w:jc w:val="both"/>
      </w:pPr>
      <w:r>
        <w:t xml:space="preserve">Періоди відсутності даних пов'язані з технічними проблемами протягом року на цих 5 станціях. З червня 2013 станції MM4 і ММ5 перестали працювати, вони були відключені на невизначений термін. </w:t>
      </w:r>
    </w:p>
    <w:p w:rsidR="00642FB4" w:rsidRDefault="00642FB4">
      <w:pPr>
        <w:spacing w:before="60" w:after="60" w:line="288" w:lineRule="auto"/>
        <w:ind w:firstLine="720"/>
        <w:jc w:val="both"/>
      </w:pPr>
      <w:r>
        <w:t xml:space="preserve">Середньорічні значення PM10 в результаті вимірів нефелометричним методом, досягнули від  21,3 мг/ м3 на станції MM2 до  27,2 мг / м3 на станції ММ5, без жодних випадків перевищення річного граничного значення. </w:t>
      </w:r>
    </w:p>
    <w:p w:rsidR="00642FB4" w:rsidRDefault="00642FB4">
      <w:pPr>
        <w:spacing w:before="60" w:after="60" w:line="288" w:lineRule="auto"/>
        <w:ind w:firstLine="720"/>
        <w:jc w:val="both"/>
      </w:pPr>
      <w:r>
        <w:t xml:space="preserve">При визначенні РМ10 вагомим методом, середньорічні значення досягнули від  20,1 мг/ м3 на станції MM2 до  27,1 мг / м3 на станції ММ5, без жодних випадків перевищення річного граничного значення. </w:t>
      </w:r>
    </w:p>
    <w:p w:rsidR="00642FB4" w:rsidRDefault="00642FB4">
      <w:pPr>
        <w:spacing w:before="60" w:after="60" w:line="288" w:lineRule="auto"/>
        <w:ind w:firstLine="720"/>
        <w:jc w:val="both"/>
      </w:pPr>
      <w:r>
        <w:t xml:space="preserve">Середньодобові концентрації вище граничного значення  50 мг / м3 виникли в основному за рахунок спалювання палива для опалення житлових приміщень, тільки в зимовий період. </w:t>
      </w:r>
    </w:p>
    <w:p w:rsidR="00642FB4" w:rsidRDefault="00642FB4">
      <w:pPr>
        <w:spacing w:before="60" w:after="60" w:line="288" w:lineRule="auto"/>
        <w:ind w:firstLine="720"/>
        <w:jc w:val="both"/>
      </w:pPr>
      <w:r>
        <w:t>У порівнянні з 35 значеннями середньодобових концентрацій вище допустимого граничного значення 50  мг / м3 не було виявлено перевищень (станція MM1 – 6 перевищень; станція MM2 – 7 перевищень; станція MM3 – 30 перевищень; станція MM4 – без перевищення; станція MM5 – 5 перевищень).</w:t>
      </w:r>
    </w:p>
    <w:p w:rsidR="00642FB4" w:rsidRDefault="00642FB4">
      <w:pPr>
        <w:spacing w:before="60" w:after="60" w:line="288" w:lineRule="auto"/>
        <w:ind w:firstLine="720"/>
        <w:jc w:val="both"/>
        <w:rPr>
          <w:rFonts w:eastAsia="Calibri" w:cs="Arial"/>
          <w:color w:val="000000"/>
        </w:rPr>
      </w:pPr>
      <w:r>
        <w:t>У 2013 році мали місце аварійні забруднення, з великим впливом на навколишнє середовище та громадян.</w:t>
      </w:r>
    </w:p>
    <w:p w:rsidR="00642FB4" w:rsidRDefault="00642FB4">
      <w:pPr>
        <w:numPr>
          <w:ilvl w:val="0"/>
          <w:numId w:val="2"/>
        </w:numPr>
        <w:spacing w:before="60" w:after="60" w:line="288" w:lineRule="auto"/>
        <w:jc w:val="both"/>
        <w:rPr>
          <w:b/>
        </w:rPr>
      </w:pPr>
      <w:r>
        <w:rPr>
          <w:b/>
        </w:rPr>
        <w:t>Ґрунт</w:t>
      </w:r>
    </w:p>
    <w:p w:rsidR="00642FB4" w:rsidRDefault="00642FB4">
      <w:pPr>
        <w:spacing w:before="60" w:after="60" w:line="288" w:lineRule="auto"/>
        <w:ind w:firstLine="720"/>
        <w:jc w:val="both"/>
        <w:rPr>
          <w:b/>
        </w:rPr>
      </w:pPr>
      <w:r>
        <w:t xml:space="preserve">Еволюція розподілу сільськогосподарських угідь по класам використання у повіті Марамуреш в період з 2009 по 2013 р приведена в </w:t>
      </w:r>
      <w:r>
        <w:rPr>
          <w:b/>
        </w:rPr>
        <w:t>таблиці 4.2.5</w:t>
      </w:r>
      <w:r>
        <w:t>:</w:t>
      </w:r>
    </w:p>
    <w:p w:rsidR="00642FB4" w:rsidRDefault="00642FB4">
      <w:pPr>
        <w:spacing w:before="60" w:after="60" w:line="288" w:lineRule="auto"/>
        <w:ind w:firstLine="720"/>
        <w:jc w:val="both"/>
        <w:rPr>
          <w:b/>
        </w:rPr>
      </w:pPr>
    </w:p>
    <w:p w:rsidR="00642FB4" w:rsidRDefault="00642FB4">
      <w:pPr>
        <w:spacing w:before="60" w:after="60" w:line="288" w:lineRule="auto"/>
        <w:jc w:val="center"/>
        <w:rPr>
          <w:b/>
          <w:sz w:val="22"/>
          <w:szCs w:val="22"/>
        </w:rPr>
      </w:pPr>
      <w:r>
        <w:rPr>
          <w:b/>
          <w:i/>
          <w:sz w:val="22"/>
        </w:rPr>
        <w:t>Таблиця 4.2.5</w:t>
      </w:r>
      <w:r>
        <w:rPr>
          <w:b/>
          <w:sz w:val="22"/>
        </w:rPr>
        <w:t xml:space="preserve"> </w:t>
      </w:r>
      <w:r>
        <w:t xml:space="preserve">Розподіл сільськогосподарських угідь по класам використання у повіті Марамуреш </w:t>
      </w:r>
    </w:p>
    <w:tbl>
      <w:tblPr>
        <w:tblW w:w="9356" w:type="dxa"/>
        <w:tblInd w:w="5" w:type="dxa"/>
        <w:tblLayout w:type="fixed"/>
        <w:tblCellMar>
          <w:left w:w="0" w:type="dxa"/>
          <w:right w:w="0" w:type="dxa"/>
        </w:tblCellMar>
        <w:tblLook w:val="0000" w:firstRow="0" w:lastRow="0" w:firstColumn="0" w:lastColumn="0" w:noHBand="0" w:noVBand="0"/>
      </w:tblPr>
      <w:tblGrid>
        <w:gridCol w:w="1118"/>
        <w:gridCol w:w="2663"/>
        <w:gridCol w:w="1039"/>
        <w:gridCol w:w="992"/>
        <w:gridCol w:w="1134"/>
        <w:gridCol w:w="1134"/>
        <w:gridCol w:w="1276"/>
      </w:tblGrid>
      <w:tr w:rsidR="00642FB4">
        <w:trPr>
          <w:trHeight w:val="375"/>
        </w:trPr>
        <w:tc>
          <w:tcPr>
            <w:tcW w:w="1118" w:type="dxa"/>
            <w:vMerge w:val="restart"/>
            <w:tcBorders>
              <w:top w:val="single" w:sz="4" w:space="0" w:color="auto"/>
              <w:left w:val="single" w:sz="4" w:space="0" w:color="auto"/>
              <w:bottom w:val="nil"/>
              <w:right w:val="nil"/>
            </w:tcBorders>
            <w:shd w:val="clear" w:color="auto" w:fill="FFFFFF"/>
          </w:tcPr>
          <w:p w:rsidR="00642FB4" w:rsidRDefault="00642FB4">
            <w:r>
              <w:t>№ п/п</w:t>
            </w:r>
          </w:p>
        </w:tc>
        <w:tc>
          <w:tcPr>
            <w:tcW w:w="2663" w:type="dxa"/>
            <w:vMerge w:val="restart"/>
            <w:tcBorders>
              <w:top w:val="single" w:sz="4" w:space="0" w:color="auto"/>
              <w:left w:val="single" w:sz="4" w:space="0" w:color="auto"/>
              <w:bottom w:val="nil"/>
              <w:right w:val="nil"/>
            </w:tcBorders>
            <w:shd w:val="clear" w:color="auto" w:fill="FFFFFF"/>
            <w:vAlign w:val="bottom"/>
          </w:tcPr>
          <w:p w:rsidR="00642FB4" w:rsidRDefault="00642FB4">
            <w:r>
              <w:t>Категорія використання</w:t>
            </w:r>
          </w:p>
        </w:tc>
        <w:tc>
          <w:tcPr>
            <w:tcW w:w="5575" w:type="dxa"/>
            <w:gridSpan w:val="5"/>
            <w:tcBorders>
              <w:top w:val="single" w:sz="4" w:space="0" w:color="auto"/>
              <w:left w:val="single" w:sz="4" w:space="0" w:color="auto"/>
              <w:bottom w:val="nil"/>
              <w:right w:val="single" w:sz="4" w:space="0" w:color="auto"/>
            </w:tcBorders>
            <w:shd w:val="clear" w:color="auto" w:fill="FFFFFF"/>
            <w:vAlign w:val="bottom"/>
          </w:tcPr>
          <w:p w:rsidR="00642FB4" w:rsidRDefault="00642FB4">
            <w:r>
              <w:t>Площа, га</w:t>
            </w:r>
          </w:p>
        </w:tc>
      </w:tr>
      <w:tr w:rsidR="00642FB4">
        <w:trPr>
          <w:trHeight w:val="345"/>
        </w:trPr>
        <w:tc>
          <w:tcPr>
            <w:tcW w:w="1118" w:type="dxa"/>
            <w:vMerge/>
            <w:tcBorders>
              <w:top w:val="nil"/>
              <w:left w:val="single" w:sz="4" w:space="0" w:color="auto"/>
              <w:bottom w:val="nil"/>
              <w:right w:val="nil"/>
            </w:tcBorders>
            <w:shd w:val="clear" w:color="auto" w:fill="FFFFFF"/>
          </w:tcPr>
          <w:p w:rsidR="00642FB4" w:rsidRDefault="00642FB4"/>
        </w:tc>
        <w:tc>
          <w:tcPr>
            <w:tcW w:w="2663" w:type="dxa"/>
            <w:vMerge/>
            <w:tcBorders>
              <w:top w:val="nil"/>
              <w:left w:val="single" w:sz="4" w:space="0" w:color="auto"/>
              <w:bottom w:val="nil"/>
              <w:right w:val="nil"/>
            </w:tcBorders>
            <w:shd w:val="clear" w:color="auto" w:fill="FFFFFF"/>
            <w:vAlign w:val="bottom"/>
          </w:tcPr>
          <w:p w:rsidR="00642FB4" w:rsidRDefault="00642FB4"/>
        </w:tc>
        <w:tc>
          <w:tcPr>
            <w:tcW w:w="1039" w:type="dxa"/>
            <w:tcBorders>
              <w:top w:val="single" w:sz="4" w:space="0" w:color="auto"/>
              <w:left w:val="single" w:sz="4" w:space="0" w:color="auto"/>
              <w:bottom w:val="nil"/>
              <w:right w:val="nil"/>
            </w:tcBorders>
            <w:shd w:val="clear" w:color="auto" w:fill="FFFFFF"/>
          </w:tcPr>
          <w:p w:rsidR="00642FB4" w:rsidRDefault="00642FB4">
            <w:r>
              <w:t>2009</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r>
              <w:t>2010</w:t>
            </w:r>
          </w:p>
        </w:tc>
        <w:tc>
          <w:tcPr>
            <w:tcW w:w="1134" w:type="dxa"/>
            <w:tcBorders>
              <w:top w:val="single" w:sz="4" w:space="0" w:color="auto"/>
              <w:left w:val="single" w:sz="4" w:space="0" w:color="auto"/>
              <w:bottom w:val="nil"/>
              <w:right w:val="nil"/>
            </w:tcBorders>
            <w:shd w:val="clear" w:color="auto" w:fill="FFFFFF"/>
            <w:vAlign w:val="bottom"/>
          </w:tcPr>
          <w:p w:rsidR="00642FB4" w:rsidRDefault="00642FB4">
            <w:r>
              <w:t>2011</w:t>
            </w:r>
          </w:p>
        </w:tc>
        <w:tc>
          <w:tcPr>
            <w:tcW w:w="1134" w:type="dxa"/>
            <w:tcBorders>
              <w:top w:val="single" w:sz="4" w:space="0" w:color="auto"/>
              <w:left w:val="single" w:sz="4" w:space="0" w:color="auto"/>
              <w:bottom w:val="nil"/>
              <w:right w:val="nil"/>
            </w:tcBorders>
            <w:shd w:val="clear" w:color="auto" w:fill="FFFFFF"/>
            <w:vAlign w:val="bottom"/>
          </w:tcPr>
          <w:p w:rsidR="00642FB4" w:rsidRDefault="00642FB4">
            <w:r>
              <w:t>2012</w:t>
            </w:r>
          </w:p>
        </w:tc>
        <w:tc>
          <w:tcPr>
            <w:tcW w:w="1276" w:type="dxa"/>
            <w:tcBorders>
              <w:top w:val="single" w:sz="4" w:space="0" w:color="auto"/>
              <w:left w:val="single" w:sz="4" w:space="0" w:color="auto"/>
              <w:bottom w:val="nil"/>
              <w:right w:val="single" w:sz="4" w:space="0" w:color="auto"/>
            </w:tcBorders>
            <w:shd w:val="clear" w:color="auto" w:fill="FFFFFF"/>
          </w:tcPr>
          <w:p w:rsidR="00642FB4" w:rsidRDefault="00642FB4">
            <w:r>
              <w:t>2013</w:t>
            </w:r>
          </w:p>
        </w:tc>
      </w:tr>
      <w:tr w:rsidR="00642FB4">
        <w:trPr>
          <w:trHeight w:val="345"/>
        </w:trPr>
        <w:tc>
          <w:tcPr>
            <w:tcW w:w="1118" w:type="dxa"/>
            <w:tcBorders>
              <w:top w:val="single" w:sz="4" w:space="0" w:color="auto"/>
              <w:left w:val="single" w:sz="4" w:space="0" w:color="auto"/>
              <w:bottom w:val="nil"/>
              <w:right w:val="nil"/>
            </w:tcBorders>
            <w:shd w:val="clear" w:color="auto" w:fill="FFFFFF"/>
            <w:vAlign w:val="bottom"/>
          </w:tcPr>
          <w:p w:rsidR="00642FB4" w:rsidRDefault="00642FB4">
            <w:r>
              <w:t>1</w:t>
            </w:r>
          </w:p>
        </w:tc>
        <w:tc>
          <w:tcPr>
            <w:tcW w:w="2663" w:type="dxa"/>
            <w:tcBorders>
              <w:top w:val="single" w:sz="4" w:space="0" w:color="auto"/>
              <w:left w:val="single" w:sz="4" w:space="0" w:color="auto"/>
              <w:bottom w:val="nil"/>
              <w:right w:val="nil"/>
            </w:tcBorders>
            <w:shd w:val="clear" w:color="auto" w:fill="FFFFFF"/>
          </w:tcPr>
          <w:p w:rsidR="00642FB4" w:rsidRDefault="00642FB4">
            <w:r>
              <w:t>Орна</w:t>
            </w:r>
          </w:p>
        </w:tc>
        <w:tc>
          <w:tcPr>
            <w:tcW w:w="1039" w:type="dxa"/>
            <w:tcBorders>
              <w:top w:val="single" w:sz="4" w:space="0" w:color="auto"/>
              <w:left w:val="single" w:sz="4" w:space="0" w:color="auto"/>
              <w:bottom w:val="nil"/>
              <w:right w:val="nil"/>
            </w:tcBorders>
            <w:shd w:val="clear" w:color="auto" w:fill="FFFFFF"/>
          </w:tcPr>
          <w:p w:rsidR="00642FB4" w:rsidRDefault="00642FB4">
            <w:r>
              <w:t>83795</w:t>
            </w:r>
          </w:p>
        </w:tc>
        <w:tc>
          <w:tcPr>
            <w:tcW w:w="992" w:type="dxa"/>
            <w:tcBorders>
              <w:top w:val="single" w:sz="4" w:space="0" w:color="auto"/>
              <w:left w:val="single" w:sz="4" w:space="0" w:color="auto"/>
              <w:bottom w:val="nil"/>
              <w:right w:val="nil"/>
            </w:tcBorders>
            <w:shd w:val="clear" w:color="auto" w:fill="FFFFFF"/>
          </w:tcPr>
          <w:p w:rsidR="00642FB4" w:rsidRDefault="00642FB4">
            <w:r>
              <w:t>83784</w:t>
            </w:r>
          </w:p>
        </w:tc>
        <w:tc>
          <w:tcPr>
            <w:tcW w:w="1134" w:type="dxa"/>
            <w:tcBorders>
              <w:top w:val="single" w:sz="4" w:space="0" w:color="auto"/>
              <w:left w:val="single" w:sz="4" w:space="0" w:color="auto"/>
              <w:bottom w:val="nil"/>
              <w:right w:val="nil"/>
            </w:tcBorders>
            <w:shd w:val="clear" w:color="auto" w:fill="FFFFFF"/>
          </w:tcPr>
          <w:p w:rsidR="00642FB4" w:rsidRDefault="00642FB4">
            <w:r>
              <w:t>82855</w:t>
            </w:r>
          </w:p>
        </w:tc>
        <w:tc>
          <w:tcPr>
            <w:tcW w:w="1134" w:type="dxa"/>
            <w:tcBorders>
              <w:top w:val="single" w:sz="4" w:space="0" w:color="auto"/>
              <w:left w:val="single" w:sz="4" w:space="0" w:color="auto"/>
              <w:bottom w:val="nil"/>
              <w:right w:val="nil"/>
            </w:tcBorders>
            <w:shd w:val="clear" w:color="auto" w:fill="FFFFFF"/>
          </w:tcPr>
          <w:p w:rsidR="00642FB4" w:rsidRDefault="00642FB4">
            <w:r>
              <w:t>81619</w:t>
            </w:r>
          </w:p>
        </w:tc>
        <w:tc>
          <w:tcPr>
            <w:tcW w:w="1276" w:type="dxa"/>
            <w:tcBorders>
              <w:top w:val="single" w:sz="4" w:space="0" w:color="auto"/>
              <w:left w:val="single" w:sz="4" w:space="0" w:color="auto"/>
              <w:bottom w:val="nil"/>
              <w:right w:val="single" w:sz="4" w:space="0" w:color="auto"/>
            </w:tcBorders>
            <w:shd w:val="clear" w:color="auto" w:fill="FFFFFF"/>
            <w:vAlign w:val="bottom"/>
          </w:tcPr>
          <w:p w:rsidR="00642FB4" w:rsidRDefault="00642FB4">
            <w:r>
              <w:t>81206</w:t>
            </w:r>
          </w:p>
        </w:tc>
      </w:tr>
      <w:tr w:rsidR="00642FB4">
        <w:trPr>
          <w:trHeight w:val="330"/>
        </w:trPr>
        <w:tc>
          <w:tcPr>
            <w:tcW w:w="1118" w:type="dxa"/>
            <w:tcBorders>
              <w:top w:val="single" w:sz="4" w:space="0" w:color="auto"/>
              <w:left w:val="single" w:sz="4" w:space="0" w:color="auto"/>
              <w:bottom w:val="nil"/>
              <w:right w:val="nil"/>
            </w:tcBorders>
            <w:shd w:val="clear" w:color="auto" w:fill="FFFFFF"/>
            <w:vAlign w:val="bottom"/>
          </w:tcPr>
          <w:p w:rsidR="00642FB4" w:rsidRDefault="00642FB4">
            <w:r>
              <w:t>2</w:t>
            </w:r>
          </w:p>
        </w:tc>
        <w:tc>
          <w:tcPr>
            <w:tcW w:w="2663" w:type="dxa"/>
            <w:tcBorders>
              <w:top w:val="single" w:sz="4" w:space="0" w:color="auto"/>
              <w:left w:val="single" w:sz="4" w:space="0" w:color="auto"/>
              <w:bottom w:val="nil"/>
              <w:right w:val="nil"/>
            </w:tcBorders>
            <w:shd w:val="clear" w:color="auto" w:fill="FFFFFF"/>
          </w:tcPr>
          <w:p w:rsidR="00642FB4" w:rsidRDefault="00642FB4">
            <w:r>
              <w:t>Природні пасовища</w:t>
            </w:r>
          </w:p>
        </w:tc>
        <w:tc>
          <w:tcPr>
            <w:tcW w:w="1039" w:type="dxa"/>
            <w:tcBorders>
              <w:top w:val="single" w:sz="4" w:space="0" w:color="auto"/>
              <w:left w:val="single" w:sz="4" w:space="0" w:color="auto"/>
              <w:bottom w:val="nil"/>
              <w:right w:val="nil"/>
            </w:tcBorders>
            <w:shd w:val="clear" w:color="auto" w:fill="FFFFFF"/>
          </w:tcPr>
          <w:p w:rsidR="00642FB4" w:rsidRDefault="00642FB4">
            <w:r>
              <w:t>99734</w:t>
            </w:r>
          </w:p>
        </w:tc>
        <w:tc>
          <w:tcPr>
            <w:tcW w:w="992" w:type="dxa"/>
            <w:tcBorders>
              <w:top w:val="single" w:sz="4" w:space="0" w:color="auto"/>
              <w:left w:val="single" w:sz="4" w:space="0" w:color="auto"/>
              <w:bottom w:val="nil"/>
              <w:right w:val="nil"/>
            </w:tcBorders>
            <w:shd w:val="clear" w:color="auto" w:fill="FFFFFF"/>
          </w:tcPr>
          <w:p w:rsidR="00642FB4" w:rsidRDefault="00642FB4">
            <w:r>
              <w:t>98279</w:t>
            </w:r>
          </w:p>
        </w:tc>
        <w:tc>
          <w:tcPr>
            <w:tcW w:w="1134" w:type="dxa"/>
            <w:tcBorders>
              <w:top w:val="single" w:sz="4" w:space="0" w:color="auto"/>
              <w:left w:val="single" w:sz="4" w:space="0" w:color="auto"/>
              <w:bottom w:val="nil"/>
              <w:right w:val="nil"/>
            </w:tcBorders>
            <w:shd w:val="clear" w:color="auto" w:fill="FFFFFF"/>
          </w:tcPr>
          <w:p w:rsidR="00642FB4" w:rsidRDefault="00642FB4">
            <w:r>
              <w:t>96495</w:t>
            </w:r>
          </w:p>
        </w:tc>
        <w:tc>
          <w:tcPr>
            <w:tcW w:w="1134" w:type="dxa"/>
            <w:tcBorders>
              <w:top w:val="single" w:sz="4" w:space="0" w:color="auto"/>
              <w:left w:val="single" w:sz="4" w:space="0" w:color="auto"/>
              <w:bottom w:val="nil"/>
              <w:right w:val="nil"/>
            </w:tcBorders>
            <w:shd w:val="clear" w:color="auto" w:fill="FFFFFF"/>
          </w:tcPr>
          <w:p w:rsidR="00642FB4" w:rsidRDefault="00642FB4">
            <w:r>
              <w:t>96654</w:t>
            </w:r>
          </w:p>
        </w:tc>
        <w:tc>
          <w:tcPr>
            <w:tcW w:w="1276" w:type="dxa"/>
            <w:tcBorders>
              <w:top w:val="single" w:sz="4" w:space="0" w:color="auto"/>
              <w:left w:val="single" w:sz="4" w:space="0" w:color="auto"/>
              <w:bottom w:val="nil"/>
              <w:right w:val="single" w:sz="4" w:space="0" w:color="auto"/>
            </w:tcBorders>
            <w:shd w:val="clear" w:color="auto" w:fill="FFFFFF"/>
          </w:tcPr>
          <w:p w:rsidR="00642FB4" w:rsidRDefault="00642FB4">
            <w:r>
              <w:t>96888</w:t>
            </w:r>
          </w:p>
        </w:tc>
      </w:tr>
      <w:tr w:rsidR="00642FB4">
        <w:trPr>
          <w:trHeight w:val="345"/>
        </w:trPr>
        <w:tc>
          <w:tcPr>
            <w:tcW w:w="1118" w:type="dxa"/>
            <w:tcBorders>
              <w:top w:val="single" w:sz="4" w:space="0" w:color="auto"/>
              <w:left w:val="single" w:sz="4" w:space="0" w:color="auto"/>
              <w:bottom w:val="nil"/>
              <w:right w:val="nil"/>
            </w:tcBorders>
            <w:shd w:val="clear" w:color="auto" w:fill="FFFFFF"/>
            <w:vAlign w:val="bottom"/>
          </w:tcPr>
          <w:p w:rsidR="00642FB4" w:rsidRDefault="00642FB4">
            <w:r>
              <w:t>3</w:t>
            </w:r>
          </w:p>
        </w:tc>
        <w:tc>
          <w:tcPr>
            <w:tcW w:w="2663" w:type="dxa"/>
            <w:tcBorders>
              <w:top w:val="single" w:sz="4" w:space="0" w:color="auto"/>
              <w:left w:val="single" w:sz="4" w:space="0" w:color="auto"/>
              <w:bottom w:val="nil"/>
              <w:right w:val="nil"/>
            </w:tcBorders>
            <w:shd w:val="clear" w:color="auto" w:fill="FFFFFF"/>
            <w:vAlign w:val="bottom"/>
          </w:tcPr>
          <w:p w:rsidR="00642FB4" w:rsidRDefault="00642FB4">
            <w:r>
              <w:t>Природні луги</w:t>
            </w:r>
          </w:p>
        </w:tc>
        <w:tc>
          <w:tcPr>
            <w:tcW w:w="1039" w:type="dxa"/>
            <w:tcBorders>
              <w:top w:val="single" w:sz="4" w:space="0" w:color="auto"/>
              <w:left w:val="single" w:sz="4" w:space="0" w:color="auto"/>
              <w:bottom w:val="nil"/>
              <w:right w:val="nil"/>
            </w:tcBorders>
            <w:shd w:val="clear" w:color="auto" w:fill="FFFFFF"/>
            <w:vAlign w:val="bottom"/>
          </w:tcPr>
          <w:p w:rsidR="00642FB4" w:rsidRDefault="00642FB4">
            <w:r>
              <w:t>119935</w:t>
            </w:r>
          </w:p>
        </w:tc>
        <w:tc>
          <w:tcPr>
            <w:tcW w:w="992" w:type="dxa"/>
            <w:tcBorders>
              <w:top w:val="single" w:sz="4" w:space="0" w:color="auto"/>
              <w:left w:val="single" w:sz="4" w:space="0" w:color="auto"/>
              <w:bottom w:val="nil"/>
              <w:right w:val="nil"/>
            </w:tcBorders>
            <w:shd w:val="clear" w:color="auto" w:fill="FFFFFF"/>
            <w:vAlign w:val="bottom"/>
          </w:tcPr>
          <w:p w:rsidR="00642FB4" w:rsidRDefault="00642FB4">
            <w:r>
              <w:t>119730</w:t>
            </w:r>
          </w:p>
        </w:tc>
        <w:tc>
          <w:tcPr>
            <w:tcW w:w="1134" w:type="dxa"/>
            <w:tcBorders>
              <w:top w:val="single" w:sz="4" w:space="0" w:color="auto"/>
              <w:left w:val="single" w:sz="4" w:space="0" w:color="auto"/>
              <w:bottom w:val="nil"/>
              <w:right w:val="nil"/>
            </w:tcBorders>
            <w:shd w:val="clear" w:color="auto" w:fill="FFFFFF"/>
            <w:vAlign w:val="bottom"/>
          </w:tcPr>
          <w:p w:rsidR="00642FB4" w:rsidRDefault="00642FB4">
            <w:r>
              <w:t>120260</w:t>
            </w:r>
          </w:p>
        </w:tc>
        <w:tc>
          <w:tcPr>
            <w:tcW w:w="1134" w:type="dxa"/>
            <w:tcBorders>
              <w:top w:val="single" w:sz="4" w:space="0" w:color="auto"/>
              <w:left w:val="single" w:sz="4" w:space="0" w:color="auto"/>
              <w:bottom w:val="nil"/>
              <w:right w:val="nil"/>
            </w:tcBorders>
            <w:shd w:val="clear" w:color="auto" w:fill="FFFFFF"/>
            <w:vAlign w:val="bottom"/>
          </w:tcPr>
          <w:p w:rsidR="00642FB4" w:rsidRDefault="00642FB4">
            <w:r>
              <w:t>120658</w:t>
            </w:r>
          </w:p>
        </w:tc>
        <w:tc>
          <w:tcPr>
            <w:tcW w:w="1276" w:type="dxa"/>
            <w:tcBorders>
              <w:top w:val="single" w:sz="4" w:space="0" w:color="auto"/>
              <w:left w:val="single" w:sz="4" w:space="0" w:color="auto"/>
              <w:bottom w:val="nil"/>
              <w:right w:val="single" w:sz="4" w:space="0" w:color="auto"/>
            </w:tcBorders>
            <w:shd w:val="clear" w:color="auto" w:fill="FFFFFF"/>
            <w:vAlign w:val="bottom"/>
          </w:tcPr>
          <w:p w:rsidR="00642FB4" w:rsidRDefault="00642FB4">
            <w:r>
              <w:t>120937</w:t>
            </w:r>
          </w:p>
        </w:tc>
      </w:tr>
      <w:tr w:rsidR="00642FB4">
        <w:trPr>
          <w:trHeight w:val="345"/>
        </w:trPr>
        <w:tc>
          <w:tcPr>
            <w:tcW w:w="1118" w:type="dxa"/>
            <w:tcBorders>
              <w:top w:val="single" w:sz="4" w:space="0" w:color="auto"/>
              <w:left w:val="single" w:sz="4" w:space="0" w:color="auto"/>
              <w:bottom w:val="nil"/>
              <w:right w:val="nil"/>
            </w:tcBorders>
            <w:shd w:val="clear" w:color="auto" w:fill="FFFFFF"/>
          </w:tcPr>
          <w:p w:rsidR="00642FB4" w:rsidRDefault="00642FB4">
            <w:r>
              <w:t>4</w:t>
            </w:r>
          </w:p>
        </w:tc>
        <w:tc>
          <w:tcPr>
            <w:tcW w:w="2663" w:type="dxa"/>
            <w:tcBorders>
              <w:top w:val="single" w:sz="4" w:space="0" w:color="auto"/>
              <w:left w:val="single" w:sz="4" w:space="0" w:color="auto"/>
              <w:bottom w:val="nil"/>
              <w:right w:val="nil"/>
            </w:tcBorders>
            <w:shd w:val="clear" w:color="auto" w:fill="FFFFFF"/>
          </w:tcPr>
          <w:p w:rsidR="00642FB4" w:rsidRDefault="00642FB4">
            <w:r>
              <w:t>Виноградники</w:t>
            </w:r>
          </w:p>
        </w:tc>
        <w:tc>
          <w:tcPr>
            <w:tcW w:w="1039" w:type="dxa"/>
            <w:tcBorders>
              <w:top w:val="single" w:sz="4" w:space="0" w:color="auto"/>
              <w:left w:val="single" w:sz="4" w:space="0" w:color="auto"/>
              <w:bottom w:val="nil"/>
              <w:right w:val="nil"/>
            </w:tcBorders>
            <w:shd w:val="clear" w:color="auto" w:fill="FFFFFF"/>
          </w:tcPr>
          <w:p w:rsidR="00642FB4" w:rsidRDefault="00642FB4">
            <w:r>
              <w:t>243</w:t>
            </w:r>
          </w:p>
        </w:tc>
        <w:tc>
          <w:tcPr>
            <w:tcW w:w="992" w:type="dxa"/>
            <w:tcBorders>
              <w:top w:val="single" w:sz="4" w:space="0" w:color="auto"/>
              <w:left w:val="single" w:sz="4" w:space="0" w:color="auto"/>
              <w:bottom w:val="nil"/>
              <w:right w:val="nil"/>
            </w:tcBorders>
            <w:shd w:val="clear" w:color="auto" w:fill="FFFFFF"/>
          </w:tcPr>
          <w:p w:rsidR="00642FB4" w:rsidRDefault="00642FB4">
            <w:r>
              <w:t>243</w:t>
            </w:r>
          </w:p>
        </w:tc>
        <w:tc>
          <w:tcPr>
            <w:tcW w:w="1134" w:type="dxa"/>
            <w:tcBorders>
              <w:top w:val="single" w:sz="4" w:space="0" w:color="auto"/>
              <w:left w:val="single" w:sz="4" w:space="0" w:color="auto"/>
              <w:bottom w:val="nil"/>
              <w:right w:val="nil"/>
            </w:tcBorders>
            <w:shd w:val="clear" w:color="auto" w:fill="FFFFFF"/>
          </w:tcPr>
          <w:p w:rsidR="00642FB4" w:rsidRDefault="00642FB4">
            <w:r>
              <w:t>243</w:t>
            </w:r>
          </w:p>
        </w:tc>
        <w:tc>
          <w:tcPr>
            <w:tcW w:w="1134" w:type="dxa"/>
            <w:tcBorders>
              <w:top w:val="single" w:sz="4" w:space="0" w:color="auto"/>
              <w:left w:val="single" w:sz="4" w:space="0" w:color="auto"/>
              <w:bottom w:val="nil"/>
              <w:right w:val="nil"/>
            </w:tcBorders>
            <w:shd w:val="clear" w:color="auto" w:fill="FFFFFF"/>
          </w:tcPr>
          <w:p w:rsidR="00642FB4" w:rsidRDefault="00642FB4">
            <w:r>
              <w:t>243</w:t>
            </w:r>
          </w:p>
        </w:tc>
        <w:tc>
          <w:tcPr>
            <w:tcW w:w="1276" w:type="dxa"/>
            <w:tcBorders>
              <w:top w:val="single" w:sz="4" w:space="0" w:color="auto"/>
              <w:left w:val="single" w:sz="4" w:space="0" w:color="auto"/>
              <w:bottom w:val="nil"/>
              <w:right w:val="single" w:sz="4" w:space="0" w:color="auto"/>
            </w:tcBorders>
            <w:shd w:val="clear" w:color="auto" w:fill="FFFFFF"/>
          </w:tcPr>
          <w:p w:rsidR="00642FB4" w:rsidRDefault="00642FB4">
            <w:r>
              <w:t>243</w:t>
            </w:r>
          </w:p>
        </w:tc>
      </w:tr>
      <w:tr w:rsidR="00642FB4">
        <w:trPr>
          <w:trHeight w:val="345"/>
        </w:trPr>
        <w:tc>
          <w:tcPr>
            <w:tcW w:w="1118" w:type="dxa"/>
            <w:tcBorders>
              <w:top w:val="single" w:sz="4" w:space="0" w:color="auto"/>
              <w:left w:val="single" w:sz="4" w:space="0" w:color="auto"/>
              <w:bottom w:val="nil"/>
              <w:right w:val="nil"/>
            </w:tcBorders>
            <w:shd w:val="clear" w:color="auto" w:fill="FFFFFF"/>
          </w:tcPr>
          <w:p w:rsidR="00642FB4" w:rsidRDefault="00642FB4">
            <w:r>
              <w:t>5</w:t>
            </w:r>
          </w:p>
        </w:tc>
        <w:tc>
          <w:tcPr>
            <w:tcW w:w="2663" w:type="dxa"/>
            <w:tcBorders>
              <w:top w:val="single" w:sz="4" w:space="0" w:color="auto"/>
              <w:left w:val="single" w:sz="4" w:space="0" w:color="auto"/>
              <w:bottom w:val="nil"/>
              <w:right w:val="nil"/>
            </w:tcBorders>
            <w:shd w:val="clear" w:color="auto" w:fill="FFFFFF"/>
          </w:tcPr>
          <w:p w:rsidR="00642FB4" w:rsidRDefault="00642FB4">
            <w:r>
              <w:t>Сади</w:t>
            </w:r>
          </w:p>
        </w:tc>
        <w:tc>
          <w:tcPr>
            <w:tcW w:w="1039" w:type="dxa"/>
            <w:tcBorders>
              <w:top w:val="single" w:sz="4" w:space="0" w:color="auto"/>
              <w:left w:val="single" w:sz="4" w:space="0" w:color="auto"/>
              <w:bottom w:val="nil"/>
              <w:right w:val="nil"/>
            </w:tcBorders>
            <w:shd w:val="clear" w:color="auto" w:fill="FFFFFF"/>
          </w:tcPr>
          <w:p w:rsidR="00642FB4" w:rsidRDefault="00642FB4">
            <w:r>
              <w:t>6590</w:t>
            </w:r>
          </w:p>
        </w:tc>
        <w:tc>
          <w:tcPr>
            <w:tcW w:w="992" w:type="dxa"/>
            <w:tcBorders>
              <w:top w:val="single" w:sz="4" w:space="0" w:color="auto"/>
              <w:left w:val="single" w:sz="4" w:space="0" w:color="auto"/>
              <w:bottom w:val="nil"/>
              <w:right w:val="nil"/>
            </w:tcBorders>
            <w:shd w:val="clear" w:color="auto" w:fill="FFFFFF"/>
          </w:tcPr>
          <w:p w:rsidR="00642FB4" w:rsidRDefault="00642FB4">
            <w:r>
              <w:t>6304</w:t>
            </w:r>
          </w:p>
        </w:tc>
        <w:tc>
          <w:tcPr>
            <w:tcW w:w="1134" w:type="dxa"/>
            <w:tcBorders>
              <w:top w:val="single" w:sz="4" w:space="0" w:color="auto"/>
              <w:left w:val="single" w:sz="4" w:space="0" w:color="auto"/>
              <w:bottom w:val="nil"/>
              <w:right w:val="nil"/>
            </w:tcBorders>
            <w:shd w:val="clear" w:color="auto" w:fill="FFFFFF"/>
          </w:tcPr>
          <w:p w:rsidR="00642FB4" w:rsidRDefault="00642FB4">
            <w:r>
              <w:t>6339</w:t>
            </w:r>
          </w:p>
        </w:tc>
        <w:tc>
          <w:tcPr>
            <w:tcW w:w="1134" w:type="dxa"/>
            <w:tcBorders>
              <w:top w:val="single" w:sz="4" w:space="0" w:color="auto"/>
              <w:left w:val="single" w:sz="4" w:space="0" w:color="auto"/>
              <w:bottom w:val="nil"/>
              <w:right w:val="nil"/>
            </w:tcBorders>
            <w:shd w:val="clear" w:color="auto" w:fill="FFFFFF"/>
          </w:tcPr>
          <w:p w:rsidR="00642FB4" w:rsidRDefault="00642FB4">
            <w:r>
              <w:t>6199</w:t>
            </w:r>
          </w:p>
        </w:tc>
        <w:tc>
          <w:tcPr>
            <w:tcW w:w="1276" w:type="dxa"/>
            <w:tcBorders>
              <w:top w:val="single" w:sz="4" w:space="0" w:color="auto"/>
              <w:left w:val="single" w:sz="4" w:space="0" w:color="auto"/>
              <w:bottom w:val="nil"/>
              <w:right w:val="single" w:sz="4" w:space="0" w:color="auto"/>
            </w:tcBorders>
            <w:shd w:val="clear" w:color="auto" w:fill="FFFFFF"/>
          </w:tcPr>
          <w:p w:rsidR="00642FB4" w:rsidRDefault="00642FB4">
            <w:r>
              <w:t>6254</w:t>
            </w:r>
          </w:p>
        </w:tc>
      </w:tr>
      <w:tr w:rsidR="00642FB4">
        <w:trPr>
          <w:trHeight w:val="375"/>
        </w:trPr>
        <w:tc>
          <w:tcPr>
            <w:tcW w:w="1118" w:type="dxa"/>
            <w:tcBorders>
              <w:top w:val="single" w:sz="4" w:space="0" w:color="auto"/>
              <w:left w:val="single" w:sz="4" w:space="0" w:color="auto"/>
              <w:bottom w:val="single" w:sz="4" w:space="0" w:color="auto"/>
              <w:right w:val="nil"/>
            </w:tcBorders>
            <w:shd w:val="clear" w:color="auto" w:fill="FFFFFF"/>
          </w:tcPr>
          <w:p w:rsidR="00642FB4" w:rsidRDefault="00642FB4"/>
        </w:tc>
        <w:tc>
          <w:tcPr>
            <w:tcW w:w="2663" w:type="dxa"/>
            <w:tcBorders>
              <w:top w:val="single" w:sz="4" w:space="0" w:color="auto"/>
              <w:left w:val="single" w:sz="4" w:space="0" w:color="auto"/>
              <w:bottom w:val="single" w:sz="4" w:space="0" w:color="auto"/>
              <w:right w:val="nil"/>
            </w:tcBorders>
            <w:shd w:val="clear" w:color="auto" w:fill="FFFFFF"/>
          </w:tcPr>
          <w:p w:rsidR="00642FB4" w:rsidRDefault="00642FB4">
            <w:r>
              <w:t>Всього на сільськогосподарські угіддя</w:t>
            </w:r>
          </w:p>
        </w:tc>
        <w:tc>
          <w:tcPr>
            <w:tcW w:w="1039" w:type="dxa"/>
            <w:tcBorders>
              <w:top w:val="single" w:sz="4" w:space="0" w:color="auto"/>
              <w:left w:val="single" w:sz="4" w:space="0" w:color="auto"/>
              <w:bottom w:val="single" w:sz="4" w:space="0" w:color="auto"/>
              <w:right w:val="nil"/>
            </w:tcBorders>
            <w:shd w:val="clear" w:color="auto" w:fill="FFFFFF"/>
          </w:tcPr>
          <w:p w:rsidR="00642FB4" w:rsidRDefault="00642FB4">
            <w:r>
              <w:t>310297</w:t>
            </w:r>
          </w:p>
        </w:tc>
        <w:tc>
          <w:tcPr>
            <w:tcW w:w="992" w:type="dxa"/>
            <w:tcBorders>
              <w:top w:val="single" w:sz="4" w:space="0" w:color="auto"/>
              <w:left w:val="single" w:sz="4" w:space="0" w:color="auto"/>
              <w:bottom w:val="single" w:sz="4" w:space="0" w:color="auto"/>
              <w:right w:val="nil"/>
            </w:tcBorders>
            <w:shd w:val="clear" w:color="auto" w:fill="FFFFFF"/>
          </w:tcPr>
          <w:p w:rsidR="00642FB4" w:rsidRDefault="00642FB4">
            <w:r>
              <w:t>309325</w:t>
            </w:r>
          </w:p>
        </w:tc>
        <w:tc>
          <w:tcPr>
            <w:tcW w:w="1134" w:type="dxa"/>
            <w:tcBorders>
              <w:top w:val="single" w:sz="4" w:space="0" w:color="auto"/>
              <w:left w:val="single" w:sz="4" w:space="0" w:color="auto"/>
              <w:bottom w:val="single" w:sz="4" w:space="0" w:color="auto"/>
              <w:right w:val="nil"/>
            </w:tcBorders>
            <w:shd w:val="clear" w:color="auto" w:fill="FFFFFF"/>
          </w:tcPr>
          <w:p w:rsidR="00642FB4" w:rsidRDefault="00642FB4">
            <w:r>
              <w:t>306192</w:t>
            </w:r>
          </w:p>
        </w:tc>
        <w:tc>
          <w:tcPr>
            <w:tcW w:w="1134" w:type="dxa"/>
            <w:tcBorders>
              <w:top w:val="single" w:sz="4" w:space="0" w:color="auto"/>
              <w:left w:val="single" w:sz="4" w:space="0" w:color="auto"/>
              <w:bottom w:val="single" w:sz="4" w:space="0" w:color="auto"/>
              <w:right w:val="nil"/>
            </w:tcBorders>
            <w:shd w:val="clear" w:color="auto" w:fill="FFFFFF"/>
          </w:tcPr>
          <w:p w:rsidR="00642FB4" w:rsidRDefault="00642FB4">
            <w:r>
              <w:t>305373</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642FB4" w:rsidRDefault="00642FB4">
            <w:r>
              <w:t>305528</w:t>
            </w:r>
          </w:p>
        </w:tc>
      </w:tr>
    </w:tbl>
    <w:p w:rsidR="00642FB4" w:rsidRDefault="00642FB4">
      <w:r>
        <w:t>Джерело даних: Повітове управління Марамуреш сільського господарства</w:t>
      </w:r>
    </w:p>
    <w:p w:rsidR="00642FB4" w:rsidRDefault="00642FB4">
      <w:pPr>
        <w:spacing w:before="60" w:after="60" w:line="288" w:lineRule="auto"/>
        <w:jc w:val="center"/>
        <w:rPr>
          <w:b/>
        </w:rPr>
      </w:pPr>
    </w:p>
    <w:p w:rsidR="00642FB4" w:rsidRDefault="00642FB4">
      <w:pPr>
        <w:spacing w:before="60" w:after="60" w:line="288" w:lineRule="auto"/>
        <w:ind w:firstLine="630"/>
        <w:jc w:val="both"/>
      </w:pPr>
    </w:p>
    <w:p w:rsidR="00642FB4" w:rsidRDefault="00642FB4">
      <w:pPr>
        <w:spacing w:before="60" w:after="60" w:line="288" w:lineRule="auto"/>
        <w:ind w:firstLine="630"/>
        <w:jc w:val="both"/>
        <w:rPr>
          <w:b/>
        </w:rPr>
      </w:pPr>
      <w:r>
        <w:t>У порівнянні з 2012 р було невелике поліпшення поверхні, відповідно до класифікації по категоріям сільськогосподарських угідь, і це мало позитивний вплив на навколишнє середовище.</w:t>
      </w:r>
    </w:p>
    <w:p w:rsidR="00642FB4" w:rsidRDefault="00642FB4">
      <w:pPr>
        <w:spacing w:before="60" w:after="60" w:line="288" w:lineRule="auto"/>
        <w:ind w:firstLine="720"/>
        <w:jc w:val="both"/>
      </w:pPr>
      <w:r>
        <w:t>У 2013 році, в повіті Марамуреш мали місце аварійні забруднення ґрунту.</w:t>
      </w:r>
    </w:p>
    <w:p w:rsidR="00642FB4" w:rsidRDefault="00642FB4">
      <w:pPr>
        <w:spacing w:before="60" w:after="60" w:line="288" w:lineRule="auto"/>
        <w:jc w:val="both"/>
      </w:pPr>
    </w:p>
    <w:p w:rsidR="00642FB4" w:rsidRDefault="00642FB4">
      <w:pPr>
        <w:pStyle w:val="Heading1"/>
        <w:rPr>
          <w:rFonts w:ascii="Arial" w:hAnsi="Arial" w:cs="Arial"/>
          <w:sz w:val="24"/>
          <w:szCs w:val="24"/>
        </w:rPr>
      </w:pPr>
      <w:bookmarkStart w:id="18" w:name="_Toc418279301"/>
      <w:bookmarkStart w:id="19" w:name="_Toc419199663"/>
      <w:r>
        <w:rPr>
          <w:rFonts w:ascii="Arial" w:hAnsi="Arial"/>
          <w:sz w:val="24"/>
        </w:rPr>
        <w:t>4.3 Повіт Сату-Маре</w:t>
      </w:r>
      <w:bookmarkEnd w:id="18"/>
      <w:bookmarkEnd w:id="19"/>
    </w:p>
    <w:p w:rsidR="00642FB4" w:rsidRDefault="00642FB4">
      <w:pPr>
        <w:spacing w:before="60" w:after="60" w:line="288" w:lineRule="auto"/>
        <w:jc w:val="both"/>
        <w:rPr>
          <w:b/>
        </w:rPr>
      </w:pPr>
    </w:p>
    <w:p w:rsidR="00642FB4" w:rsidRDefault="00642FB4">
      <w:pPr>
        <w:numPr>
          <w:ilvl w:val="0"/>
          <w:numId w:val="1"/>
        </w:numPr>
        <w:spacing w:before="60" w:after="60" w:line="288" w:lineRule="auto"/>
        <w:jc w:val="both"/>
        <w:rPr>
          <w:rFonts w:cs="Arial"/>
          <w:b/>
        </w:rPr>
      </w:pPr>
      <w:r>
        <w:rPr>
          <w:b/>
        </w:rPr>
        <w:t>ПОВІТРЯ</w:t>
      </w:r>
    </w:p>
    <w:p w:rsidR="00642FB4" w:rsidRDefault="00642FB4">
      <w:pPr>
        <w:spacing w:before="60" w:after="60" w:line="288" w:lineRule="auto"/>
        <w:ind w:firstLine="720"/>
        <w:jc w:val="both"/>
        <w:rPr>
          <w:rFonts w:cs="Arial"/>
          <w:b/>
          <w:bCs/>
        </w:rPr>
      </w:pPr>
      <w:r>
        <w:t xml:space="preserve"> </w:t>
      </w:r>
      <w:r>
        <w:rPr>
          <w:i/>
        </w:rPr>
        <w:t>Діоксид сірки (SO</w:t>
      </w:r>
      <w:r>
        <w:rPr>
          <w:i/>
          <w:vertAlign w:val="subscript"/>
        </w:rPr>
        <w:t>2</w:t>
      </w:r>
      <w:r>
        <w:rPr>
          <w:i/>
        </w:rPr>
        <w:t>)</w:t>
      </w:r>
      <w:r>
        <w:rPr>
          <w:b/>
        </w:rPr>
        <w:t xml:space="preserve"> </w:t>
      </w:r>
    </w:p>
    <w:p w:rsidR="00642FB4" w:rsidRDefault="00642FB4">
      <w:pPr>
        <w:spacing w:before="60" w:after="60" w:line="288" w:lineRule="auto"/>
        <w:ind w:firstLine="720"/>
        <w:jc w:val="both"/>
      </w:pPr>
      <w:r>
        <w:t>У 2013 році в повіті Сату-Маре в розробці інвентарю викидів на основі факторів Corinair було отримано всього 408,5 тонн викидів SO</w:t>
      </w:r>
      <w:r>
        <w:rPr>
          <w:vertAlign w:val="subscript"/>
        </w:rPr>
        <w:t>2</w:t>
      </w:r>
      <w:r>
        <w:t>, по відношенню з 108,3 тоннами викидів в 2012 році.</w:t>
      </w:r>
    </w:p>
    <w:p w:rsidR="00642FB4" w:rsidRDefault="00642FB4">
      <w:pPr>
        <w:spacing w:before="60" w:after="60" w:line="288" w:lineRule="auto"/>
        <w:jc w:val="both"/>
        <w:rPr>
          <w:rFonts w:cs="Arial"/>
        </w:rPr>
      </w:pPr>
    </w:p>
    <w:p w:rsidR="00642FB4" w:rsidRDefault="00642FB4">
      <w:pPr>
        <w:autoSpaceDE w:val="0"/>
        <w:autoSpaceDN w:val="0"/>
        <w:adjustRightInd w:val="0"/>
        <w:spacing w:before="60" w:after="60" w:line="288" w:lineRule="auto"/>
        <w:ind w:left="360"/>
        <w:jc w:val="center"/>
        <w:rPr>
          <w:rFonts w:eastAsia="Calibri" w:cs="Arial"/>
          <w:b/>
          <w:bCs/>
          <w:i/>
          <w:sz w:val="22"/>
          <w:szCs w:val="22"/>
        </w:rPr>
      </w:pPr>
      <w:r>
        <w:rPr>
          <w:b/>
          <w:i/>
          <w:sz w:val="22"/>
        </w:rPr>
        <w:t xml:space="preserve">Таблиця 4.3.1 </w:t>
      </w:r>
      <w:r>
        <w:t>Щорічні обсяги діоксиду сірки</w:t>
      </w:r>
    </w:p>
    <w:p w:rsidR="00642FB4" w:rsidRDefault="00642FB4"/>
    <w:tbl>
      <w:tblPr>
        <w:tblW w:w="9640" w:type="dxa"/>
        <w:tblInd w:w="5" w:type="dxa"/>
        <w:tblLayout w:type="fixed"/>
        <w:tblCellMar>
          <w:left w:w="0" w:type="dxa"/>
          <w:right w:w="0" w:type="dxa"/>
        </w:tblCellMar>
        <w:tblLook w:val="0000" w:firstRow="0" w:lastRow="0" w:firstColumn="0" w:lastColumn="0" w:noHBand="0" w:noVBand="0"/>
      </w:tblPr>
      <w:tblGrid>
        <w:gridCol w:w="1843"/>
        <w:gridCol w:w="709"/>
        <w:gridCol w:w="709"/>
        <w:gridCol w:w="709"/>
        <w:gridCol w:w="708"/>
        <w:gridCol w:w="709"/>
        <w:gridCol w:w="709"/>
        <w:gridCol w:w="709"/>
        <w:gridCol w:w="708"/>
        <w:gridCol w:w="709"/>
        <w:gridCol w:w="709"/>
        <w:gridCol w:w="709"/>
      </w:tblGrid>
      <w:tr w:rsidR="00642FB4">
        <w:trPr>
          <w:trHeight w:val="353"/>
        </w:trPr>
        <w:tc>
          <w:tcPr>
            <w:tcW w:w="1843" w:type="dxa"/>
            <w:tcBorders>
              <w:top w:val="single" w:sz="4" w:space="0" w:color="auto"/>
              <w:left w:val="single" w:sz="4" w:space="0" w:color="auto"/>
              <w:bottom w:val="nil"/>
              <w:right w:val="nil"/>
            </w:tcBorders>
            <w:shd w:val="clear" w:color="auto" w:fill="FFFFFF"/>
            <w:vAlign w:val="center"/>
          </w:tcPr>
          <w:p w:rsidR="00642FB4" w:rsidRDefault="00642FB4">
            <w:r>
              <w:t>Рік</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2003</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2004</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2005</w:t>
            </w:r>
          </w:p>
        </w:tc>
        <w:tc>
          <w:tcPr>
            <w:tcW w:w="708" w:type="dxa"/>
            <w:tcBorders>
              <w:top w:val="single" w:sz="4" w:space="0" w:color="auto"/>
              <w:left w:val="single" w:sz="4" w:space="0" w:color="auto"/>
              <w:bottom w:val="nil"/>
              <w:right w:val="nil"/>
            </w:tcBorders>
            <w:shd w:val="clear" w:color="auto" w:fill="FFFFFF"/>
            <w:vAlign w:val="bottom"/>
          </w:tcPr>
          <w:p w:rsidR="00642FB4" w:rsidRDefault="00642FB4">
            <w:r>
              <w:t>2006</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2007</w:t>
            </w:r>
          </w:p>
        </w:tc>
        <w:tc>
          <w:tcPr>
            <w:tcW w:w="709" w:type="dxa"/>
            <w:tcBorders>
              <w:top w:val="single" w:sz="4" w:space="0" w:color="auto"/>
              <w:left w:val="single" w:sz="4" w:space="0" w:color="auto"/>
              <w:bottom w:val="nil"/>
              <w:right w:val="nil"/>
            </w:tcBorders>
            <w:shd w:val="clear" w:color="auto" w:fill="FFFFFF"/>
            <w:vAlign w:val="bottom"/>
          </w:tcPr>
          <w:p w:rsidR="00642FB4" w:rsidRDefault="00642FB4">
            <w:r>
              <w:t>2008</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2009</w:t>
            </w:r>
          </w:p>
        </w:tc>
        <w:tc>
          <w:tcPr>
            <w:tcW w:w="708" w:type="dxa"/>
            <w:tcBorders>
              <w:top w:val="single" w:sz="4" w:space="0" w:color="auto"/>
              <w:left w:val="single" w:sz="4" w:space="0" w:color="auto"/>
              <w:bottom w:val="nil"/>
              <w:right w:val="nil"/>
            </w:tcBorders>
            <w:shd w:val="clear" w:color="auto" w:fill="FFFFFF"/>
            <w:vAlign w:val="bottom"/>
          </w:tcPr>
          <w:p w:rsidR="00642FB4" w:rsidRDefault="00642FB4">
            <w:r>
              <w:t>2010</w:t>
            </w:r>
          </w:p>
        </w:tc>
        <w:tc>
          <w:tcPr>
            <w:tcW w:w="709" w:type="dxa"/>
            <w:tcBorders>
              <w:top w:val="single" w:sz="4" w:space="0" w:color="auto"/>
              <w:left w:val="single" w:sz="4" w:space="0" w:color="auto"/>
              <w:bottom w:val="nil"/>
              <w:right w:val="nil"/>
            </w:tcBorders>
            <w:shd w:val="clear" w:color="auto" w:fill="FFFFFF"/>
            <w:vAlign w:val="bottom"/>
          </w:tcPr>
          <w:p w:rsidR="00642FB4" w:rsidRDefault="00642FB4">
            <w:r>
              <w:t>2011</w:t>
            </w:r>
          </w:p>
        </w:tc>
        <w:tc>
          <w:tcPr>
            <w:tcW w:w="709" w:type="dxa"/>
            <w:tcBorders>
              <w:top w:val="single" w:sz="4" w:space="0" w:color="auto"/>
              <w:left w:val="single" w:sz="4" w:space="0" w:color="auto"/>
              <w:bottom w:val="nil"/>
              <w:right w:val="nil"/>
            </w:tcBorders>
            <w:shd w:val="clear" w:color="auto" w:fill="FFFFFF"/>
            <w:vAlign w:val="bottom"/>
          </w:tcPr>
          <w:p w:rsidR="00642FB4" w:rsidRDefault="00642FB4">
            <w:r>
              <w:t>2012</w:t>
            </w:r>
          </w:p>
        </w:tc>
        <w:tc>
          <w:tcPr>
            <w:tcW w:w="709" w:type="dxa"/>
            <w:tcBorders>
              <w:top w:val="single" w:sz="4" w:space="0" w:color="auto"/>
              <w:left w:val="single" w:sz="4" w:space="0" w:color="auto"/>
              <w:bottom w:val="nil"/>
              <w:right w:val="single" w:sz="4" w:space="0" w:color="auto"/>
            </w:tcBorders>
            <w:shd w:val="clear" w:color="auto" w:fill="FFFFFF"/>
            <w:vAlign w:val="center"/>
          </w:tcPr>
          <w:p w:rsidR="00642FB4" w:rsidRDefault="00642FB4">
            <w:r>
              <w:t>2013</w:t>
            </w:r>
          </w:p>
        </w:tc>
      </w:tr>
      <w:tr w:rsidR="00642FB4">
        <w:trPr>
          <w:trHeight w:val="1170"/>
        </w:trPr>
        <w:tc>
          <w:tcPr>
            <w:tcW w:w="1843" w:type="dxa"/>
            <w:tcBorders>
              <w:top w:val="single" w:sz="4" w:space="0" w:color="auto"/>
              <w:left w:val="single" w:sz="4" w:space="0" w:color="auto"/>
              <w:bottom w:val="single" w:sz="4" w:space="0" w:color="auto"/>
              <w:right w:val="nil"/>
            </w:tcBorders>
            <w:shd w:val="clear" w:color="auto" w:fill="FFFFFF"/>
          </w:tcPr>
          <w:p w:rsidR="00642FB4" w:rsidRDefault="00642FB4">
            <w:r>
              <w:t>Річні викиди SO</w:t>
            </w:r>
            <w:r>
              <w:rPr>
                <w:vertAlign w:val="subscript"/>
              </w:rPr>
              <w:t xml:space="preserve">2 </w:t>
            </w:r>
            <w:r>
              <w:t>(т/рік)</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1309,9</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1364,7</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1060,6</w:t>
            </w:r>
          </w:p>
        </w:tc>
        <w:tc>
          <w:tcPr>
            <w:tcW w:w="708" w:type="dxa"/>
            <w:tcBorders>
              <w:top w:val="single" w:sz="4" w:space="0" w:color="auto"/>
              <w:left w:val="single" w:sz="4" w:space="0" w:color="auto"/>
              <w:bottom w:val="single" w:sz="4" w:space="0" w:color="auto"/>
              <w:right w:val="nil"/>
            </w:tcBorders>
            <w:shd w:val="clear" w:color="auto" w:fill="FFFFFF"/>
            <w:vAlign w:val="center"/>
          </w:tcPr>
          <w:p w:rsidR="00642FB4" w:rsidRDefault="00642FB4">
            <w:r>
              <w:t>1348,2</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2163,8</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763,4</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715,4</w:t>
            </w:r>
          </w:p>
        </w:tc>
        <w:tc>
          <w:tcPr>
            <w:tcW w:w="708" w:type="dxa"/>
            <w:tcBorders>
              <w:top w:val="single" w:sz="4" w:space="0" w:color="auto"/>
              <w:left w:val="single" w:sz="4" w:space="0" w:color="auto"/>
              <w:bottom w:val="single" w:sz="4" w:space="0" w:color="auto"/>
              <w:right w:val="nil"/>
            </w:tcBorders>
            <w:shd w:val="clear" w:color="auto" w:fill="FFFFFF"/>
            <w:vAlign w:val="center"/>
          </w:tcPr>
          <w:p w:rsidR="00642FB4" w:rsidRDefault="00642FB4">
            <w:r>
              <w:t>39,5</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59,036</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108,3</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642FB4" w:rsidRDefault="00642FB4">
            <w:r>
              <w:t>408,5</w:t>
            </w:r>
          </w:p>
        </w:tc>
      </w:tr>
    </w:tbl>
    <w:p w:rsidR="00642FB4" w:rsidRDefault="00642FB4">
      <w:pPr>
        <w:spacing w:before="60" w:after="60" w:line="288" w:lineRule="auto"/>
        <w:jc w:val="center"/>
        <w:rPr>
          <w:rFonts w:cs="Arial"/>
          <w:b/>
        </w:rPr>
      </w:pPr>
    </w:p>
    <w:p w:rsidR="00642FB4" w:rsidRDefault="00642FB4">
      <w:pPr>
        <w:spacing w:before="60" w:after="60" w:line="288" w:lineRule="auto"/>
        <w:ind w:firstLine="720"/>
        <w:jc w:val="both"/>
        <w:rPr>
          <w:rFonts w:cs="Arial"/>
        </w:rPr>
      </w:pPr>
    </w:p>
    <w:p w:rsidR="00642FB4" w:rsidRDefault="00642FB4">
      <w:pPr>
        <w:spacing w:before="60" w:after="60" w:line="288" w:lineRule="auto"/>
        <w:ind w:firstLine="720"/>
        <w:jc w:val="both"/>
      </w:pPr>
      <w:r>
        <w:t>Основними видами діяльності в результаті якої видувається  велика кількість викидів діоксиду сірки пов'язана з дорожнім рухом, спалюваннями в обробній промисловості та непромисловими установками для спалювання.</w:t>
      </w:r>
    </w:p>
    <w:p w:rsidR="00642FB4" w:rsidRDefault="00642FB4">
      <w:pPr>
        <w:spacing w:before="60" w:after="60" w:line="288" w:lineRule="auto"/>
        <w:ind w:firstLine="720"/>
        <w:jc w:val="both"/>
      </w:pPr>
    </w:p>
    <w:p w:rsidR="00642FB4" w:rsidRDefault="00642FB4">
      <w:pPr>
        <w:spacing w:before="60" w:after="60" w:line="288" w:lineRule="auto"/>
        <w:ind w:firstLine="720"/>
        <w:jc w:val="both"/>
        <w:rPr>
          <w:rFonts w:cs="Arial"/>
          <w:i/>
        </w:rPr>
      </w:pPr>
      <w:r>
        <w:rPr>
          <w:i/>
        </w:rPr>
        <w:t xml:space="preserve">Оксиди азоту (NOx) </w:t>
      </w:r>
    </w:p>
    <w:p w:rsidR="00642FB4" w:rsidRDefault="00642FB4">
      <w:pPr>
        <w:spacing w:before="60" w:after="60" w:line="288" w:lineRule="auto"/>
        <w:ind w:firstLine="720"/>
        <w:jc w:val="both"/>
      </w:pPr>
      <w:r>
        <w:t>Загальна кількість викидів оксидів азоту в 2013 році склала 3014 т / рік, з яких 1.346 тонн походять від дорожнього руху.</w:t>
      </w:r>
    </w:p>
    <w:p w:rsidR="00642FB4" w:rsidRDefault="00642FB4">
      <w:pPr>
        <w:spacing w:before="60" w:after="60" w:line="288" w:lineRule="auto"/>
        <w:jc w:val="both"/>
      </w:pPr>
    </w:p>
    <w:p w:rsidR="00642FB4" w:rsidRDefault="00642FB4">
      <w:pPr>
        <w:autoSpaceDE w:val="0"/>
        <w:autoSpaceDN w:val="0"/>
        <w:adjustRightInd w:val="0"/>
        <w:spacing w:before="60" w:after="60" w:line="288" w:lineRule="auto"/>
        <w:ind w:left="360"/>
        <w:jc w:val="center"/>
        <w:rPr>
          <w:rFonts w:eastAsia="Calibri" w:cs="Arial"/>
          <w:b/>
          <w:bCs/>
          <w:i/>
          <w:sz w:val="22"/>
          <w:szCs w:val="22"/>
        </w:rPr>
      </w:pPr>
      <w:r>
        <w:rPr>
          <w:b/>
          <w:i/>
          <w:sz w:val="22"/>
        </w:rPr>
        <w:t xml:space="preserve">Таблиця 4.3.2.  </w:t>
      </w:r>
      <w:r>
        <w:rPr>
          <w:sz w:val="22"/>
        </w:rPr>
        <w:t>Щорічні обсяги оксидів азоту (т / рік)</w:t>
      </w:r>
    </w:p>
    <w:tbl>
      <w:tblPr>
        <w:tblW w:w="9639" w:type="dxa"/>
        <w:tblInd w:w="5" w:type="dxa"/>
        <w:tblLayout w:type="fixed"/>
        <w:tblCellMar>
          <w:left w:w="0" w:type="dxa"/>
          <w:right w:w="0" w:type="dxa"/>
        </w:tblCellMar>
        <w:tblLook w:val="0000" w:firstRow="0" w:lastRow="0" w:firstColumn="0" w:lastColumn="0" w:noHBand="0" w:noVBand="0"/>
      </w:tblPr>
      <w:tblGrid>
        <w:gridCol w:w="1843"/>
        <w:gridCol w:w="709"/>
        <w:gridCol w:w="709"/>
        <w:gridCol w:w="708"/>
        <w:gridCol w:w="709"/>
        <w:gridCol w:w="709"/>
        <w:gridCol w:w="709"/>
        <w:gridCol w:w="708"/>
        <w:gridCol w:w="709"/>
        <w:gridCol w:w="709"/>
        <w:gridCol w:w="709"/>
        <w:gridCol w:w="708"/>
      </w:tblGrid>
      <w:tr w:rsidR="00642FB4">
        <w:trPr>
          <w:trHeight w:val="368"/>
        </w:trPr>
        <w:tc>
          <w:tcPr>
            <w:tcW w:w="1843" w:type="dxa"/>
            <w:tcBorders>
              <w:top w:val="single" w:sz="4" w:space="0" w:color="auto"/>
              <w:left w:val="single" w:sz="4" w:space="0" w:color="auto"/>
              <w:bottom w:val="nil"/>
              <w:right w:val="nil"/>
            </w:tcBorders>
            <w:shd w:val="clear" w:color="auto" w:fill="FFFFFF"/>
            <w:vAlign w:val="center"/>
          </w:tcPr>
          <w:p w:rsidR="00642FB4" w:rsidRDefault="00642FB4">
            <w:r>
              <w:t>Рік</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2003</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2004</w:t>
            </w:r>
          </w:p>
        </w:tc>
        <w:tc>
          <w:tcPr>
            <w:tcW w:w="708" w:type="dxa"/>
            <w:tcBorders>
              <w:top w:val="single" w:sz="4" w:space="0" w:color="auto"/>
              <w:left w:val="single" w:sz="4" w:space="0" w:color="auto"/>
              <w:bottom w:val="nil"/>
              <w:right w:val="nil"/>
            </w:tcBorders>
            <w:shd w:val="clear" w:color="auto" w:fill="FFFFFF"/>
            <w:vAlign w:val="center"/>
          </w:tcPr>
          <w:p w:rsidR="00642FB4" w:rsidRDefault="00642FB4">
            <w:r>
              <w:t>2005</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2006</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2007</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2008</w:t>
            </w:r>
          </w:p>
        </w:tc>
        <w:tc>
          <w:tcPr>
            <w:tcW w:w="708" w:type="dxa"/>
            <w:tcBorders>
              <w:top w:val="single" w:sz="4" w:space="0" w:color="auto"/>
              <w:left w:val="single" w:sz="4" w:space="0" w:color="auto"/>
              <w:bottom w:val="nil"/>
              <w:right w:val="nil"/>
            </w:tcBorders>
            <w:shd w:val="clear" w:color="auto" w:fill="FFFFFF"/>
            <w:vAlign w:val="center"/>
          </w:tcPr>
          <w:p w:rsidR="00642FB4" w:rsidRDefault="00642FB4">
            <w:r>
              <w:t>2009</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2010</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2011</w:t>
            </w:r>
          </w:p>
        </w:tc>
        <w:tc>
          <w:tcPr>
            <w:tcW w:w="709" w:type="dxa"/>
            <w:tcBorders>
              <w:top w:val="single" w:sz="4" w:space="0" w:color="auto"/>
              <w:left w:val="single" w:sz="4" w:space="0" w:color="auto"/>
              <w:bottom w:val="nil"/>
              <w:right w:val="nil"/>
            </w:tcBorders>
            <w:shd w:val="clear" w:color="auto" w:fill="FFFFFF"/>
            <w:vAlign w:val="center"/>
          </w:tcPr>
          <w:p w:rsidR="00642FB4" w:rsidRDefault="00642FB4">
            <w:r>
              <w:t>2012</w:t>
            </w:r>
          </w:p>
        </w:tc>
        <w:tc>
          <w:tcPr>
            <w:tcW w:w="708" w:type="dxa"/>
            <w:tcBorders>
              <w:top w:val="single" w:sz="4" w:space="0" w:color="auto"/>
              <w:left w:val="single" w:sz="4" w:space="0" w:color="auto"/>
              <w:bottom w:val="nil"/>
              <w:right w:val="single" w:sz="4" w:space="0" w:color="auto"/>
            </w:tcBorders>
            <w:shd w:val="clear" w:color="auto" w:fill="FFFFFF"/>
            <w:vAlign w:val="center"/>
          </w:tcPr>
          <w:p w:rsidR="00642FB4" w:rsidRDefault="00642FB4">
            <w:r>
              <w:t>2013</w:t>
            </w:r>
          </w:p>
        </w:tc>
      </w:tr>
      <w:tr w:rsidR="00642FB4">
        <w:trPr>
          <w:trHeight w:val="1050"/>
        </w:trPr>
        <w:tc>
          <w:tcPr>
            <w:tcW w:w="1843" w:type="dxa"/>
            <w:tcBorders>
              <w:top w:val="single" w:sz="4" w:space="0" w:color="auto"/>
              <w:left w:val="single" w:sz="4" w:space="0" w:color="auto"/>
              <w:bottom w:val="single" w:sz="4" w:space="0" w:color="auto"/>
              <w:right w:val="nil"/>
            </w:tcBorders>
            <w:shd w:val="clear" w:color="auto" w:fill="FFFFFF"/>
          </w:tcPr>
          <w:p w:rsidR="00642FB4" w:rsidRDefault="00642FB4">
            <w:r>
              <w:t>Річні викиди NOx (т/рік)</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1310</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1364,7</w:t>
            </w:r>
          </w:p>
        </w:tc>
        <w:tc>
          <w:tcPr>
            <w:tcW w:w="708" w:type="dxa"/>
            <w:tcBorders>
              <w:top w:val="single" w:sz="4" w:space="0" w:color="auto"/>
              <w:left w:val="single" w:sz="4" w:space="0" w:color="auto"/>
              <w:bottom w:val="single" w:sz="4" w:space="0" w:color="auto"/>
              <w:right w:val="nil"/>
            </w:tcBorders>
            <w:shd w:val="clear" w:color="auto" w:fill="FFFFFF"/>
            <w:vAlign w:val="center"/>
          </w:tcPr>
          <w:p w:rsidR="00642FB4" w:rsidRDefault="00642FB4">
            <w:r>
              <w:t>1060,6</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1348,2</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2163,8</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2451,5</w:t>
            </w:r>
          </w:p>
        </w:tc>
        <w:tc>
          <w:tcPr>
            <w:tcW w:w="708" w:type="dxa"/>
            <w:tcBorders>
              <w:top w:val="single" w:sz="4" w:space="0" w:color="auto"/>
              <w:left w:val="single" w:sz="4" w:space="0" w:color="auto"/>
              <w:bottom w:val="single" w:sz="4" w:space="0" w:color="auto"/>
              <w:right w:val="nil"/>
            </w:tcBorders>
            <w:shd w:val="clear" w:color="auto" w:fill="FFFFFF"/>
            <w:vAlign w:val="center"/>
          </w:tcPr>
          <w:p w:rsidR="00642FB4" w:rsidRDefault="00642FB4">
            <w:r>
              <w:t>2587,3</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368,8</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428</w:t>
            </w:r>
          </w:p>
        </w:tc>
        <w:tc>
          <w:tcPr>
            <w:tcW w:w="709" w:type="dxa"/>
            <w:tcBorders>
              <w:top w:val="single" w:sz="4" w:space="0" w:color="auto"/>
              <w:left w:val="single" w:sz="4" w:space="0" w:color="auto"/>
              <w:bottom w:val="single" w:sz="4" w:space="0" w:color="auto"/>
              <w:right w:val="nil"/>
            </w:tcBorders>
            <w:shd w:val="clear" w:color="auto" w:fill="FFFFFF"/>
            <w:vAlign w:val="center"/>
          </w:tcPr>
          <w:p w:rsidR="00642FB4" w:rsidRDefault="00642FB4">
            <w:r>
              <w:t>458,08</w:t>
            </w:r>
          </w:p>
        </w:tc>
        <w:tc>
          <w:tcPr>
            <w:tcW w:w="708" w:type="dxa"/>
            <w:tcBorders>
              <w:top w:val="single" w:sz="4" w:space="0" w:color="auto"/>
              <w:left w:val="single" w:sz="4" w:space="0" w:color="auto"/>
              <w:bottom w:val="single" w:sz="4" w:space="0" w:color="auto"/>
              <w:right w:val="single" w:sz="4" w:space="0" w:color="auto"/>
            </w:tcBorders>
            <w:shd w:val="clear" w:color="auto" w:fill="FFFFFF"/>
            <w:vAlign w:val="center"/>
          </w:tcPr>
          <w:p w:rsidR="00642FB4" w:rsidRDefault="00642FB4">
            <w:r>
              <w:t>3014</w:t>
            </w:r>
          </w:p>
        </w:tc>
      </w:tr>
    </w:tbl>
    <w:p w:rsidR="00642FB4" w:rsidRDefault="00642FB4"/>
    <w:p w:rsidR="00642FB4" w:rsidRDefault="00642FB4">
      <w:pPr>
        <w:spacing w:before="60" w:after="60" w:line="288" w:lineRule="auto"/>
        <w:jc w:val="center"/>
        <w:rPr>
          <w:rFonts w:cs="Arial"/>
          <w:b/>
        </w:rPr>
      </w:pPr>
    </w:p>
    <w:p w:rsidR="00642FB4" w:rsidRDefault="00642FB4">
      <w:pPr>
        <w:spacing w:before="60" w:after="60" w:line="288" w:lineRule="auto"/>
        <w:ind w:left="1440" w:firstLine="720"/>
        <w:jc w:val="both"/>
        <w:rPr>
          <w:rFonts w:cs="Arial"/>
          <w:b/>
          <w:i/>
          <w:sz w:val="20"/>
          <w:szCs w:val="20"/>
        </w:rPr>
      </w:pPr>
      <w:r>
        <w:rPr>
          <w:b/>
          <w:i/>
          <w:sz w:val="20"/>
        </w:rPr>
        <w:t xml:space="preserve">                 </w:t>
      </w:r>
    </w:p>
    <w:p w:rsidR="00642FB4" w:rsidRDefault="00642FB4">
      <w:pPr>
        <w:autoSpaceDE w:val="0"/>
        <w:autoSpaceDN w:val="0"/>
        <w:adjustRightInd w:val="0"/>
        <w:spacing w:before="60" w:after="60" w:line="288" w:lineRule="auto"/>
        <w:ind w:firstLine="720"/>
        <w:jc w:val="both"/>
        <w:rPr>
          <w:rFonts w:cs="Arial"/>
        </w:rPr>
      </w:pPr>
      <w:r>
        <w:t>У 2013 році, у повіті Сату-Маре було проведено моніторинг якості повітря за допомогою автоматичних станцій моніторингу якості повітря, які є частиною Національної Мережі Моніторингу Якості Повітря.</w:t>
      </w:r>
    </w:p>
    <w:p w:rsidR="00642FB4" w:rsidRDefault="00642FB4">
      <w:pPr>
        <w:autoSpaceDE w:val="0"/>
        <w:autoSpaceDN w:val="0"/>
        <w:adjustRightInd w:val="0"/>
        <w:spacing w:before="60" w:after="60" w:line="288" w:lineRule="auto"/>
        <w:ind w:firstLine="720"/>
        <w:jc w:val="both"/>
      </w:pPr>
      <w:r>
        <w:t>У м. Сату-Маре було розміщено міську станцію в 2008 році - SM1, а в 2009 році було розміщено приміську станцію / для дорожнього руху в м. Карей - SM2.</w:t>
      </w:r>
    </w:p>
    <w:p w:rsidR="00642FB4" w:rsidRDefault="00642FB4">
      <w:pPr>
        <w:autoSpaceDE w:val="0"/>
        <w:autoSpaceDN w:val="0"/>
        <w:adjustRightInd w:val="0"/>
        <w:spacing w:before="60" w:after="60" w:line="288" w:lineRule="auto"/>
        <w:jc w:val="both"/>
        <w:rPr>
          <w:rFonts w:cs="Arial"/>
          <w:bCs/>
          <w:i/>
        </w:rPr>
      </w:pPr>
    </w:p>
    <w:p w:rsidR="00642FB4" w:rsidRDefault="00642FB4">
      <w:pPr>
        <w:autoSpaceDE w:val="0"/>
        <w:autoSpaceDN w:val="0"/>
        <w:adjustRightInd w:val="0"/>
        <w:spacing w:before="60" w:after="60" w:line="288" w:lineRule="auto"/>
        <w:ind w:firstLine="720"/>
        <w:jc w:val="both"/>
        <w:rPr>
          <w:rFonts w:cs="Arial"/>
        </w:rPr>
      </w:pPr>
      <w:r>
        <w:rPr>
          <w:i/>
        </w:rPr>
        <w:t>Діоксид сірки (SO</w:t>
      </w:r>
      <w:r>
        <w:rPr>
          <w:i/>
          <w:vertAlign w:val="subscript"/>
        </w:rPr>
        <w:t>2</w:t>
      </w:r>
      <w:r>
        <w:rPr>
          <w:i/>
        </w:rPr>
        <w:t>)</w:t>
      </w:r>
    </w:p>
    <w:p w:rsidR="00642FB4" w:rsidRDefault="00642FB4">
      <w:pPr>
        <w:autoSpaceDE w:val="0"/>
        <w:autoSpaceDN w:val="0"/>
        <w:adjustRightInd w:val="0"/>
        <w:spacing w:before="60" w:after="60" w:line="288" w:lineRule="auto"/>
        <w:ind w:firstLine="720"/>
        <w:jc w:val="both"/>
        <w:rPr>
          <w:rFonts w:cs="Arial"/>
        </w:rPr>
      </w:pPr>
      <w:r>
        <w:t>У м. Сату-Маре, на станції SM1 було отримано середньорічне значення 6,58 мг/ м3, з 80,0% збору даних Значення на станції SM2 представляють збір даних на 40,8%, середньорічна величина досягає 5,61 мг / м3. Низький рівень збору пов'язаний з несправністю аналізатора SO</w:t>
      </w:r>
      <w:r>
        <w:rPr>
          <w:vertAlign w:val="subscript"/>
        </w:rPr>
        <w:t>2</w:t>
      </w:r>
      <w:r>
        <w:t>, станція SM2 була зупинена 28.07.2013.</w:t>
      </w:r>
    </w:p>
    <w:p w:rsidR="00642FB4" w:rsidRDefault="00642FB4">
      <w:pPr>
        <w:autoSpaceDE w:val="0"/>
        <w:autoSpaceDN w:val="0"/>
        <w:adjustRightInd w:val="0"/>
        <w:spacing w:before="60" w:after="60" w:line="288" w:lineRule="auto"/>
        <w:ind w:firstLine="720"/>
        <w:jc w:val="both"/>
        <w:rPr>
          <w:rFonts w:cs="Arial"/>
        </w:rPr>
      </w:pPr>
    </w:p>
    <w:p w:rsidR="00642FB4" w:rsidRDefault="00642FB4">
      <w:pPr>
        <w:autoSpaceDE w:val="0"/>
        <w:autoSpaceDN w:val="0"/>
        <w:adjustRightInd w:val="0"/>
        <w:spacing w:before="60" w:after="60" w:line="288" w:lineRule="auto"/>
        <w:ind w:firstLine="630"/>
        <w:jc w:val="both"/>
        <w:rPr>
          <w:rFonts w:cs="Arial"/>
          <w:i/>
        </w:rPr>
      </w:pPr>
      <w:r>
        <w:rPr>
          <w:i/>
        </w:rPr>
        <w:t>Оксиди азоту (NOx)</w:t>
      </w:r>
    </w:p>
    <w:p w:rsidR="00642FB4" w:rsidRDefault="00642FB4">
      <w:pPr>
        <w:autoSpaceDE w:val="0"/>
        <w:autoSpaceDN w:val="0"/>
        <w:adjustRightInd w:val="0"/>
        <w:spacing w:before="60" w:after="60" w:line="288" w:lineRule="auto"/>
        <w:ind w:firstLine="630"/>
        <w:jc w:val="both"/>
        <w:rPr>
          <w:rFonts w:cs="Arial"/>
        </w:rPr>
      </w:pPr>
      <w:r>
        <w:t>Середньорічна концентрація визначена на SM1 складає  17,91 мг / м</w:t>
      </w:r>
      <w:r>
        <w:rPr>
          <w:vertAlign w:val="superscript"/>
        </w:rPr>
        <w:t>3</w:t>
      </w:r>
      <w:r>
        <w:t>, отриманих при зборі даних на 13.30%, а на SM2 середнє значення складає 10,98 мг / м</w:t>
      </w:r>
      <w:r>
        <w:rPr>
          <w:vertAlign w:val="superscript"/>
        </w:rPr>
        <w:t>3</w:t>
      </w:r>
      <w:r>
        <w:t xml:space="preserve"> при зборі даних на 40,5%. Низький рівень збору пов'язаний з несправністю аналізатора NOx, на станції SM1 який несправний від 11.03.2013, а станція SM2 була зупинена 28.07.2013. </w:t>
      </w:r>
    </w:p>
    <w:p w:rsidR="00642FB4" w:rsidRDefault="00642FB4">
      <w:pPr>
        <w:autoSpaceDE w:val="0"/>
        <w:autoSpaceDN w:val="0"/>
        <w:adjustRightInd w:val="0"/>
        <w:spacing w:before="60" w:after="60" w:line="288" w:lineRule="auto"/>
        <w:ind w:firstLine="630"/>
        <w:jc w:val="both"/>
        <w:rPr>
          <w:rFonts w:cs="Arial"/>
        </w:rPr>
      </w:pPr>
    </w:p>
    <w:p w:rsidR="00642FB4" w:rsidRDefault="00642FB4">
      <w:pPr>
        <w:autoSpaceDE w:val="0"/>
        <w:autoSpaceDN w:val="0"/>
        <w:adjustRightInd w:val="0"/>
        <w:spacing w:before="60" w:after="60" w:line="288" w:lineRule="auto"/>
        <w:ind w:firstLine="720"/>
        <w:jc w:val="both"/>
        <w:rPr>
          <w:rFonts w:cs="Arial"/>
          <w:i/>
        </w:rPr>
      </w:pPr>
      <w:r>
        <w:rPr>
          <w:i/>
        </w:rPr>
        <w:t>Тверді частинки</w:t>
      </w:r>
    </w:p>
    <w:p w:rsidR="00642FB4" w:rsidRDefault="00642FB4">
      <w:pPr>
        <w:autoSpaceDE w:val="0"/>
        <w:autoSpaceDN w:val="0"/>
        <w:adjustRightInd w:val="0"/>
        <w:spacing w:before="60" w:after="60" w:line="288" w:lineRule="auto"/>
        <w:ind w:firstLine="720"/>
        <w:jc w:val="both"/>
        <w:rPr>
          <w:rFonts w:cs="Arial"/>
        </w:rPr>
      </w:pPr>
      <w:r>
        <w:t>Тверді частинки фракції PM10 визначаються на обидвох станціях моніторингу, фракція твердих частинок PM2,5 визначається тільки на станції SM1 Сату-Маре.</w:t>
      </w:r>
    </w:p>
    <w:p w:rsidR="00642FB4" w:rsidRDefault="00642FB4">
      <w:pPr>
        <w:autoSpaceDE w:val="0"/>
        <w:autoSpaceDN w:val="0"/>
        <w:adjustRightInd w:val="0"/>
        <w:spacing w:before="60" w:after="60" w:line="288" w:lineRule="auto"/>
        <w:ind w:firstLine="720"/>
        <w:jc w:val="both"/>
        <w:rPr>
          <w:rFonts w:cs="Arial"/>
        </w:rPr>
      </w:pPr>
      <w:r>
        <w:t>При PM2.5 гравіметричним методом при зборі даних до 76,7% середньорічне значення досягає 15.08 мг / м3. Максимальне значення визначене гравіметричним методом досягнуло 44,65 мг / м</w:t>
      </w:r>
      <w:r>
        <w:rPr>
          <w:vertAlign w:val="superscript"/>
        </w:rPr>
        <w:t>3</w:t>
      </w:r>
      <w:r>
        <w:t>, 18 грудня 2013 року. Твердих частинки фракції 10 мкм відібрані на станції SM1 було отримано збір даних до 67.10%. У Карей, на станції SM2, в результаті пошкодження пробоотборника, збір даних досягнув 28,2%, при нефелометрії з середньорічнім значенням 19.28 мг / м</w:t>
      </w:r>
      <w:r>
        <w:rPr>
          <w:vertAlign w:val="superscript"/>
        </w:rPr>
        <w:t>3</w:t>
      </w:r>
      <w:r>
        <w:t>, гравіметричним методом отримано збір даних 35,3% з середньорічним значенням 24.19 мг / м</w:t>
      </w:r>
      <w:r>
        <w:rPr>
          <w:vertAlign w:val="superscript"/>
        </w:rPr>
        <w:t>3</w:t>
      </w:r>
      <w:r>
        <w:t>. Максимальне значення визначене гравіметричним методом складає 48.53 мг / м</w:t>
      </w:r>
      <w:r>
        <w:rPr>
          <w:vertAlign w:val="superscript"/>
        </w:rPr>
        <w:t>3</w:t>
      </w:r>
      <w:r>
        <w:t xml:space="preserve"> на станції SM1, 27.01.2013 аналогічна ситуація була виявлена на станції SM2- Карей з максимальним значенням визначеним гравіметричним методом – 48.53 мг / м</w:t>
      </w:r>
      <w:r>
        <w:rPr>
          <w:vertAlign w:val="superscript"/>
        </w:rPr>
        <w:t>3</w:t>
      </w:r>
      <w:r>
        <w:t xml:space="preserve"> 28.01.2013.</w:t>
      </w:r>
    </w:p>
    <w:p w:rsidR="00642FB4" w:rsidRDefault="00642FB4">
      <w:pPr>
        <w:autoSpaceDE w:val="0"/>
        <w:autoSpaceDN w:val="0"/>
        <w:adjustRightInd w:val="0"/>
        <w:spacing w:before="60" w:after="60" w:line="288" w:lineRule="auto"/>
        <w:ind w:firstLine="720"/>
        <w:jc w:val="both"/>
        <w:rPr>
          <w:rFonts w:cs="Arial"/>
        </w:rPr>
      </w:pPr>
      <w:r>
        <w:t>У 2013 році на території повіту не було великих екологічних нещасних випадків, які би впливали на якість повітря.</w:t>
      </w:r>
    </w:p>
    <w:p w:rsidR="00642FB4" w:rsidRDefault="00642FB4">
      <w:pPr>
        <w:spacing w:before="60" w:after="60" w:line="288" w:lineRule="auto"/>
        <w:jc w:val="both"/>
        <w:rPr>
          <w:b/>
        </w:rPr>
      </w:pPr>
    </w:p>
    <w:p w:rsidR="00642FB4" w:rsidRDefault="00642FB4">
      <w:pPr>
        <w:numPr>
          <w:ilvl w:val="0"/>
          <w:numId w:val="2"/>
        </w:numPr>
        <w:spacing w:before="60" w:after="60" w:line="288" w:lineRule="auto"/>
        <w:jc w:val="both"/>
        <w:rPr>
          <w:rFonts w:cs="Arial"/>
          <w:b/>
        </w:rPr>
      </w:pPr>
      <w:r>
        <w:rPr>
          <w:b/>
        </w:rPr>
        <w:t>Ґрунт</w:t>
      </w:r>
    </w:p>
    <w:p w:rsidR="00642FB4" w:rsidRDefault="00642FB4">
      <w:pPr>
        <w:autoSpaceDE w:val="0"/>
        <w:autoSpaceDN w:val="0"/>
        <w:adjustRightInd w:val="0"/>
        <w:spacing w:before="60" w:after="60" w:line="288" w:lineRule="auto"/>
        <w:ind w:firstLine="720"/>
        <w:jc w:val="both"/>
      </w:pPr>
      <w:r>
        <w:t>Розподіл ґрунтів повіту Сату-Маре по категоріям використання сільськогосподарських угідь включає в себе: ріллі, пасовища, луки, виноградники та фруктові сади.</w:t>
      </w:r>
    </w:p>
    <w:p w:rsidR="00642FB4" w:rsidRDefault="00642FB4">
      <w:pPr>
        <w:autoSpaceDE w:val="0"/>
        <w:autoSpaceDN w:val="0"/>
        <w:adjustRightInd w:val="0"/>
        <w:spacing w:before="60" w:after="60" w:line="288" w:lineRule="auto"/>
        <w:ind w:firstLine="720"/>
        <w:jc w:val="both"/>
        <w:rPr>
          <w:rFonts w:cs="Arial"/>
          <w:color w:val="000000"/>
        </w:rPr>
      </w:pPr>
      <w:r>
        <w:rPr>
          <w:color w:val="000000"/>
        </w:rPr>
        <w:t xml:space="preserve">В 2013 році, у повіті Сату-Маре було зареєстровано 318454 га сільськогосподарських угідь. </w:t>
      </w:r>
    </w:p>
    <w:p w:rsidR="00642FB4" w:rsidRDefault="00642FB4">
      <w:pPr>
        <w:autoSpaceDE w:val="0"/>
        <w:autoSpaceDN w:val="0"/>
        <w:adjustRightInd w:val="0"/>
        <w:spacing w:before="60" w:after="60" w:line="288" w:lineRule="auto"/>
        <w:ind w:firstLine="720"/>
        <w:jc w:val="both"/>
      </w:pPr>
      <w:r>
        <w:t>Орні землі і луки переважають серед сільськогосподарських угідь, а саме 72,2% та 24,44%.</w:t>
      </w:r>
    </w:p>
    <w:p w:rsidR="00642FB4" w:rsidRDefault="00642FB4">
      <w:pPr>
        <w:autoSpaceDE w:val="0"/>
        <w:autoSpaceDN w:val="0"/>
        <w:adjustRightInd w:val="0"/>
        <w:spacing w:before="60" w:after="60" w:line="288" w:lineRule="auto"/>
        <w:jc w:val="both"/>
        <w:rPr>
          <w:rFonts w:eastAsia="Calibri" w:cs="Arial"/>
          <w:b/>
          <w:bCs/>
          <w:sz w:val="20"/>
          <w:szCs w:val="20"/>
        </w:rPr>
      </w:pPr>
      <w:r>
        <w:rPr>
          <w:b/>
          <w:sz w:val="20"/>
        </w:rPr>
        <w:t xml:space="preserve">        </w:t>
      </w:r>
    </w:p>
    <w:p w:rsidR="00642FB4" w:rsidRDefault="00642FB4">
      <w:pPr>
        <w:autoSpaceDE w:val="0"/>
        <w:autoSpaceDN w:val="0"/>
        <w:adjustRightInd w:val="0"/>
        <w:spacing w:before="60" w:after="60" w:line="288" w:lineRule="auto"/>
        <w:ind w:left="360"/>
        <w:jc w:val="center"/>
        <w:rPr>
          <w:rFonts w:eastAsia="Calibri" w:cs="Arial"/>
          <w:b/>
          <w:bCs/>
          <w:sz w:val="22"/>
          <w:szCs w:val="22"/>
        </w:rPr>
      </w:pPr>
      <w:r>
        <w:rPr>
          <w:b/>
        </w:rPr>
        <w:t>Таблиця</w:t>
      </w:r>
      <w:r>
        <w:rPr>
          <w:b/>
          <w:sz w:val="22"/>
        </w:rPr>
        <w:t xml:space="preserve"> 4.3.3 </w:t>
      </w:r>
      <w:r>
        <w:t>Категорії використання у повіті Сату-Маре</w:t>
      </w:r>
    </w:p>
    <w:p w:rsidR="00642FB4" w:rsidRDefault="00642FB4"/>
    <w:tbl>
      <w:tblPr>
        <w:tblW w:w="9886" w:type="dxa"/>
        <w:tblInd w:w="5" w:type="dxa"/>
        <w:tblLayout w:type="fixed"/>
        <w:tblCellMar>
          <w:left w:w="0" w:type="dxa"/>
          <w:right w:w="0" w:type="dxa"/>
        </w:tblCellMar>
        <w:tblLook w:val="0000" w:firstRow="0" w:lastRow="0" w:firstColumn="0" w:lastColumn="0" w:noHBand="0" w:noVBand="0"/>
      </w:tblPr>
      <w:tblGrid>
        <w:gridCol w:w="567"/>
        <w:gridCol w:w="1429"/>
        <w:gridCol w:w="1335"/>
        <w:gridCol w:w="1320"/>
        <w:gridCol w:w="1335"/>
        <w:gridCol w:w="1320"/>
        <w:gridCol w:w="1320"/>
        <w:gridCol w:w="1260"/>
      </w:tblGrid>
      <w:tr w:rsidR="00642FB4">
        <w:trPr>
          <w:trHeight w:val="338"/>
        </w:trPr>
        <w:tc>
          <w:tcPr>
            <w:tcW w:w="567" w:type="dxa"/>
            <w:vMerge w:val="restart"/>
            <w:tcBorders>
              <w:top w:val="single" w:sz="4" w:space="0" w:color="auto"/>
              <w:left w:val="single" w:sz="4" w:space="0" w:color="auto"/>
              <w:bottom w:val="nil"/>
              <w:right w:val="nil"/>
            </w:tcBorders>
            <w:shd w:val="clear" w:color="auto" w:fill="FFFFFF"/>
            <w:vAlign w:val="bottom"/>
          </w:tcPr>
          <w:p w:rsidR="00642FB4" w:rsidRDefault="00642FB4">
            <w:r>
              <w:t>№</w:t>
            </w:r>
          </w:p>
          <w:p w:rsidR="00642FB4" w:rsidRDefault="00642FB4">
            <w:r>
              <w:t>п/п</w:t>
            </w:r>
          </w:p>
        </w:tc>
        <w:tc>
          <w:tcPr>
            <w:tcW w:w="1429" w:type="dxa"/>
            <w:vMerge w:val="restart"/>
            <w:tcBorders>
              <w:top w:val="single" w:sz="4" w:space="0" w:color="auto"/>
              <w:left w:val="single" w:sz="4" w:space="0" w:color="auto"/>
              <w:bottom w:val="nil"/>
              <w:right w:val="nil"/>
            </w:tcBorders>
            <w:shd w:val="clear" w:color="auto" w:fill="FFFFFF"/>
            <w:vAlign w:val="bottom"/>
          </w:tcPr>
          <w:p w:rsidR="00642FB4" w:rsidRDefault="00642FB4">
            <w:r>
              <w:t>Категорія використання</w:t>
            </w:r>
          </w:p>
        </w:tc>
        <w:tc>
          <w:tcPr>
            <w:tcW w:w="7890" w:type="dxa"/>
            <w:gridSpan w:val="6"/>
            <w:tcBorders>
              <w:top w:val="single" w:sz="4" w:space="0" w:color="auto"/>
              <w:left w:val="single" w:sz="4" w:space="0" w:color="auto"/>
              <w:bottom w:val="nil"/>
              <w:right w:val="single" w:sz="4" w:space="0" w:color="auto"/>
            </w:tcBorders>
            <w:shd w:val="clear" w:color="auto" w:fill="FFFFFF"/>
            <w:vAlign w:val="bottom"/>
          </w:tcPr>
          <w:p w:rsidR="00642FB4" w:rsidRDefault="00642FB4">
            <w:r>
              <w:t>Площа (га)</w:t>
            </w:r>
          </w:p>
        </w:tc>
      </w:tr>
      <w:tr w:rsidR="00642FB4">
        <w:trPr>
          <w:trHeight w:val="315"/>
        </w:trPr>
        <w:tc>
          <w:tcPr>
            <w:tcW w:w="567" w:type="dxa"/>
            <w:vMerge/>
            <w:tcBorders>
              <w:top w:val="nil"/>
              <w:left w:val="single" w:sz="4" w:space="0" w:color="auto"/>
              <w:bottom w:val="nil"/>
              <w:right w:val="nil"/>
            </w:tcBorders>
            <w:shd w:val="clear" w:color="auto" w:fill="FFFFFF"/>
            <w:vAlign w:val="bottom"/>
          </w:tcPr>
          <w:p w:rsidR="00642FB4" w:rsidRDefault="00642FB4"/>
        </w:tc>
        <w:tc>
          <w:tcPr>
            <w:tcW w:w="1429" w:type="dxa"/>
            <w:vMerge/>
            <w:tcBorders>
              <w:top w:val="nil"/>
              <w:left w:val="single" w:sz="4" w:space="0" w:color="auto"/>
              <w:bottom w:val="nil"/>
              <w:right w:val="nil"/>
            </w:tcBorders>
            <w:shd w:val="clear" w:color="auto" w:fill="FFFFFF"/>
            <w:vAlign w:val="bottom"/>
          </w:tcPr>
          <w:p w:rsidR="00642FB4" w:rsidRDefault="00642FB4"/>
        </w:tc>
        <w:tc>
          <w:tcPr>
            <w:tcW w:w="1335" w:type="dxa"/>
            <w:tcBorders>
              <w:top w:val="single" w:sz="4" w:space="0" w:color="auto"/>
              <w:left w:val="single" w:sz="4" w:space="0" w:color="auto"/>
              <w:bottom w:val="nil"/>
              <w:right w:val="nil"/>
            </w:tcBorders>
            <w:shd w:val="clear" w:color="auto" w:fill="FFFFFF"/>
            <w:vAlign w:val="bottom"/>
          </w:tcPr>
          <w:p w:rsidR="00642FB4" w:rsidRDefault="00642FB4">
            <w:r>
              <w:t>2008</w:t>
            </w:r>
          </w:p>
        </w:tc>
        <w:tc>
          <w:tcPr>
            <w:tcW w:w="1320" w:type="dxa"/>
            <w:tcBorders>
              <w:top w:val="single" w:sz="4" w:space="0" w:color="auto"/>
              <w:left w:val="single" w:sz="4" w:space="0" w:color="auto"/>
              <w:bottom w:val="nil"/>
              <w:right w:val="nil"/>
            </w:tcBorders>
            <w:shd w:val="clear" w:color="auto" w:fill="FFFFFF"/>
            <w:vAlign w:val="center"/>
          </w:tcPr>
          <w:p w:rsidR="00642FB4" w:rsidRDefault="00642FB4">
            <w:r>
              <w:t>2009</w:t>
            </w:r>
          </w:p>
        </w:tc>
        <w:tc>
          <w:tcPr>
            <w:tcW w:w="1335" w:type="dxa"/>
            <w:tcBorders>
              <w:top w:val="single" w:sz="4" w:space="0" w:color="auto"/>
              <w:left w:val="single" w:sz="4" w:space="0" w:color="auto"/>
              <w:bottom w:val="nil"/>
              <w:right w:val="nil"/>
            </w:tcBorders>
            <w:shd w:val="clear" w:color="auto" w:fill="FFFFFF"/>
            <w:vAlign w:val="bottom"/>
          </w:tcPr>
          <w:p w:rsidR="00642FB4" w:rsidRDefault="00642FB4">
            <w:r>
              <w:t>2010</w:t>
            </w:r>
          </w:p>
        </w:tc>
        <w:tc>
          <w:tcPr>
            <w:tcW w:w="1320" w:type="dxa"/>
            <w:tcBorders>
              <w:top w:val="single" w:sz="4" w:space="0" w:color="auto"/>
              <w:left w:val="single" w:sz="4" w:space="0" w:color="auto"/>
              <w:bottom w:val="nil"/>
              <w:right w:val="nil"/>
            </w:tcBorders>
            <w:shd w:val="clear" w:color="auto" w:fill="FFFFFF"/>
            <w:vAlign w:val="bottom"/>
          </w:tcPr>
          <w:p w:rsidR="00642FB4" w:rsidRDefault="00642FB4">
            <w:r>
              <w:t>2011</w:t>
            </w:r>
          </w:p>
        </w:tc>
        <w:tc>
          <w:tcPr>
            <w:tcW w:w="1320" w:type="dxa"/>
            <w:tcBorders>
              <w:top w:val="single" w:sz="4" w:space="0" w:color="auto"/>
              <w:left w:val="single" w:sz="4" w:space="0" w:color="auto"/>
              <w:bottom w:val="nil"/>
              <w:right w:val="nil"/>
            </w:tcBorders>
            <w:shd w:val="clear" w:color="auto" w:fill="FFFFFF"/>
            <w:vAlign w:val="bottom"/>
          </w:tcPr>
          <w:p w:rsidR="00642FB4" w:rsidRDefault="00642FB4">
            <w:r>
              <w:t>2012</w:t>
            </w:r>
          </w:p>
        </w:tc>
        <w:tc>
          <w:tcPr>
            <w:tcW w:w="1260" w:type="dxa"/>
            <w:tcBorders>
              <w:top w:val="single" w:sz="4" w:space="0" w:color="auto"/>
              <w:left w:val="single" w:sz="4" w:space="0" w:color="auto"/>
              <w:bottom w:val="nil"/>
              <w:right w:val="single" w:sz="4" w:space="0" w:color="auto"/>
            </w:tcBorders>
            <w:shd w:val="clear" w:color="auto" w:fill="FFFFFF"/>
            <w:vAlign w:val="center"/>
          </w:tcPr>
          <w:p w:rsidR="00642FB4" w:rsidRDefault="00642FB4">
            <w:r>
              <w:t>2013</w:t>
            </w:r>
          </w:p>
        </w:tc>
      </w:tr>
      <w:tr w:rsidR="00642FB4">
        <w:trPr>
          <w:trHeight w:val="330"/>
        </w:trPr>
        <w:tc>
          <w:tcPr>
            <w:tcW w:w="567" w:type="dxa"/>
            <w:tcBorders>
              <w:top w:val="single" w:sz="4" w:space="0" w:color="auto"/>
              <w:left w:val="single" w:sz="4" w:space="0" w:color="auto"/>
              <w:bottom w:val="nil"/>
              <w:right w:val="nil"/>
            </w:tcBorders>
            <w:shd w:val="clear" w:color="auto" w:fill="FFFFFF"/>
            <w:vAlign w:val="bottom"/>
          </w:tcPr>
          <w:p w:rsidR="00642FB4" w:rsidRDefault="00642FB4">
            <w:r>
              <w:t>1</w:t>
            </w:r>
          </w:p>
        </w:tc>
        <w:tc>
          <w:tcPr>
            <w:tcW w:w="1429" w:type="dxa"/>
            <w:tcBorders>
              <w:top w:val="single" w:sz="4" w:space="0" w:color="auto"/>
              <w:left w:val="single" w:sz="4" w:space="0" w:color="auto"/>
              <w:bottom w:val="nil"/>
              <w:right w:val="nil"/>
            </w:tcBorders>
            <w:shd w:val="clear" w:color="auto" w:fill="FFFFFF"/>
          </w:tcPr>
          <w:p w:rsidR="00642FB4" w:rsidRDefault="00642FB4">
            <w:r>
              <w:t>Орна</w:t>
            </w:r>
          </w:p>
        </w:tc>
        <w:tc>
          <w:tcPr>
            <w:tcW w:w="1335" w:type="dxa"/>
            <w:tcBorders>
              <w:top w:val="single" w:sz="4" w:space="0" w:color="auto"/>
              <w:left w:val="single" w:sz="4" w:space="0" w:color="auto"/>
              <w:bottom w:val="nil"/>
              <w:right w:val="nil"/>
            </w:tcBorders>
            <w:shd w:val="clear" w:color="auto" w:fill="FFFFFF"/>
          </w:tcPr>
          <w:p w:rsidR="00642FB4" w:rsidRDefault="00642FB4">
            <w:r>
              <w:t>221 653</w:t>
            </w:r>
          </w:p>
        </w:tc>
        <w:tc>
          <w:tcPr>
            <w:tcW w:w="1320" w:type="dxa"/>
            <w:tcBorders>
              <w:top w:val="single" w:sz="4" w:space="0" w:color="auto"/>
              <w:left w:val="single" w:sz="4" w:space="0" w:color="auto"/>
              <w:bottom w:val="nil"/>
              <w:right w:val="nil"/>
            </w:tcBorders>
            <w:shd w:val="clear" w:color="auto" w:fill="FFFFFF"/>
          </w:tcPr>
          <w:p w:rsidR="00642FB4" w:rsidRDefault="00642FB4">
            <w:r>
              <w:t>221 577</w:t>
            </w:r>
          </w:p>
        </w:tc>
        <w:tc>
          <w:tcPr>
            <w:tcW w:w="1335" w:type="dxa"/>
            <w:tcBorders>
              <w:top w:val="single" w:sz="4" w:space="0" w:color="auto"/>
              <w:left w:val="single" w:sz="4" w:space="0" w:color="auto"/>
              <w:bottom w:val="nil"/>
              <w:right w:val="nil"/>
            </w:tcBorders>
            <w:shd w:val="clear" w:color="auto" w:fill="FFFFFF"/>
          </w:tcPr>
          <w:p w:rsidR="00642FB4" w:rsidRDefault="00642FB4">
            <w:r>
              <w:t>227 853</w:t>
            </w:r>
          </w:p>
        </w:tc>
        <w:tc>
          <w:tcPr>
            <w:tcW w:w="1320" w:type="dxa"/>
            <w:tcBorders>
              <w:top w:val="single" w:sz="4" w:space="0" w:color="auto"/>
              <w:left w:val="single" w:sz="4" w:space="0" w:color="auto"/>
              <w:bottom w:val="nil"/>
              <w:right w:val="nil"/>
            </w:tcBorders>
            <w:shd w:val="clear" w:color="auto" w:fill="FFFFFF"/>
          </w:tcPr>
          <w:p w:rsidR="00642FB4" w:rsidRDefault="00642FB4">
            <w:r>
              <w:t>229 775</w:t>
            </w:r>
          </w:p>
        </w:tc>
        <w:tc>
          <w:tcPr>
            <w:tcW w:w="1320" w:type="dxa"/>
            <w:tcBorders>
              <w:top w:val="single" w:sz="4" w:space="0" w:color="auto"/>
              <w:left w:val="single" w:sz="4" w:space="0" w:color="auto"/>
              <w:bottom w:val="nil"/>
              <w:right w:val="nil"/>
            </w:tcBorders>
            <w:shd w:val="clear" w:color="auto" w:fill="FFFFFF"/>
          </w:tcPr>
          <w:p w:rsidR="00642FB4" w:rsidRDefault="00642FB4">
            <w:r>
              <w:t>229 775</w:t>
            </w:r>
          </w:p>
        </w:tc>
        <w:tc>
          <w:tcPr>
            <w:tcW w:w="1260" w:type="dxa"/>
            <w:tcBorders>
              <w:top w:val="single" w:sz="4" w:space="0" w:color="auto"/>
              <w:left w:val="single" w:sz="4" w:space="0" w:color="auto"/>
              <w:bottom w:val="nil"/>
              <w:right w:val="single" w:sz="4" w:space="0" w:color="auto"/>
            </w:tcBorders>
            <w:shd w:val="clear" w:color="auto" w:fill="FFFFFF"/>
          </w:tcPr>
          <w:p w:rsidR="00642FB4" w:rsidRDefault="00642FB4">
            <w:r>
              <w:t>229 775</w:t>
            </w:r>
          </w:p>
        </w:tc>
      </w:tr>
      <w:tr w:rsidR="00642FB4">
        <w:trPr>
          <w:trHeight w:val="645"/>
        </w:trPr>
        <w:tc>
          <w:tcPr>
            <w:tcW w:w="567" w:type="dxa"/>
            <w:tcBorders>
              <w:top w:val="single" w:sz="4" w:space="0" w:color="auto"/>
              <w:left w:val="single" w:sz="4" w:space="0" w:color="auto"/>
              <w:bottom w:val="nil"/>
              <w:right w:val="nil"/>
            </w:tcBorders>
            <w:shd w:val="clear" w:color="auto" w:fill="FFFFFF"/>
            <w:vAlign w:val="center"/>
          </w:tcPr>
          <w:p w:rsidR="00642FB4" w:rsidRDefault="00642FB4">
            <w:r>
              <w:t>2</w:t>
            </w:r>
          </w:p>
        </w:tc>
        <w:tc>
          <w:tcPr>
            <w:tcW w:w="1429" w:type="dxa"/>
            <w:tcBorders>
              <w:top w:val="single" w:sz="4" w:space="0" w:color="auto"/>
              <w:left w:val="single" w:sz="4" w:space="0" w:color="auto"/>
              <w:bottom w:val="nil"/>
              <w:right w:val="nil"/>
            </w:tcBorders>
            <w:shd w:val="clear" w:color="auto" w:fill="FFFFFF"/>
            <w:vAlign w:val="bottom"/>
          </w:tcPr>
          <w:p w:rsidR="00642FB4" w:rsidRDefault="00642FB4">
            <w:r>
              <w:t>Пасовища</w:t>
            </w:r>
          </w:p>
          <w:p w:rsidR="00642FB4" w:rsidRDefault="00642FB4">
            <w:r>
              <w:t>Луги</w:t>
            </w:r>
          </w:p>
        </w:tc>
        <w:tc>
          <w:tcPr>
            <w:tcW w:w="1335" w:type="dxa"/>
            <w:tcBorders>
              <w:top w:val="single" w:sz="4" w:space="0" w:color="auto"/>
              <w:left w:val="single" w:sz="4" w:space="0" w:color="auto"/>
              <w:bottom w:val="nil"/>
              <w:right w:val="nil"/>
            </w:tcBorders>
            <w:shd w:val="clear" w:color="auto" w:fill="FFFFFF"/>
            <w:vAlign w:val="center"/>
          </w:tcPr>
          <w:p w:rsidR="00642FB4" w:rsidRDefault="00642FB4">
            <w:r>
              <w:t>85 296</w:t>
            </w:r>
          </w:p>
        </w:tc>
        <w:tc>
          <w:tcPr>
            <w:tcW w:w="1320" w:type="dxa"/>
            <w:tcBorders>
              <w:top w:val="single" w:sz="4" w:space="0" w:color="auto"/>
              <w:left w:val="single" w:sz="4" w:space="0" w:color="auto"/>
              <w:bottom w:val="nil"/>
              <w:right w:val="nil"/>
            </w:tcBorders>
            <w:shd w:val="clear" w:color="auto" w:fill="FFFFFF"/>
            <w:vAlign w:val="center"/>
          </w:tcPr>
          <w:p w:rsidR="00642FB4" w:rsidRDefault="00642FB4">
            <w:r>
              <w:t>85 111</w:t>
            </w:r>
          </w:p>
        </w:tc>
        <w:tc>
          <w:tcPr>
            <w:tcW w:w="1335" w:type="dxa"/>
            <w:tcBorders>
              <w:top w:val="single" w:sz="4" w:space="0" w:color="auto"/>
              <w:left w:val="single" w:sz="4" w:space="0" w:color="auto"/>
              <w:bottom w:val="nil"/>
              <w:right w:val="nil"/>
            </w:tcBorders>
            <w:shd w:val="clear" w:color="auto" w:fill="FFFFFF"/>
            <w:vAlign w:val="center"/>
          </w:tcPr>
          <w:p w:rsidR="00642FB4" w:rsidRDefault="00642FB4">
            <w:r>
              <w:t>79 176</w:t>
            </w:r>
          </w:p>
        </w:tc>
        <w:tc>
          <w:tcPr>
            <w:tcW w:w="1320" w:type="dxa"/>
            <w:tcBorders>
              <w:top w:val="single" w:sz="4" w:space="0" w:color="auto"/>
              <w:left w:val="single" w:sz="4" w:space="0" w:color="auto"/>
              <w:bottom w:val="nil"/>
              <w:right w:val="nil"/>
            </w:tcBorders>
            <w:shd w:val="clear" w:color="auto" w:fill="FFFFFF"/>
            <w:vAlign w:val="center"/>
          </w:tcPr>
          <w:p w:rsidR="00642FB4" w:rsidRDefault="00642FB4">
            <w:r>
              <w:t>77 821</w:t>
            </w:r>
          </w:p>
        </w:tc>
        <w:tc>
          <w:tcPr>
            <w:tcW w:w="1320" w:type="dxa"/>
            <w:tcBorders>
              <w:top w:val="single" w:sz="4" w:space="0" w:color="auto"/>
              <w:left w:val="single" w:sz="4" w:space="0" w:color="auto"/>
              <w:bottom w:val="nil"/>
              <w:right w:val="nil"/>
            </w:tcBorders>
            <w:shd w:val="clear" w:color="auto" w:fill="FFFFFF"/>
            <w:vAlign w:val="center"/>
          </w:tcPr>
          <w:p w:rsidR="00642FB4" w:rsidRDefault="00642FB4">
            <w:r>
              <w:t>77 821</w:t>
            </w:r>
          </w:p>
        </w:tc>
        <w:tc>
          <w:tcPr>
            <w:tcW w:w="1260" w:type="dxa"/>
            <w:tcBorders>
              <w:top w:val="single" w:sz="4" w:space="0" w:color="auto"/>
              <w:left w:val="single" w:sz="4" w:space="0" w:color="auto"/>
              <w:bottom w:val="nil"/>
              <w:right w:val="single" w:sz="4" w:space="0" w:color="auto"/>
            </w:tcBorders>
            <w:shd w:val="clear" w:color="auto" w:fill="FFFFFF"/>
            <w:vAlign w:val="center"/>
          </w:tcPr>
          <w:p w:rsidR="00642FB4" w:rsidRDefault="00642FB4">
            <w:r>
              <w:t>77 821</w:t>
            </w:r>
          </w:p>
        </w:tc>
      </w:tr>
      <w:tr w:rsidR="00642FB4">
        <w:trPr>
          <w:trHeight w:val="330"/>
        </w:trPr>
        <w:tc>
          <w:tcPr>
            <w:tcW w:w="567" w:type="dxa"/>
            <w:tcBorders>
              <w:top w:val="single" w:sz="4" w:space="0" w:color="auto"/>
              <w:left w:val="single" w:sz="4" w:space="0" w:color="auto"/>
              <w:bottom w:val="nil"/>
              <w:right w:val="nil"/>
            </w:tcBorders>
            <w:shd w:val="clear" w:color="auto" w:fill="FFFFFF"/>
          </w:tcPr>
          <w:p w:rsidR="00642FB4" w:rsidRDefault="00642FB4">
            <w:r>
              <w:t>3</w:t>
            </w:r>
          </w:p>
        </w:tc>
        <w:tc>
          <w:tcPr>
            <w:tcW w:w="1429" w:type="dxa"/>
            <w:tcBorders>
              <w:top w:val="single" w:sz="4" w:space="0" w:color="auto"/>
              <w:left w:val="single" w:sz="4" w:space="0" w:color="auto"/>
              <w:bottom w:val="nil"/>
              <w:right w:val="nil"/>
            </w:tcBorders>
            <w:shd w:val="clear" w:color="auto" w:fill="FFFFFF"/>
          </w:tcPr>
          <w:p w:rsidR="00642FB4" w:rsidRDefault="00642FB4">
            <w:r>
              <w:t>Сади</w:t>
            </w:r>
          </w:p>
        </w:tc>
        <w:tc>
          <w:tcPr>
            <w:tcW w:w="1335" w:type="dxa"/>
            <w:tcBorders>
              <w:top w:val="single" w:sz="4" w:space="0" w:color="auto"/>
              <w:left w:val="single" w:sz="4" w:space="0" w:color="auto"/>
              <w:bottom w:val="nil"/>
              <w:right w:val="nil"/>
            </w:tcBorders>
            <w:shd w:val="clear" w:color="auto" w:fill="FFFFFF"/>
          </w:tcPr>
          <w:p w:rsidR="00642FB4" w:rsidRDefault="00642FB4">
            <w:r>
              <w:t>7122</w:t>
            </w:r>
          </w:p>
        </w:tc>
        <w:tc>
          <w:tcPr>
            <w:tcW w:w="1320" w:type="dxa"/>
            <w:tcBorders>
              <w:top w:val="single" w:sz="4" w:space="0" w:color="auto"/>
              <w:left w:val="single" w:sz="4" w:space="0" w:color="auto"/>
              <w:bottom w:val="nil"/>
              <w:right w:val="nil"/>
            </w:tcBorders>
            <w:shd w:val="clear" w:color="auto" w:fill="FFFFFF"/>
          </w:tcPr>
          <w:p w:rsidR="00642FB4" w:rsidRDefault="00642FB4">
            <w:r>
              <w:t>7 159</w:t>
            </w:r>
          </w:p>
        </w:tc>
        <w:tc>
          <w:tcPr>
            <w:tcW w:w="1335" w:type="dxa"/>
            <w:tcBorders>
              <w:top w:val="single" w:sz="4" w:space="0" w:color="auto"/>
              <w:left w:val="single" w:sz="4" w:space="0" w:color="auto"/>
              <w:bottom w:val="nil"/>
              <w:right w:val="nil"/>
            </w:tcBorders>
            <w:shd w:val="clear" w:color="auto" w:fill="FFFFFF"/>
            <w:vAlign w:val="bottom"/>
          </w:tcPr>
          <w:p w:rsidR="00642FB4" w:rsidRDefault="00642FB4">
            <w:r>
              <w:t>6 800</w:t>
            </w:r>
          </w:p>
        </w:tc>
        <w:tc>
          <w:tcPr>
            <w:tcW w:w="1320" w:type="dxa"/>
            <w:tcBorders>
              <w:top w:val="single" w:sz="4" w:space="0" w:color="auto"/>
              <w:left w:val="single" w:sz="4" w:space="0" w:color="auto"/>
              <w:bottom w:val="nil"/>
              <w:right w:val="nil"/>
            </w:tcBorders>
            <w:shd w:val="clear" w:color="auto" w:fill="FFFFFF"/>
          </w:tcPr>
          <w:p w:rsidR="00642FB4" w:rsidRDefault="00642FB4">
            <w:r>
              <w:t>7 433</w:t>
            </w:r>
          </w:p>
        </w:tc>
        <w:tc>
          <w:tcPr>
            <w:tcW w:w="1320" w:type="dxa"/>
            <w:tcBorders>
              <w:top w:val="single" w:sz="4" w:space="0" w:color="auto"/>
              <w:left w:val="single" w:sz="4" w:space="0" w:color="auto"/>
              <w:bottom w:val="nil"/>
              <w:right w:val="nil"/>
            </w:tcBorders>
            <w:shd w:val="clear" w:color="auto" w:fill="FFFFFF"/>
          </w:tcPr>
          <w:p w:rsidR="00642FB4" w:rsidRDefault="00642FB4">
            <w:r>
              <w:t>7 433</w:t>
            </w:r>
          </w:p>
        </w:tc>
        <w:tc>
          <w:tcPr>
            <w:tcW w:w="1260" w:type="dxa"/>
            <w:tcBorders>
              <w:top w:val="single" w:sz="4" w:space="0" w:color="auto"/>
              <w:left w:val="single" w:sz="4" w:space="0" w:color="auto"/>
              <w:bottom w:val="nil"/>
              <w:right w:val="single" w:sz="4" w:space="0" w:color="auto"/>
            </w:tcBorders>
            <w:shd w:val="clear" w:color="auto" w:fill="FFFFFF"/>
          </w:tcPr>
          <w:p w:rsidR="00642FB4" w:rsidRDefault="00642FB4">
            <w:r>
              <w:t>7 433</w:t>
            </w:r>
          </w:p>
        </w:tc>
      </w:tr>
      <w:tr w:rsidR="00642FB4">
        <w:trPr>
          <w:trHeight w:val="330"/>
        </w:trPr>
        <w:tc>
          <w:tcPr>
            <w:tcW w:w="567" w:type="dxa"/>
            <w:tcBorders>
              <w:top w:val="single" w:sz="4" w:space="0" w:color="auto"/>
              <w:left w:val="single" w:sz="4" w:space="0" w:color="auto"/>
              <w:bottom w:val="nil"/>
              <w:right w:val="nil"/>
            </w:tcBorders>
            <w:shd w:val="clear" w:color="auto" w:fill="FFFFFF"/>
          </w:tcPr>
          <w:p w:rsidR="00642FB4" w:rsidRDefault="00642FB4">
            <w:r>
              <w:t>4</w:t>
            </w:r>
          </w:p>
        </w:tc>
        <w:tc>
          <w:tcPr>
            <w:tcW w:w="1429" w:type="dxa"/>
            <w:tcBorders>
              <w:top w:val="single" w:sz="4" w:space="0" w:color="auto"/>
              <w:left w:val="single" w:sz="4" w:space="0" w:color="auto"/>
              <w:bottom w:val="nil"/>
              <w:right w:val="nil"/>
            </w:tcBorders>
            <w:shd w:val="clear" w:color="auto" w:fill="FFFFFF"/>
          </w:tcPr>
          <w:p w:rsidR="00642FB4" w:rsidRDefault="00642FB4">
            <w:r>
              <w:t>Виноградники</w:t>
            </w:r>
          </w:p>
        </w:tc>
        <w:tc>
          <w:tcPr>
            <w:tcW w:w="1335" w:type="dxa"/>
            <w:tcBorders>
              <w:top w:val="single" w:sz="4" w:space="0" w:color="auto"/>
              <w:left w:val="single" w:sz="4" w:space="0" w:color="auto"/>
              <w:bottom w:val="nil"/>
              <w:right w:val="nil"/>
            </w:tcBorders>
            <w:shd w:val="clear" w:color="auto" w:fill="FFFFFF"/>
          </w:tcPr>
          <w:p w:rsidR="00642FB4" w:rsidRDefault="00642FB4">
            <w:r>
              <w:t>3 385</w:t>
            </w:r>
          </w:p>
        </w:tc>
        <w:tc>
          <w:tcPr>
            <w:tcW w:w="1320" w:type="dxa"/>
            <w:tcBorders>
              <w:top w:val="single" w:sz="4" w:space="0" w:color="auto"/>
              <w:left w:val="single" w:sz="4" w:space="0" w:color="auto"/>
              <w:bottom w:val="nil"/>
              <w:right w:val="nil"/>
            </w:tcBorders>
            <w:shd w:val="clear" w:color="auto" w:fill="FFFFFF"/>
          </w:tcPr>
          <w:p w:rsidR="00642FB4" w:rsidRDefault="00642FB4">
            <w:r>
              <w:t>3 425</w:t>
            </w:r>
          </w:p>
        </w:tc>
        <w:tc>
          <w:tcPr>
            <w:tcW w:w="1335" w:type="dxa"/>
            <w:tcBorders>
              <w:top w:val="single" w:sz="4" w:space="0" w:color="auto"/>
              <w:left w:val="single" w:sz="4" w:space="0" w:color="auto"/>
              <w:bottom w:val="nil"/>
              <w:right w:val="nil"/>
            </w:tcBorders>
            <w:shd w:val="clear" w:color="auto" w:fill="FFFFFF"/>
          </w:tcPr>
          <w:p w:rsidR="00642FB4" w:rsidRDefault="00642FB4">
            <w:r>
              <w:t>3 662</w:t>
            </w:r>
          </w:p>
        </w:tc>
        <w:tc>
          <w:tcPr>
            <w:tcW w:w="1320" w:type="dxa"/>
            <w:tcBorders>
              <w:top w:val="single" w:sz="4" w:space="0" w:color="auto"/>
              <w:left w:val="single" w:sz="4" w:space="0" w:color="auto"/>
              <w:bottom w:val="nil"/>
              <w:right w:val="nil"/>
            </w:tcBorders>
            <w:shd w:val="clear" w:color="auto" w:fill="FFFFFF"/>
          </w:tcPr>
          <w:p w:rsidR="00642FB4" w:rsidRDefault="00642FB4">
            <w:r>
              <w:t>3 425</w:t>
            </w:r>
          </w:p>
        </w:tc>
        <w:tc>
          <w:tcPr>
            <w:tcW w:w="1320" w:type="dxa"/>
            <w:tcBorders>
              <w:top w:val="single" w:sz="4" w:space="0" w:color="auto"/>
              <w:left w:val="single" w:sz="4" w:space="0" w:color="auto"/>
              <w:bottom w:val="nil"/>
              <w:right w:val="nil"/>
            </w:tcBorders>
            <w:shd w:val="clear" w:color="auto" w:fill="FFFFFF"/>
          </w:tcPr>
          <w:p w:rsidR="00642FB4" w:rsidRDefault="00642FB4">
            <w:r>
              <w:t>3 425</w:t>
            </w:r>
          </w:p>
        </w:tc>
        <w:tc>
          <w:tcPr>
            <w:tcW w:w="1260" w:type="dxa"/>
            <w:tcBorders>
              <w:top w:val="single" w:sz="4" w:space="0" w:color="auto"/>
              <w:left w:val="single" w:sz="4" w:space="0" w:color="auto"/>
              <w:bottom w:val="nil"/>
              <w:right w:val="single" w:sz="4" w:space="0" w:color="auto"/>
            </w:tcBorders>
            <w:shd w:val="clear" w:color="auto" w:fill="FFFFFF"/>
          </w:tcPr>
          <w:p w:rsidR="00642FB4" w:rsidRDefault="00642FB4">
            <w:r>
              <w:t>3 425</w:t>
            </w:r>
          </w:p>
        </w:tc>
      </w:tr>
      <w:tr w:rsidR="00642FB4">
        <w:trPr>
          <w:trHeight w:val="345"/>
        </w:trPr>
        <w:tc>
          <w:tcPr>
            <w:tcW w:w="567" w:type="dxa"/>
            <w:tcBorders>
              <w:top w:val="single" w:sz="4" w:space="0" w:color="auto"/>
              <w:left w:val="single" w:sz="4" w:space="0" w:color="auto"/>
              <w:bottom w:val="single" w:sz="4" w:space="0" w:color="auto"/>
              <w:right w:val="nil"/>
            </w:tcBorders>
            <w:shd w:val="clear" w:color="auto" w:fill="FFFFFF"/>
          </w:tcPr>
          <w:p w:rsidR="00642FB4" w:rsidRDefault="00642FB4">
            <w:r>
              <w:t>5</w:t>
            </w:r>
          </w:p>
        </w:tc>
        <w:tc>
          <w:tcPr>
            <w:tcW w:w="1429" w:type="dxa"/>
            <w:tcBorders>
              <w:top w:val="single" w:sz="4" w:space="0" w:color="auto"/>
              <w:left w:val="single" w:sz="4" w:space="0" w:color="auto"/>
              <w:bottom w:val="single" w:sz="4" w:space="0" w:color="auto"/>
              <w:right w:val="nil"/>
            </w:tcBorders>
            <w:shd w:val="clear" w:color="auto" w:fill="FFFFFF"/>
          </w:tcPr>
          <w:p w:rsidR="00642FB4" w:rsidRDefault="00642FB4">
            <w:r>
              <w:t>Всього на сільськогосподарські угіддя</w:t>
            </w:r>
          </w:p>
        </w:tc>
        <w:tc>
          <w:tcPr>
            <w:tcW w:w="1335" w:type="dxa"/>
            <w:tcBorders>
              <w:top w:val="single" w:sz="4" w:space="0" w:color="auto"/>
              <w:left w:val="single" w:sz="4" w:space="0" w:color="auto"/>
              <w:bottom w:val="single" w:sz="4" w:space="0" w:color="auto"/>
              <w:right w:val="nil"/>
            </w:tcBorders>
            <w:shd w:val="clear" w:color="auto" w:fill="FFFFFF"/>
          </w:tcPr>
          <w:p w:rsidR="00642FB4" w:rsidRDefault="00642FB4">
            <w:r>
              <w:t>317 456</w:t>
            </w:r>
          </w:p>
        </w:tc>
        <w:tc>
          <w:tcPr>
            <w:tcW w:w="1320" w:type="dxa"/>
            <w:tcBorders>
              <w:top w:val="single" w:sz="4" w:space="0" w:color="auto"/>
              <w:left w:val="single" w:sz="4" w:space="0" w:color="auto"/>
              <w:bottom w:val="single" w:sz="4" w:space="0" w:color="auto"/>
              <w:right w:val="nil"/>
            </w:tcBorders>
            <w:shd w:val="clear" w:color="auto" w:fill="FFFFFF"/>
          </w:tcPr>
          <w:p w:rsidR="00642FB4" w:rsidRDefault="00642FB4">
            <w:r>
              <w:t>317 278</w:t>
            </w:r>
          </w:p>
        </w:tc>
        <w:tc>
          <w:tcPr>
            <w:tcW w:w="1335" w:type="dxa"/>
            <w:tcBorders>
              <w:top w:val="single" w:sz="4" w:space="0" w:color="auto"/>
              <w:left w:val="single" w:sz="4" w:space="0" w:color="auto"/>
              <w:bottom w:val="single" w:sz="4" w:space="0" w:color="auto"/>
              <w:right w:val="nil"/>
            </w:tcBorders>
            <w:shd w:val="clear" w:color="auto" w:fill="FFFFFF"/>
          </w:tcPr>
          <w:p w:rsidR="00642FB4" w:rsidRDefault="00642FB4">
            <w:r>
              <w:t>317 491</w:t>
            </w:r>
          </w:p>
        </w:tc>
        <w:tc>
          <w:tcPr>
            <w:tcW w:w="1320" w:type="dxa"/>
            <w:tcBorders>
              <w:top w:val="single" w:sz="4" w:space="0" w:color="auto"/>
              <w:left w:val="single" w:sz="4" w:space="0" w:color="auto"/>
              <w:bottom w:val="single" w:sz="4" w:space="0" w:color="auto"/>
              <w:right w:val="nil"/>
            </w:tcBorders>
            <w:shd w:val="clear" w:color="auto" w:fill="FFFFFF"/>
          </w:tcPr>
          <w:p w:rsidR="00642FB4" w:rsidRDefault="00642FB4">
            <w:r>
              <w:t>318 454</w:t>
            </w:r>
          </w:p>
        </w:tc>
        <w:tc>
          <w:tcPr>
            <w:tcW w:w="1320" w:type="dxa"/>
            <w:tcBorders>
              <w:top w:val="single" w:sz="4" w:space="0" w:color="auto"/>
              <w:left w:val="single" w:sz="4" w:space="0" w:color="auto"/>
              <w:bottom w:val="single" w:sz="4" w:space="0" w:color="auto"/>
              <w:right w:val="nil"/>
            </w:tcBorders>
            <w:shd w:val="clear" w:color="auto" w:fill="FFFFFF"/>
          </w:tcPr>
          <w:p w:rsidR="00642FB4" w:rsidRDefault="00642FB4">
            <w:r>
              <w:t>318 454</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642FB4" w:rsidRDefault="00642FB4">
            <w:r>
              <w:t>318 454</w:t>
            </w:r>
          </w:p>
        </w:tc>
      </w:tr>
    </w:tbl>
    <w:p w:rsidR="00642FB4" w:rsidRDefault="00642FB4"/>
    <w:p w:rsidR="00642FB4" w:rsidRDefault="00642FB4">
      <w:pPr>
        <w:autoSpaceDE w:val="0"/>
        <w:autoSpaceDN w:val="0"/>
        <w:adjustRightInd w:val="0"/>
        <w:spacing w:before="60" w:after="60" w:line="288" w:lineRule="auto"/>
        <w:jc w:val="both"/>
        <w:rPr>
          <w:rFonts w:cs="Arial"/>
          <w:bCs/>
          <w:i/>
          <w:color w:val="000000"/>
        </w:rPr>
      </w:pPr>
    </w:p>
    <w:p w:rsidR="00642FB4" w:rsidRDefault="00642FB4">
      <w:pPr>
        <w:autoSpaceDE w:val="0"/>
        <w:autoSpaceDN w:val="0"/>
        <w:adjustRightInd w:val="0"/>
        <w:spacing w:before="60" w:after="60" w:line="288" w:lineRule="auto"/>
        <w:ind w:firstLine="630"/>
        <w:jc w:val="both"/>
        <w:rPr>
          <w:rFonts w:eastAsia="Calibri" w:cs="Arial"/>
          <w:b/>
        </w:rPr>
      </w:pPr>
      <w:r>
        <w:t>У 2013 році не було жодного великого забруднення навколишнього середовища або аварійного забруднення.</w:t>
      </w:r>
    </w:p>
    <w:p w:rsidR="00642FB4" w:rsidRDefault="00642FB4">
      <w:pPr>
        <w:autoSpaceDE w:val="0"/>
        <w:autoSpaceDN w:val="0"/>
        <w:adjustRightInd w:val="0"/>
        <w:spacing w:before="60" w:after="60" w:line="288" w:lineRule="auto"/>
        <w:jc w:val="both"/>
        <w:rPr>
          <w:rFonts w:eastAsia="Calibri" w:cs="Arial"/>
          <w:b/>
          <w:sz w:val="20"/>
          <w:szCs w:val="20"/>
        </w:rPr>
      </w:pPr>
    </w:p>
    <w:p w:rsidR="00642FB4" w:rsidRDefault="00642FB4">
      <w:pPr>
        <w:pStyle w:val="Heading1"/>
        <w:rPr>
          <w:rFonts w:ascii="Arial" w:hAnsi="Arial" w:cs="Arial"/>
          <w:sz w:val="24"/>
          <w:szCs w:val="24"/>
        </w:rPr>
      </w:pPr>
      <w:bookmarkStart w:id="20" w:name="_Toc418279302"/>
      <w:bookmarkStart w:id="21" w:name="_Toc419199664"/>
      <w:r>
        <w:rPr>
          <w:rFonts w:ascii="Arial" w:hAnsi="Arial"/>
          <w:sz w:val="24"/>
        </w:rPr>
        <w:t>4.4 Повіт Сучава</w:t>
      </w:r>
      <w:bookmarkEnd w:id="20"/>
      <w:bookmarkEnd w:id="21"/>
    </w:p>
    <w:p w:rsidR="00642FB4" w:rsidRDefault="00642FB4">
      <w:pPr>
        <w:spacing w:before="60" w:after="60" w:line="288" w:lineRule="auto"/>
        <w:jc w:val="both"/>
        <w:rPr>
          <w:b/>
        </w:rPr>
      </w:pPr>
    </w:p>
    <w:p w:rsidR="00642FB4" w:rsidRDefault="00642FB4">
      <w:pPr>
        <w:numPr>
          <w:ilvl w:val="0"/>
          <w:numId w:val="1"/>
        </w:numPr>
        <w:spacing w:before="60" w:after="60" w:line="288" w:lineRule="auto"/>
        <w:jc w:val="both"/>
        <w:rPr>
          <w:rFonts w:cs="Arial"/>
          <w:b/>
        </w:rPr>
      </w:pPr>
      <w:r>
        <w:rPr>
          <w:b/>
        </w:rPr>
        <w:t>ПОВІТРЯ</w:t>
      </w:r>
    </w:p>
    <w:p w:rsidR="00642FB4" w:rsidRDefault="00642FB4">
      <w:pPr>
        <w:spacing w:before="60" w:after="60" w:line="288" w:lineRule="auto"/>
        <w:ind w:firstLine="720"/>
        <w:jc w:val="both"/>
        <w:rPr>
          <w:rFonts w:cs="Arial"/>
          <w:b/>
          <w:bCs/>
        </w:rPr>
      </w:pPr>
      <w:r>
        <w:t xml:space="preserve"> </w:t>
      </w:r>
      <w:r>
        <w:rPr>
          <w:i/>
        </w:rPr>
        <w:t>Діоксид сірки (SO</w:t>
      </w:r>
      <w:r>
        <w:rPr>
          <w:i/>
          <w:vertAlign w:val="subscript"/>
        </w:rPr>
        <w:t>2</w:t>
      </w:r>
      <w:r>
        <w:rPr>
          <w:i/>
        </w:rPr>
        <w:t>)</w:t>
      </w:r>
      <w:r>
        <w:rPr>
          <w:b/>
        </w:rPr>
        <w:t xml:space="preserve"> </w:t>
      </w:r>
    </w:p>
    <w:p w:rsidR="00642FB4" w:rsidRDefault="00642FB4">
      <w:pPr>
        <w:widowControl w:val="0"/>
        <w:spacing w:before="60" w:after="60" w:line="288" w:lineRule="auto"/>
        <w:ind w:firstLine="720"/>
        <w:jc w:val="both"/>
        <w:rPr>
          <w:rFonts w:cs="Arial"/>
          <w:b/>
        </w:rPr>
      </w:pPr>
      <w:r>
        <w:t xml:space="preserve">Еволюція загального обсягу інвентаризованих річних викидів діоксиду сірки у повіті Сучава, в період з 2011 по 2013 р. приведена в </w:t>
      </w:r>
      <w:r>
        <w:rPr>
          <w:b/>
        </w:rPr>
        <w:t>таблиці 4.4.1</w:t>
      </w:r>
      <w:r>
        <w:t>:</w:t>
      </w:r>
    </w:p>
    <w:p w:rsidR="00642FB4" w:rsidRDefault="00642FB4">
      <w:pPr>
        <w:widowControl w:val="0"/>
        <w:spacing w:before="60" w:after="60" w:line="288" w:lineRule="auto"/>
        <w:ind w:firstLine="720"/>
        <w:jc w:val="both"/>
        <w:rPr>
          <w:rFonts w:cs="Arial"/>
          <w:sz w:val="22"/>
          <w:szCs w:val="22"/>
        </w:rPr>
      </w:pPr>
    </w:p>
    <w:p w:rsidR="00642FB4" w:rsidRDefault="00642FB4">
      <w:pPr>
        <w:autoSpaceDE w:val="0"/>
        <w:autoSpaceDN w:val="0"/>
        <w:adjustRightInd w:val="0"/>
        <w:spacing w:before="60" w:after="60" w:line="288" w:lineRule="auto"/>
        <w:ind w:left="360"/>
        <w:jc w:val="center"/>
        <w:rPr>
          <w:rFonts w:eastAsia="Calibri" w:cs="Arial"/>
          <w:b/>
          <w:bCs/>
          <w:i/>
          <w:sz w:val="22"/>
          <w:szCs w:val="22"/>
        </w:rPr>
      </w:pPr>
      <w:r>
        <w:rPr>
          <w:b/>
          <w:i/>
          <w:sz w:val="22"/>
        </w:rPr>
        <w:t xml:space="preserve">Таблиця 4.4.1 </w:t>
      </w:r>
      <w:r>
        <w:t>Річні викиди діоксиду сірки (т/рік)</w:t>
      </w:r>
    </w:p>
    <w:tbl>
      <w:tblPr>
        <w:tblW w:w="6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76"/>
        <w:gridCol w:w="1382"/>
        <w:gridCol w:w="1382"/>
        <w:gridCol w:w="1382"/>
      </w:tblGrid>
      <w:tr w:rsidR="00642FB4">
        <w:trPr>
          <w:trHeight w:val="200"/>
          <w:jc w:val="center"/>
        </w:trPr>
        <w:tc>
          <w:tcPr>
            <w:tcW w:w="2376" w:type="dxa"/>
            <w:shd w:val="clear" w:color="auto" w:fill="auto"/>
            <w:vAlign w:val="center"/>
          </w:tcPr>
          <w:p w:rsidR="00642FB4" w:rsidRDefault="00642FB4">
            <w:pPr>
              <w:widowControl w:val="0"/>
              <w:jc w:val="both"/>
              <w:rPr>
                <w:rFonts w:cs="Arial"/>
                <w:b/>
                <w:sz w:val="20"/>
                <w:szCs w:val="20"/>
              </w:rPr>
            </w:pPr>
            <w:r>
              <w:rPr>
                <w:b/>
                <w:sz w:val="20"/>
              </w:rPr>
              <w:t>Рік</w:t>
            </w:r>
          </w:p>
        </w:tc>
        <w:tc>
          <w:tcPr>
            <w:tcW w:w="1382" w:type="dxa"/>
            <w:shd w:val="clear" w:color="auto" w:fill="auto"/>
            <w:vAlign w:val="center"/>
          </w:tcPr>
          <w:p w:rsidR="00642FB4" w:rsidRDefault="00642FB4">
            <w:pPr>
              <w:widowControl w:val="0"/>
              <w:jc w:val="right"/>
              <w:rPr>
                <w:rFonts w:cs="Arial"/>
                <w:b/>
                <w:sz w:val="20"/>
                <w:szCs w:val="20"/>
              </w:rPr>
            </w:pPr>
            <w:r>
              <w:rPr>
                <w:b/>
                <w:sz w:val="20"/>
              </w:rPr>
              <w:t>2011</w:t>
            </w:r>
          </w:p>
        </w:tc>
        <w:tc>
          <w:tcPr>
            <w:tcW w:w="1382" w:type="dxa"/>
            <w:shd w:val="clear" w:color="auto" w:fill="auto"/>
            <w:vAlign w:val="center"/>
          </w:tcPr>
          <w:p w:rsidR="00642FB4" w:rsidRDefault="00642FB4">
            <w:pPr>
              <w:widowControl w:val="0"/>
              <w:jc w:val="right"/>
              <w:rPr>
                <w:rFonts w:cs="Arial"/>
                <w:b/>
                <w:sz w:val="20"/>
                <w:szCs w:val="20"/>
              </w:rPr>
            </w:pPr>
            <w:r>
              <w:rPr>
                <w:b/>
                <w:sz w:val="20"/>
              </w:rPr>
              <w:t>2012</w:t>
            </w:r>
          </w:p>
        </w:tc>
        <w:tc>
          <w:tcPr>
            <w:tcW w:w="1382" w:type="dxa"/>
            <w:shd w:val="clear" w:color="auto" w:fill="auto"/>
            <w:vAlign w:val="center"/>
          </w:tcPr>
          <w:p w:rsidR="00642FB4" w:rsidRDefault="00642FB4">
            <w:pPr>
              <w:widowControl w:val="0"/>
              <w:jc w:val="right"/>
              <w:rPr>
                <w:rFonts w:cs="Arial"/>
                <w:b/>
                <w:sz w:val="20"/>
                <w:szCs w:val="20"/>
              </w:rPr>
            </w:pPr>
            <w:r>
              <w:rPr>
                <w:b/>
                <w:sz w:val="20"/>
              </w:rPr>
              <w:t>2013</w:t>
            </w:r>
          </w:p>
        </w:tc>
      </w:tr>
      <w:tr w:rsidR="00642FB4">
        <w:trPr>
          <w:trHeight w:val="197"/>
          <w:jc w:val="center"/>
        </w:trPr>
        <w:tc>
          <w:tcPr>
            <w:tcW w:w="2376" w:type="dxa"/>
            <w:shd w:val="clear" w:color="auto" w:fill="auto"/>
            <w:tcMar>
              <w:left w:w="11" w:type="dxa"/>
              <w:right w:w="11" w:type="dxa"/>
            </w:tcMar>
            <w:vAlign w:val="center"/>
          </w:tcPr>
          <w:p w:rsidR="00642FB4" w:rsidRDefault="00642FB4">
            <w:pPr>
              <w:widowControl w:val="0"/>
              <w:jc w:val="both"/>
              <w:rPr>
                <w:rFonts w:cs="Arial"/>
                <w:b/>
                <w:i/>
                <w:sz w:val="20"/>
                <w:szCs w:val="20"/>
                <w:vertAlign w:val="subscript"/>
              </w:rPr>
            </w:pPr>
            <w:r>
              <w:rPr>
                <w:b/>
                <w:sz w:val="20"/>
              </w:rPr>
              <w:t>SO</w:t>
            </w:r>
            <w:r>
              <w:rPr>
                <w:b/>
                <w:i/>
                <w:sz w:val="20"/>
                <w:vertAlign w:val="subscript"/>
              </w:rPr>
              <w:t>2</w:t>
            </w:r>
          </w:p>
        </w:tc>
        <w:tc>
          <w:tcPr>
            <w:tcW w:w="1382" w:type="dxa"/>
            <w:shd w:val="clear" w:color="auto" w:fill="FFFFFF"/>
            <w:vAlign w:val="center"/>
          </w:tcPr>
          <w:p w:rsidR="00642FB4" w:rsidRDefault="00642FB4">
            <w:pPr>
              <w:widowControl w:val="0"/>
              <w:jc w:val="right"/>
              <w:rPr>
                <w:rFonts w:eastAsia="Arial Unicode MS" w:cs="Arial"/>
                <w:sz w:val="20"/>
                <w:szCs w:val="20"/>
              </w:rPr>
            </w:pPr>
            <w:r>
              <w:rPr>
                <w:sz w:val="20"/>
              </w:rPr>
              <w:t>1 242</w:t>
            </w:r>
          </w:p>
        </w:tc>
        <w:tc>
          <w:tcPr>
            <w:tcW w:w="1382" w:type="dxa"/>
            <w:shd w:val="clear" w:color="auto" w:fill="FFFFFF"/>
            <w:vAlign w:val="center"/>
          </w:tcPr>
          <w:p w:rsidR="00642FB4" w:rsidRDefault="00642FB4">
            <w:pPr>
              <w:widowControl w:val="0"/>
              <w:jc w:val="right"/>
              <w:rPr>
                <w:rFonts w:eastAsia="Arial Unicode MS" w:cs="Arial"/>
                <w:sz w:val="20"/>
                <w:szCs w:val="20"/>
              </w:rPr>
            </w:pPr>
            <w:r>
              <w:rPr>
                <w:sz w:val="20"/>
              </w:rPr>
              <w:t>1 414</w:t>
            </w:r>
          </w:p>
        </w:tc>
        <w:tc>
          <w:tcPr>
            <w:tcW w:w="1382" w:type="dxa"/>
            <w:shd w:val="clear" w:color="auto" w:fill="FFFFFF"/>
            <w:vAlign w:val="center"/>
          </w:tcPr>
          <w:p w:rsidR="00642FB4" w:rsidRDefault="00642FB4">
            <w:pPr>
              <w:widowControl w:val="0"/>
              <w:jc w:val="right"/>
              <w:rPr>
                <w:rFonts w:eastAsia="Arial Unicode MS" w:cs="Arial"/>
                <w:sz w:val="20"/>
                <w:szCs w:val="20"/>
              </w:rPr>
            </w:pPr>
            <w:r>
              <w:rPr>
                <w:sz w:val="20"/>
              </w:rPr>
              <w:t>853</w:t>
            </w:r>
          </w:p>
        </w:tc>
      </w:tr>
    </w:tbl>
    <w:p w:rsidR="00642FB4" w:rsidRDefault="00642FB4">
      <w:pPr>
        <w:widowControl w:val="0"/>
        <w:spacing w:before="60" w:after="60" w:line="288" w:lineRule="auto"/>
        <w:ind w:firstLine="720"/>
        <w:jc w:val="both"/>
        <w:rPr>
          <w:rFonts w:cs="Arial"/>
          <w:sz w:val="10"/>
          <w:szCs w:val="10"/>
        </w:rPr>
      </w:pPr>
    </w:p>
    <w:p w:rsidR="00642FB4" w:rsidRDefault="00642FB4">
      <w:pPr>
        <w:autoSpaceDE w:val="0"/>
        <w:autoSpaceDN w:val="0"/>
        <w:adjustRightInd w:val="0"/>
        <w:spacing w:before="60" w:after="60" w:line="288" w:lineRule="auto"/>
        <w:ind w:firstLine="720"/>
        <w:jc w:val="both"/>
      </w:pPr>
      <w:r>
        <w:t>У 2013 році 75,7% від загального обсягу викидів SO</w:t>
      </w:r>
      <w:r>
        <w:rPr>
          <w:vertAlign w:val="subscript"/>
        </w:rPr>
        <w:t>2</w:t>
      </w:r>
      <w:r>
        <w:t xml:space="preserve"> у повіті походять від діяльності код NFR 1.A.1.a «</w:t>
      </w:r>
      <w:r>
        <w:rPr>
          <w:i/>
        </w:rPr>
        <w:t>Виробництво електроенергії і теплової енергії</w:t>
      </w:r>
      <w:r>
        <w:t xml:space="preserve">", тобто від установки спалювання вугілля, що належить АО ТЕРМІКА ТТ Сучава (ЦЕТ Сучава). </w:t>
      </w:r>
    </w:p>
    <w:p w:rsidR="00642FB4" w:rsidRDefault="00642FB4">
      <w:pPr>
        <w:autoSpaceDE w:val="0"/>
        <w:autoSpaceDN w:val="0"/>
        <w:adjustRightInd w:val="0"/>
        <w:spacing w:before="60" w:after="60" w:line="288" w:lineRule="auto"/>
        <w:ind w:firstLine="720"/>
        <w:jc w:val="both"/>
      </w:pPr>
      <w:r>
        <w:t>Міжрічна мінливість загального обсягу викидів SO</w:t>
      </w:r>
      <w:r>
        <w:rPr>
          <w:vertAlign w:val="subscript"/>
        </w:rPr>
        <w:t>2</w:t>
      </w:r>
      <w:r>
        <w:t xml:space="preserve">  дається в основному коливанням річних обсягів вугілля, що використовується в ЦET Сучава та його вмістом сірки, так як ця система має великий внесок у загальний обсяг викидів SO</w:t>
      </w:r>
      <w:r>
        <w:rPr>
          <w:vertAlign w:val="subscript"/>
        </w:rPr>
        <w:t>2</w:t>
      </w:r>
      <w:r>
        <w:t xml:space="preserve"> в повітрі. Зниження викидів SO</w:t>
      </w:r>
      <w:r>
        <w:rPr>
          <w:vertAlign w:val="subscript"/>
        </w:rPr>
        <w:t>2</w:t>
      </w:r>
      <w:r>
        <w:t xml:space="preserve"> в 2013 у порівнянні з 2012 роком, у зв'язку з тим, що  АО ТЕРМІКА ТТ Сучава (ЦЕТ Сучава) працювала тільки до квітня 2013 році. </w:t>
      </w:r>
    </w:p>
    <w:p w:rsidR="00642FB4" w:rsidRDefault="00642FB4">
      <w:pPr>
        <w:spacing w:before="60" w:after="60" w:line="288" w:lineRule="auto"/>
        <w:ind w:firstLine="720"/>
        <w:jc w:val="both"/>
        <w:rPr>
          <w:rFonts w:cs="Arial"/>
          <w:bCs/>
        </w:rPr>
      </w:pPr>
    </w:p>
    <w:p w:rsidR="00642FB4" w:rsidRDefault="00642FB4">
      <w:pPr>
        <w:spacing w:before="60" w:after="60" w:line="288" w:lineRule="auto"/>
        <w:ind w:firstLine="720"/>
        <w:jc w:val="both"/>
        <w:rPr>
          <w:rFonts w:cs="Arial"/>
          <w:i/>
        </w:rPr>
      </w:pPr>
      <w:r>
        <w:rPr>
          <w:i/>
        </w:rPr>
        <w:t xml:space="preserve">Оксиди азоту (NOx) </w:t>
      </w:r>
    </w:p>
    <w:p w:rsidR="00642FB4" w:rsidRDefault="00642FB4">
      <w:pPr>
        <w:widowControl w:val="0"/>
        <w:spacing w:before="60" w:after="60" w:line="288" w:lineRule="auto"/>
        <w:ind w:firstLine="630"/>
        <w:jc w:val="both"/>
        <w:rPr>
          <w:rFonts w:cs="Arial"/>
        </w:rPr>
      </w:pPr>
      <w:r>
        <w:t xml:space="preserve">Еволюція загального обсягу інвентаризованих річних викидів оксидів азоту у повіті Сучава в період з 2011 по 2013 р. приведена в </w:t>
      </w:r>
      <w:r>
        <w:rPr>
          <w:b/>
        </w:rPr>
        <w:t>таблиці 4.4.2</w:t>
      </w:r>
      <w:r>
        <w:t>:</w:t>
      </w:r>
    </w:p>
    <w:p w:rsidR="00642FB4" w:rsidRDefault="00642FB4">
      <w:pPr>
        <w:widowControl w:val="0"/>
        <w:spacing w:before="60" w:after="60" w:line="288" w:lineRule="auto"/>
        <w:ind w:firstLine="630"/>
        <w:jc w:val="both"/>
        <w:rPr>
          <w:rFonts w:cs="Arial"/>
        </w:rPr>
      </w:pPr>
    </w:p>
    <w:p w:rsidR="00642FB4" w:rsidRDefault="00642FB4">
      <w:pPr>
        <w:autoSpaceDE w:val="0"/>
        <w:autoSpaceDN w:val="0"/>
        <w:adjustRightInd w:val="0"/>
        <w:spacing w:before="60" w:after="60" w:line="288" w:lineRule="auto"/>
        <w:ind w:left="360"/>
        <w:jc w:val="center"/>
        <w:rPr>
          <w:rFonts w:eastAsia="Calibri" w:cs="Arial"/>
          <w:b/>
          <w:bCs/>
          <w:i/>
          <w:sz w:val="22"/>
          <w:szCs w:val="22"/>
        </w:rPr>
      </w:pPr>
      <w:r>
        <w:rPr>
          <w:b/>
          <w:i/>
          <w:sz w:val="22"/>
        </w:rPr>
        <w:t xml:space="preserve">Таблиця 4.4.2 </w:t>
      </w:r>
      <w:r>
        <w:t>Річні викиди оксидів азоту</w:t>
      </w:r>
    </w:p>
    <w:tbl>
      <w:tblPr>
        <w:tblW w:w="65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 w:type="dxa"/>
          <w:right w:w="11" w:type="dxa"/>
        </w:tblCellMar>
        <w:tblLook w:val="01E0" w:firstRow="1" w:lastRow="1" w:firstColumn="1" w:lastColumn="1" w:noHBand="0" w:noVBand="0"/>
      </w:tblPr>
      <w:tblGrid>
        <w:gridCol w:w="2317"/>
        <w:gridCol w:w="1390"/>
        <w:gridCol w:w="1390"/>
        <w:gridCol w:w="1418"/>
      </w:tblGrid>
      <w:tr w:rsidR="00642FB4">
        <w:trPr>
          <w:trHeight w:val="272"/>
          <w:jc w:val="center"/>
        </w:trPr>
        <w:tc>
          <w:tcPr>
            <w:tcW w:w="2317" w:type="dxa"/>
            <w:shd w:val="clear" w:color="auto" w:fill="auto"/>
            <w:tcMar>
              <w:left w:w="57" w:type="dxa"/>
              <w:right w:w="57" w:type="dxa"/>
            </w:tcMar>
            <w:vAlign w:val="center"/>
          </w:tcPr>
          <w:p w:rsidR="00642FB4" w:rsidRDefault="00642FB4">
            <w:pPr>
              <w:widowControl w:val="0"/>
              <w:jc w:val="both"/>
              <w:rPr>
                <w:rFonts w:cs="Arial"/>
                <w:b/>
                <w:sz w:val="20"/>
                <w:szCs w:val="20"/>
              </w:rPr>
            </w:pPr>
            <w:r>
              <w:rPr>
                <w:b/>
                <w:sz w:val="20"/>
              </w:rPr>
              <w:t>Рік</w:t>
            </w:r>
          </w:p>
        </w:tc>
        <w:tc>
          <w:tcPr>
            <w:tcW w:w="1390" w:type="dxa"/>
            <w:shd w:val="clear" w:color="auto" w:fill="auto"/>
            <w:vAlign w:val="center"/>
          </w:tcPr>
          <w:p w:rsidR="00642FB4" w:rsidRDefault="00642FB4">
            <w:pPr>
              <w:widowControl w:val="0"/>
              <w:jc w:val="right"/>
              <w:rPr>
                <w:rFonts w:cs="Arial"/>
                <w:b/>
                <w:sz w:val="20"/>
                <w:szCs w:val="20"/>
              </w:rPr>
            </w:pPr>
            <w:r>
              <w:rPr>
                <w:b/>
                <w:sz w:val="20"/>
              </w:rPr>
              <w:t>2011</w:t>
            </w:r>
          </w:p>
        </w:tc>
        <w:tc>
          <w:tcPr>
            <w:tcW w:w="1390" w:type="dxa"/>
            <w:shd w:val="clear" w:color="auto" w:fill="auto"/>
            <w:vAlign w:val="center"/>
          </w:tcPr>
          <w:p w:rsidR="00642FB4" w:rsidRDefault="00642FB4">
            <w:pPr>
              <w:widowControl w:val="0"/>
              <w:jc w:val="right"/>
              <w:rPr>
                <w:rFonts w:cs="Arial"/>
                <w:b/>
                <w:sz w:val="20"/>
                <w:szCs w:val="20"/>
              </w:rPr>
            </w:pPr>
            <w:r>
              <w:rPr>
                <w:b/>
                <w:sz w:val="20"/>
              </w:rPr>
              <w:t>2012</w:t>
            </w:r>
          </w:p>
        </w:tc>
        <w:tc>
          <w:tcPr>
            <w:tcW w:w="1418" w:type="dxa"/>
            <w:shd w:val="clear" w:color="auto" w:fill="auto"/>
            <w:vAlign w:val="center"/>
          </w:tcPr>
          <w:p w:rsidR="00642FB4" w:rsidRDefault="00642FB4">
            <w:pPr>
              <w:widowControl w:val="0"/>
              <w:jc w:val="right"/>
              <w:rPr>
                <w:rFonts w:cs="Arial"/>
                <w:b/>
                <w:sz w:val="20"/>
                <w:szCs w:val="20"/>
              </w:rPr>
            </w:pPr>
            <w:r>
              <w:rPr>
                <w:b/>
                <w:sz w:val="20"/>
              </w:rPr>
              <w:t>2013</w:t>
            </w:r>
          </w:p>
        </w:tc>
      </w:tr>
      <w:tr w:rsidR="00642FB4">
        <w:trPr>
          <w:trHeight w:val="214"/>
          <w:jc w:val="center"/>
        </w:trPr>
        <w:tc>
          <w:tcPr>
            <w:tcW w:w="2317" w:type="dxa"/>
            <w:shd w:val="clear" w:color="auto" w:fill="auto"/>
            <w:tcMar>
              <w:left w:w="57" w:type="dxa"/>
              <w:right w:w="57" w:type="dxa"/>
            </w:tcMar>
            <w:vAlign w:val="center"/>
          </w:tcPr>
          <w:p w:rsidR="00642FB4" w:rsidRDefault="00642FB4">
            <w:pPr>
              <w:widowControl w:val="0"/>
              <w:jc w:val="both"/>
              <w:rPr>
                <w:rFonts w:cs="Arial"/>
                <w:b/>
                <w:sz w:val="20"/>
                <w:szCs w:val="20"/>
              </w:rPr>
            </w:pPr>
            <w:r>
              <w:rPr>
                <w:b/>
                <w:sz w:val="20"/>
              </w:rPr>
              <w:t>NOx</w:t>
            </w:r>
          </w:p>
        </w:tc>
        <w:tc>
          <w:tcPr>
            <w:tcW w:w="1390" w:type="dxa"/>
            <w:shd w:val="clear" w:color="auto" w:fill="FFFFFF"/>
            <w:vAlign w:val="center"/>
          </w:tcPr>
          <w:p w:rsidR="00642FB4" w:rsidRDefault="00642FB4">
            <w:pPr>
              <w:widowControl w:val="0"/>
              <w:jc w:val="right"/>
              <w:rPr>
                <w:rFonts w:cs="Arial"/>
                <w:sz w:val="20"/>
                <w:szCs w:val="20"/>
              </w:rPr>
            </w:pPr>
            <w:r>
              <w:rPr>
                <w:sz w:val="20"/>
              </w:rPr>
              <w:t>5 722</w:t>
            </w:r>
          </w:p>
        </w:tc>
        <w:tc>
          <w:tcPr>
            <w:tcW w:w="1390" w:type="dxa"/>
            <w:shd w:val="clear" w:color="auto" w:fill="FFFFFF"/>
            <w:vAlign w:val="center"/>
          </w:tcPr>
          <w:p w:rsidR="00642FB4" w:rsidRDefault="00642FB4">
            <w:pPr>
              <w:widowControl w:val="0"/>
              <w:jc w:val="right"/>
              <w:rPr>
                <w:rFonts w:cs="Arial"/>
                <w:sz w:val="20"/>
                <w:szCs w:val="20"/>
              </w:rPr>
            </w:pPr>
            <w:r>
              <w:rPr>
                <w:sz w:val="20"/>
              </w:rPr>
              <w:t>5 783</w:t>
            </w:r>
          </w:p>
        </w:tc>
        <w:tc>
          <w:tcPr>
            <w:tcW w:w="1418" w:type="dxa"/>
            <w:shd w:val="clear" w:color="auto" w:fill="FFFFFF"/>
            <w:vAlign w:val="center"/>
          </w:tcPr>
          <w:p w:rsidR="00642FB4" w:rsidRDefault="00642FB4">
            <w:pPr>
              <w:widowControl w:val="0"/>
              <w:jc w:val="right"/>
              <w:rPr>
                <w:rFonts w:cs="Arial"/>
                <w:sz w:val="20"/>
                <w:szCs w:val="20"/>
              </w:rPr>
            </w:pPr>
            <w:r>
              <w:rPr>
                <w:sz w:val="20"/>
              </w:rPr>
              <w:t>4.448*</w:t>
            </w:r>
          </w:p>
        </w:tc>
      </w:tr>
    </w:tbl>
    <w:p w:rsidR="00642FB4" w:rsidRDefault="00642FB4">
      <w:pPr>
        <w:autoSpaceDE w:val="0"/>
        <w:autoSpaceDN w:val="0"/>
        <w:adjustRightInd w:val="0"/>
        <w:spacing w:before="60" w:after="60" w:line="288" w:lineRule="auto"/>
        <w:ind w:left="1418" w:right="1555"/>
        <w:jc w:val="both"/>
        <w:rPr>
          <w:i/>
          <w:sz w:val="16"/>
          <w:szCs w:val="16"/>
        </w:rPr>
      </w:pPr>
      <w:r>
        <w:rPr>
          <w:i/>
          <w:sz w:val="16"/>
        </w:rPr>
        <w:t>* в 2013 році змінився спосіб оцінки викидів від руху у порівнянні з 2012 р, теперішній безпосередньо пов'язаний з пробігом, який міститься у доповіді РАР по типам транспортних засобів, на рівні повіту Сучава, і таким чином значно знизилися річні викиди NOx від дорожнього руху, оцінені на 2013 рік, у порівнянні з попереднім роком.</w:t>
      </w:r>
    </w:p>
    <w:p w:rsidR="00642FB4" w:rsidRDefault="00642FB4">
      <w:pPr>
        <w:autoSpaceDE w:val="0"/>
        <w:autoSpaceDN w:val="0"/>
        <w:adjustRightInd w:val="0"/>
        <w:spacing w:before="60" w:after="60" w:line="288" w:lineRule="auto"/>
        <w:ind w:left="283"/>
        <w:jc w:val="both"/>
        <w:rPr>
          <w:sz w:val="6"/>
          <w:szCs w:val="6"/>
        </w:rPr>
      </w:pPr>
    </w:p>
    <w:p w:rsidR="00642FB4" w:rsidRDefault="00642FB4">
      <w:pPr>
        <w:widowControl w:val="0"/>
        <w:autoSpaceDE w:val="0"/>
        <w:autoSpaceDN w:val="0"/>
        <w:adjustRightInd w:val="0"/>
        <w:spacing w:before="60" w:after="60" w:line="288" w:lineRule="auto"/>
        <w:ind w:firstLine="706"/>
        <w:jc w:val="both"/>
        <w:rPr>
          <w:rFonts w:cs="Arial"/>
          <w:sz w:val="10"/>
          <w:szCs w:val="10"/>
        </w:rPr>
      </w:pPr>
    </w:p>
    <w:p w:rsidR="00642FB4" w:rsidRDefault="00642FB4">
      <w:pPr>
        <w:autoSpaceDE w:val="0"/>
        <w:autoSpaceDN w:val="0"/>
        <w:adjustRightInd w:val="0"/>
        <w:spacing w:before="60" w:after="60" w:line="288" w:lineRule="auto"/>
        <w:ind w:firstLine="630"/>
        <w:jc w:val="both"/>
      </w:pPr>
      <w:r>
        <w:t>Основну питому вагу у загальному обсязі викидів NO</w:t>
      </w:r>
      <w:r>
        <w:rPr>
          <w:vertAlign w:val="subscript"/>
        </w:rPr>
        <w:t xml:space="preserve">x </w:t>
      </w:r>
      <w:r>
        <w:t xml:space="preserve">займають викиди від дорожнього руху (від вихлопних газів), що представляє бл. 65% від загального значення в окрузі в 2013 році, з яких бл. 55% від руху важких вантажних автомобілів. </w:t>
      </w:r>
    </w:p>
    <w:p w:rsidR="00642FB4" w:rsidRDefault="00642FB4">
      <w:pPr>
        <w:autoSpaceDE w:val="0"/>
        <w:autoSpaceDN w:val="0"/>
        <w:adjustRightInd w:val="0"/>
        <w:spacing w:before="60" w:after="60" w:line="288" w:lineRule="auto"/>
        <w:ind w:firstLine="630"/>
        <w:jc w:val="both"/>
      </w:pPr>
      <w:r>
        <w:t>Іншими видами діяльності, які внесли вклад у загальний обсяг викидів NO</w:t>
      </w:r>
      <w:r>
        <w:rPr>
          <w:vertAlign w:val="subscript"/>
        </w:rPr>
        <w:t>x</w:t>
      </w:r>
      <w:r>
        <w:t xml:space="preserve"> в 2013 році є:</w:t>
      </w:r>
    </w:p>
    <w:p w:rsidR="00642FB4" w:rsidRDefault="00642FB4">
      <w:pPr>
        <w:numPr>
          <w:ilvl w:val="0"/>
          <w:numId w:val="30"/>
        </w:numPr>
        <w:spacing w:before="60" w:after="60" w:line="288" w:lineRule="auto"/>
        <w:ind w:left="993" w:hanging="284"/>
        <w:jc w:val="both"/>
        <w:rPr>
          <w:rFonts w:eastAsia="EUAlbertina-Regular-Identity-H"/>
          <w:bCs/>
        </w:rPr>
      </w:pPr>
      <w:r>
        <w:t>житлові установки для випалювання, код NFR 1.A.4.b.i., з 14% від загального обсягу у повіті;</w:t>
      </w:r>
    </w:p>
    <w:p w:rsidR="00642FB4" w:rsidRDefault="00642FB4">
      <w:pPr>
        <w:numPr>
          <w:ilvl w:val="0"/>
          <w:numId w:val="30"/>
        </w:numPr>
        <w:spacing w:before="60" w:after="60" w:line="288" w:lineRule="auto"/>
        <w:ind w:left="993" w:hanging="284"/>
        <w:jc w:val="both"/>
        <w:rPr>
          <w:rFonts w:eastAsia="EUAlbertina-Regular-Identity-H"/>
          <w:bCs/>
        </w:rPr>
      </w:pPr>
      <w:r>
        <w:t>виробництво електроенергії і тепловій енергії в установках для спалювання  АО ТЕРМІКА ТТ Сучава, код NFR 1.A.1.a, з 8,5% від загального обсягу у повіті;</w:t>
      </w:r>
    </w:p>
    <w:p w:rsidR="00642FB4" w:rsidRDefault="00642FB4">
      <w:pPr>
        <w:numPr>
          <w:ilvl w:val="0"/>
          <w:numId w:val="30"/>
        </w:numPr>
        <w:spacing w:before="60" w:after="60" w:line="288" w:lineRule="auto"/>
        <w:ind w:left="993" w:hanging="284"/>
        <w:jc w:val="both"/>
        <w:rPr>
          <w:rFonts w:eastAsia="EUAlbertina-Regular-Identity-H"/>
          <w:bCs/>
        </w:rPr>
      </w:pPr>
      <w:r>
        <w:t>спалювання в обробній промисловості та будівництві - інші стаціонарні джерела, код NFR 1.A.2.f.i., з 5,7%  від загального обсягу;</w:t>
      </w:r>
    </w:p>
    <w:p w:rsidR="00642FB4" w:rsidRDefault="00642FB4">
      <w:pPr>
        <w:numPr>
          <w:ilvl w:val="0"/>
          <w:numId w:val="30"/>
        </w:numPr>
        <w:spacing w:before="60" w:after="60" w:line="288" w:lineRule="auto"/>
        <w:ind w:left="993" w:hanging="284"/>
        <w:jc w:val="both"/>
        <w:rPr>
          <w:rFonts w:eastAsia="EUAlbertina-Regular-Identity-H"/>
          <w:bCs/>
        </w:rPr>
      </w:pPr>
      <w:r>
        <w:t>позашляхова мобільна техніка та обладнання в обробній промисловості та будівельні, код NFR 1.A.2.f.ii., з 4% і так далі</w:t>
      </w:r>
    </w:p>
    <w:p w:rsidR="00642FB4" w:rsidRDefault="00642FB4">
      <w:pPr>
        <w:autoSpaceDE w:val="0"/>
        <w:autoSpaceDN w:val="0"/>
        <w:adjustRightInd w:val="0"/>
        <w:spacing w:before="60" w:after="60" w:line="288" w:lineRule="auto"/>
        <w:jc w:val="both"/>
        <w:rPr>
          <w:rFonts w:cs="Arial"/>
          <w:bCs/>
          <w:i/>
        </w:rPr>
      </w:pPr>
    </w:p>
    <w:p w:rsidR="00642FB4" w:rsidRDefault="00642FB4">
      <w:pPr>
        <w:autoSpaceDE w:val="0"/>
        <w:autoSpaceDN w:val="0"/>
        <w:adjustRightInd w:val="0"/>
        <w:spacing w:before="60" w:after="60" w:line="288" w:lineRule="auto"/>
        <w:ind w:firstLine="630"/>
        <w:jc w:val="both"/>
        <w:rPr>
          <w:rFonts w:cs="Arial"/>
          <w:bCs/>
          <w:i/>
        </w:rPr>
      </w:pPr>
      <w:r>
        <w:rPr>
          <w:i/>
        </w:rPr>
        <w:t>Тверді частинки</w:t>
      </w:r>
    </w:p>
    <w:p w:rsidR="00642FB4" w:rsidRDefault="00642FB4">
      <w:pPr>
        <w:widowControl w:val="0"/>
        <w:spacing w:before="60" w:after="60" w:line="288" w:lineRule="auto"/>
        <w:ind w:firstLine="630"/>
        <w:jc w:val="both"/>
        <w:rPr>
          <w:rFonts w:cs="Arial"/>
        </w:rPr>
      </w:pPr>
      <w:r>
        <w:t xml:space="preserve">Приблизно 96% від загального обсягу інвентаризованих викидів твердих частинок в 2013 році у повіті, тобто близько 90% від загального обсягу частинок РМ10 і 96% від загального обсягу PM2.5 походять від </w:t>
      </w:r>
      <w:r>
        <w:rPr>
          <w:b/>
        </w:rPr>
        <w:t>житлових установок</w:t>
      </w:r>
      <w:r>
        <w:t xml:space="preserve"> для опалення і приготування їжі (обласні джерела), включені в код NFR 1.A.4.b.i., в основному від спалювання деревини. Внесок викидів транспортних викидів був приблизно 2,3% для твердих частинок PM10, та відповідно 2% для фракції PM2.5. </w:t>
      </w:r>
    </w:p>
    <w:p w:rsidR="00642FB4" w:rsidRDefault="00642FB4">
      <w:pPr>
        <w:widowControl w:val="0"/>
        <w:spacing w:before="60" w:after="60" w:line="288" w:lineRule="auto"/>
        <w:ind w:firstLine="630"/>
        <w:jc w:val="both"/>
        <w:rPr>
          <w:rFonts w:cs="Arial"/>
        </w:rPr>
      </w:pPr>
    </w:p>
    <w:p w:rsidR="00642FB4" w:rsidRDefault="00642FB4">
      <w:pPr>
        <w:autoSpaceDE w:val="0"/>
        <w:autoSpaceDN w:val="0"/>
        <w:adjustRightInd w:val="0"/>
        <w:spacing w:before="60" w:after="60" w:line="288" w:lineRule="auto"/>
        <w:ind w:left="360"/>
        <w:jc w:val="center"/>
        <w:rPr>
          <w:rFonts w:eastAsia="Calibri" w:cs="Arial"/>
          <w:b/>
          <w:bCs/>
          <w:i/>
          <w:sz w:val="22"/>
          <w:szCs w:val="22"/>
        </w:rPr>
      </w:pPr>
      <w:r>
        <w:rPr>
          <w:b/>
          <w:i/>
          <w:sz w:val="22"/>
        </w:rPr>
        <w:t xml:space="preserve">Таблиця 4.4.3 </w:t>
      </w:r>
      <w:r>
        <w:t>Викиди твердих частинок в атмосферу</w:t>
      </w:r>
    </w:p>
    <w:tbl>
      <w:tblPr>
        <w:tblW w:w="7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54"/>
        <w:gridCol w:w="1855"/>
        <w:gridCol w:w="1855"/>
        <w:gridCol w:w="1855"/>
      </w:tblGrid>
      <w:tr w:rsidR="00642FB4">
        <w:trPr>
          <w:trHeight w:hRule="exact" w:val="255"/>
          <w:tblHeader/>
          <w:jc w:val="center"/>
        </w:trPr>
        <w:tc>
          <w:tcPr>
            <w:tcW w:w="1854" w:type="dxa"/>
            <w:shd w:val="clear" w:color="auto" w:fill="auto"/>
          </w:tcPr>
          <w:p w:rsidR="00642FB4" w:rsidRDefault="00642FB4">
            <w:pPr>
              <w:widowControl w:val="0"/>
              <w:jc w:val="both"/>
              <w:rPr>
                <w:rFonts w:cs="Arial"/>
                <w:b/>
                <w:sz w:val="20"/>
                <w:szCs w:val="20"/>
              </w:rPr>
            </w:pPr>
            <w:r>
              <w:rPr>
                <w:b/>
                <w:sz w:val="20"/>
              </w:rPr>
              <w:t>Рік</w:t>
            </w:r>
          </w:p>
        </w:tc>
        <w:tc>
          <w:tcPr>
            <w:tcW w:w="1855" w:type="dxa"/>
            <w:shd w:val="clear" w:color="auto" w:fill="auto"/>
          </w:tcPr>
          <w:p w:rsidR="00642FB4" w:rsidRDefault="00642FB4">
            <w:pPr>
              <w:jc w:val="both"/>
              <w:rPr>
                <w:rFonts w:cs="Arial"/>
                <w:b/>
                <w:sz w:val="20"/>
                <w:szCs w:val="20"/>
              </w:rPr>
            </w:pPr>
            <w:r>
              <w:rPr>
                <w:b/>
                <w:sz w:val="20"/>
              </w:rPr>
              <w:t>Сумарна кількість твердих частинок</w:t>
            </w:r>
          </w:p>
        </w:tc>
        <w:tc>
          <w:tcPr>
            <w:tcW w:w="1855" w:type="dxa"/>
            <w:shd w:val="clear" w:color="auto" w:fill="auto"/>
            <w:noWrap/>
          </w:tcPr>
          <w:p w:rsidR="00642FB4" w:rsidRDefault="00642FB4">
            <w:pPr>
              <w:jc w:val="both"/>
              <w:rPr>
                <w:rFonts w:cs="Arial"/>
                <w:b/>
                <w:sz w:val="20"/>
                <w:szCs w:val="20"/>
              </w:rPr>
            </w:pPr>
            <w:r>
              <w:rPr>
                <w:b/>
                <w:sz w:val="20"/>
              </w:rPr>
              <w:t>Тверді частинки PM2,5</w:t>
            </w:r>
          </w:p>
        </w:tc>
        <w:tc>
          <w:tcPr>
            <w:tcW w:w="1855" w:type="dxa"/>
            <w:shd w:val="clear" w:color="auto" w:fill="auto"/>
            <w:noWrap/>
          </w:tcPr>
          <w:p w:rsidR="00642FB4" w:rsidRDefault="00642FB4">
            <w:pPr>
              <w:jc w:val="both"/>
              <w:rPr>
                <w:rFonts w:cs="Arial"/>
                <w:b/>
                <w:sz w:val="20"/>
                <w:szCs w:val="20"/>
              </w:rPr>
            </w:pPr>
            <w:r>
              <w:rPr>
                <w:b/>
                <w:sz w:val="20"/>
              </w:rPr>
              <w:t>Тверді частинки PM10</w:t>
            </w:r>
          </w:p>
        </w:tc>
      </w:tr>
      <w:tr w:rsidR="00642FB4">
        <w:trPr>
          <w:trHeight w:hRule="exact" w:val="286"/>
          <w:jc w:val="center"/>
        </w:trPr>
        <w:tc>
          <w:tcPr>
            <w:tcW w:w="1854" w:type="dxa"/>
            <w:shd w:val="clear" w:color="auto" w:fill="auto"/>
          </w:tcPr>
          <w:p w:rsidR="00642FB4" w:rsidRDefault="00642FB4">
            <w:pPr>
              <w:widowControl w:val="0"/>
              <w:jc w:val="both"/>
              <w:rPr>
                <w:rFonts w:cs="Arial"/>
                <w:b/>
                <w:sz w:val="20"/>
                <w:szCs w:val="20"/>
              </w:rPr>
            </w:pPr>
            <w:r>
              <w:rPr>
                <w:b/>
                <w:sz w:val="20"/>
              </w:rPr>
              <w:t>2011</w:t>
            </w:r>
          </w:p>
        </w:tc>
        <w:tc>
          <w:tcPr>
            <w:tcW w:w="1855" w:type="dxa"/>
          </w:tcPr>
          <w:p w:rsidR="00642FB4" w:rsidRDefault="00642FB4">
            <w:pPr>
              <w:widowControl w:val="0"/>
              <w:jc w:val="right"/>
              <w:rPr>
                <w:rFonts w:cs="Arial"/>
                <w:sz w:val="20"/>
                <w:szCs w:val="20"/>
              </w:rPr>
            </w:pPr>
            <w:r>
              <w:rPr>
                <w:sz w:val="20"/>
              </w:rPr>
              <w:t>3 843</w:t>
            </w:r>
          </w:p>
        </w:tc>
        <w:tc>
          <w:tcPr>
            <w:tcW w:w="1855" w:type="dxa"/>
            <w:shd w:val="clear" w:color="auto" w:fill="auto"/>
            <w:noWrap/>
          </w:tcPr>
          <w:p w:rsidR="00642FB4" w:rsidRDefault="00642FB4">
            <w:pPr>
              <w:widowControl w:val="0"/>
              <w:jc w:val="right"/>
              <w:rPr>
                <w:rFonts w:cs="Arial"/>
                <w:sz w:val="20"/>
                <w:szCs w:val="20"/>
              </w:rPr>
            </w:pPr>
            <w:r>
              <w:rPr>
                <w:sz w:val="20"/>
              </w:rPr>
              <w:t>3 674</w:t>
            </w:r>
          </w:p>
        </w:tc>
        <w:tc>
          <w:tcPr>
            <w:tcW w:w="1855" w:type="dxa"/>
            <w:shd w:val="clear" w:color="auto" w:fill="auto"/>
            <w:noWrap/>
          </w:tcPr>
          <w:p w:rsidR="00642FB4" w:rsidRDefault="00642FB4">
            <w:pPr>
              <w:widowControl w:val="0"/>
              <w:jc w:val="right"/>
              <w:rPr>
                <w:rFonts w:cs="Arial"/>
                <w:sz w:val="20"/>
                <w:szCs w:val="20"/>
              </w:rPr>
            </w:pPr>
            <w:r>
              <w:rPr>
                <w:sz w:val="20"/>
              </w:rPr>
              <w:t>3 887</w:t>
            </w:r>
          </w:p>
        </w:tc>
      </w:tr>
      <w:tr w:rsidR="00642FB4">
        <w:trPr>
          <w:trHeight w:hRule="exact" w:val="277"/>
          <w:jc w:val="center"/>
        </w:trPr>
        <w:tc>
          <w:tcPr>
            <w:tcW w:w="1854" w:type="dxa"/>
            <w:shd w:val="clear" w:color="auto" w:fill="auto"/>
          </w:tcPr>
          <w:p w:rsidR="00642FB4" w:rsidRDefault="00642FB4">
            <w:pPr>
              <w:widowControl w:val="0"/>
              <w:jc w:val="both"/>
              <w:rPr>
                <w:rFonts w:cs="Arial"/>
                <w:b/>
                <w:sz w:val="20"/>
                <w:szCs w:val="20"/>
              </w:rPr>
            </w:pPr>
            <w:r>
              <w:rPr>
                <w:b/>
                <w:sz w:val="20"/>
              </w:rPr>
              <w:t>2012*</w:t>
            </w:r>
          </w:p>
        </w:tc>
        <w:tc>
          <w:tcPr>
            <w:tcW w:w="1855" w:type="dxa"/>
          </w:tcPr>
          <w:p w:rsidR="00642FB4" w:rsidRDefault="00642FB4">
            <w:pPr>
              <w:widowControl w:val="0"/>
              <w:jc w:val="right"/>
              <w:rPr>
                <w:rFonts w:cs="Arial"/>
                <w:sz w:val="20"/>
                <w:szCs w:val="20"/>
              </w:rPr>
            </w:pPr>
            <w:r>
              <w:rPr>
                <w:sz w:val="20"/>
              </w:rPr>
              <w:t>1 387</w:t>
            </w:r>
          </w:p>
        </w:tc>
        <w:tc>
          <w:tcPr>
            <w:tcW w:w="1855" w:type="dxa"/>
            <w:shd w:val="clear" w:color="auto" w:fill="auto"/>
            <w:noWrap/>
          </w:tcPr>
          <w:p w:rsidR="00642FB4" w:rsidRDefault="00642FB4">
            <w:pPr>
              <w:widowControl w:val="0"/>
              <w:jc w:val="right"/>
              <w:rPr>
                <w:rFonts w:cs="Arial"/>
                <w:sz w:val="20"/>
                <w:szCs w:val="20"/>
              </w:rPr>
            </w:pPr>
            <w:r>
              <w:rPr>
                <w:sz w:val="20"/>
              </w:rPr>
              <w:t>1 246</w:t>
            </w:r>
          </w:p>
        </w:tc>
        <w:tc>
          <w:tcPr>
            <w:tcW w:w="1855" w:type="dxa"/>
            <w:shd w:val="clear" w:color="auto" w:fill="auto"/>
            <w:noWrap/>
          </w:tcPr>
          <w:p w:rsidR="00642FB4" w:rsidRDefault="00642FB4">
            <w:pPr>
              <w:widowControl w:val="0"/>
              <w:jc w:val="right"/>
              <w:rPr>
                <w:rFonts w:cs="Arial"/>
                <w:sz w:val="20"/>
                <w:szCs w:val="20"/>
              </w:rPr>
            </w:pPr>
            <w:r>
              <w:rPr>
                <w:sz w:val="20"/>
              </w:rPr>
              <w:t>1 284</w:t>
            </w:r>
          </w:p>
        </w:tc>
      </w:tr>
      <w:tr w:rsidR="00642FB4">
        <w:trPr>
          <w:trHeight w:hRule="exact" w:val="294"/>
          <w:jc w:val="center"/>
        </w:trPr>
        <w:tc>
          <w:tcPr>
            <w:tcW w:w="1854" w:type="dxa"/>
            <w:shd w:val="clear" w:color="auto" w:fill="auto"/>
          </w:tcPr>
          <w:p w:rsidR="00642FB4" w:rsidRDefault="00642FB4">
            <w:pPr>
              <w:widowControl w:val="0"/>
              <w:jc w:val="both"/>
              <w:rPr>
                <w:rFonts w:cs="Arial"/>
                <w:b/>
                <w:sz w:val="20"/>
                <w:szCs w:val="20"/>
              </w:rPr>
            </w:pPr>
            <w:r>
              <w:rPr>
                <w:b/>
                <w:sz w:val="20"/>
              </w:rPr>
              <w:t>2013</w:t>
            </w:r>
          </w:p>
        </w:tc>
        <w:tc>
          <w:tcPr>
            <w:tcW w:w="1855" w:type="dxa"/>
          </w:tcPr>
          <w:p w:rsidR="00642FB4" w:rsidRDefault="00642FB4">
            <w:pPr>
              <w:widowControl w:val="0"/>
              <w:jc w:val="right"/>
              <w:rPr>
                <w:rFonts w:cs="Arial"/>
                <w:sz w:val="20"/>
                <w:szCs w:val="20"/>
              </w:rPr>
            </w:pPr>
            <w:r>
              <w:rPr>
                <w:sz w:val="20"/>
              </w:rPr>
              <w:t>4 606</w:t>
            </w:r>
          </w:p>
        </w:tc>
        <w:tc>
          <w:tcPr>
            <w:tcW w:w="1855" w:type="dxa"/>
            <w:shd w:val="clear" w:color="auto" w:fill="auto"/>
            <w:noWrap/>
          </w:tcPr>
          <w:p w:rsidR="00642FB4" w:rsidRDefault="00642FB4">
            <w:pPr>
              <w:widowControl w:val="0"/>
              <w:jc w:val="right"/>
              <w:rPr>
                <w:rFonts w:cs="Arial"/>
                <w:sz w:val="20"/>
                <w:szCs w:val="20"/>
              </w:rPr>
            </w:pPr>
            <w:r>
              <w:rPr>
                <w:sz w:val="20"/>
              </w:rPr>
              <w:t>4 378</w:t>
            </w:r>
          </w:p>
        </w:tc>
        <w:tc>
          <w:tcPr>
            <w:tcW w:w="1855" w:type="dxa"/>
            <w:shd w:val="clear" w:color="auto" w:fill="auto"/>
            <w:noWrap/>
          </w:tcPr>
          <w:p w:rsidR="00642FB4" w:rsidRDefault="00642FB4">
            <w:pPr>
              <w:widowControl w:val="0"/>
              <w:jc w:val="right"/>
              <w:rPr>
                <w:rFonts w:cs="Arial"/>
                <w:sz w:val="20"/>
                <w:szCs w:val="20"/>
              </w:rPr>
            </w:pPr>
            <w:r>
              <w:rPr>
                <w:sz w:val="20"/>
              </w:rPr>
              <w:t>4 680</w:t>
            </w:r>
          </w:p>
        </w:tc>
      </w:tr>
    </w:tbl>
    <w:p w:rsidR="00642FB4" w:rsidRDefault="00642FB4">
      <w:pPr>
        <w:autoSpaceDE w:val="0"/>
        <w:autoSpaceDN w:val="0"/>
        <w:adjustRightInd w:val="0"/>
        <w:spacing w:before="60" w:after="60" w:line="288" w:lineRule="auto"/>
        <w:ind w:left="1418" w:right="1555"/>
        <w:jc w:val="both"/>
        <w:rPr>
          <w:i/>
          <w:sz w:val="16"/>
          <w:szCs w:val="16"/>
        </w:rPr>
      </w:pPr>
      <w:r>
        <w:rPr>
          <w:i/>
          <w:sz w:val="16"/>
        </w:rPr>
        <w:t xml:space="preserve">* Більш низькі значення викидів твердих частинок з 2012 р через недоповідання в 2012 році бл. 2/3 мерій повіту про рівень споживання деревини населенням в їх населених пунктах (в основному сільських). </w:t>
      </w:r>
    </w:p>
    <w:p w:rsidR="00642FB4" w:rsidRDefault="00642FB4">
      <w:pPr>
        <w:autoSpaceDE w:val="0"/>
        <w:autoSpaceDN w:val="0"/>
        <w:adjustRightInd w:val="0"/>
        <w:spacing w:before="60" w:after="60" w:line="288" w:lineRule="auto"/>
        <w:jc w:val="both"/>
        <w:rPr>
          <w:rFonts w:cs="Arial"/>
          <w:bCs/>
        </w:rPr>
      </w:pPr>
    </w:p>
    <w:p w:rsidR="00642FB4" w:rsidRDefault="00642FB4">
      <w:pPr>
        <w:widowControl w:val="0"/>
        <w:spacing w:before="60" w:after="60" w:line="288" w:lineRule="auto"/>
        <w:ind w:firstLine="720"/>
        <w:jc w:val="both"/>
        <w:rPr>
          <w:rFonts w:cs="Arial"/>
        </w:rPr>
      </w:pPr>
      <w:r>
        <w:t>У 2013 році моніторинг якості повітря був проведений в повіті Сучава на  тих чотирьох автоматичних станціях моніторингу, які належать Національній Мережі Моніторингу Якості Повітря на наступні забруднюючі речовини, які регулюються Законом №. 104/2011 та метеорологічні параметри:</w:t>
      </w:r>
    </w:p>
    <w:p w:rsidR="00642FB4" w:rsidRDefault="00642FB4">
      <w:pPr>
        <w:widowControl w:val="0"/>
        <w:spacing w:before="60" w:after="60" w:line="288" w:lineRule="auto"/>
        <w:ind w:firstLine="720"/>
        <w:jc w:val="both"/>
        <w:rPr>
          <w:rFonts w:cs="Arial"/>
          <w:sz w:val="10"/>
          <w:szCs w:val="10"/>
        </w:rPr>
      </w:pPr>
    </w:p>
    <w:p w:rsidR="00642FB4" w:rsidRDefault="00642FB4">
      <w:pPr>
        <w:widowControl w:val="0"/>
        <w:numPr>
          <w:ilvl w:val="0"/>
          <w:numId w:val="8"/>
        </w:numPr>
        <w:autoSpaceDE w:val="0"/>
        <w:autoSpaceDN w:val="0"/>
        <w:adjustRightInd w:val="0"/>
        <w:spacing w:before="60" w:after="60" w:line="288" w:lineRule="auto"/>
        <w:ind w:left="1080"/>
        <w:jc w:val="both"/>
        <w:rPr>
          <w:rFonts w:cs="Arial"/>
        </w:rPr>
      </w:pPr>
      <w:r>
        <w:rPr>
          <w:b/>
        </w:rPr>
        <w:t xml:space="preserve">Міська станція  SV1: </w:t>
      </w:r>
      <w:r>
        <w:t>діоксид сірки (SO</w:t>
      </w:r>
      <w:r>
        <w:rPr>
          <w:vertAlign w:val="subscript"/>
        </w:rPr>
        <w:t>2</w:t>
      </w:r>
      <w:r>
        <w:t>), оксиди азоту (NO, NO</w:t>
      </w:r>
      <w:r>
        <w:rPr>
          <w:vertAlign w:val="subscript"/>
        </w:rPr>
        <w:t>2</w:t>
      </w:r>
      <w:r>
        <w:t>, NO</w:t>
      </w:r>
      <w:r>
        <w:rPr>
          <w:vertAlign w:val="subscript"/>
        </w:rPr>
        <w:t>x</w:t>
      </w:r>
      <w:r>
        <w:t>), монооксиду вуглецю (CO), озон (O</w:t>
      </w:r>
      <w:r>
        <w:rPr>
          <w:vertAlign w:val="subscript"/>
        </w:rPr>
        <w:t>3</w:t>
      </w:r>
      <w:r>
        <w:t>), бензол (C</w:t>
      </w:r>
      <w:r>
        <w:rPr>
          <w:vertAlign w:val="subscript"/>
        </w:rPr>
        <w:t>6</w:t>
      </w:r>
      <w:r>
        <w:t>H</w:t>
      </w:r>
      <w:r>
        <w:rPr>
          <w:vertAlign w:val="subscript"/>
        </w:rPr>
        <w:t>6</w:t>
      </w:r>
      <w:r>
        <w:t xml:space="preserve">), толуол, етілбензол, о-, м-, п-ксилол, тверді частинки PM2,5 (гравіметричний метод), PM10 (гравіметричний та автоматичний метод) та метеорологічні параметри (швидкість і напрямок вітру, тиск, температура, сонячна радіація, відносна вологість, опади). </w:t>
      </w:r>
    </w:p>
    <w:p w:rsidR="00642FB4" w:rsidRDefault="00642FB4">
      <w:pPr>
        <w:widowControl w:val="0"/>
        <w:numPr>
          <w:ilvl w:val="0"/>
          <w:numId w:val="8"/>
        </w:numPr>
        <w:autoSpaceDE w:val="0"/>
        <w:autoSpaceDN w:val="0"/>
        <w:adjustRightInd w:val="0"/>
        <w:spacing w:before="60" w:after="60" w:line="288" w:lineRule="auto"/>
        <w:ind w:left="1080"/>
        <w:jc w:val="both"/>
        <w:rPr>
          <w:rFonts w:cs="Arial"/>
        </w:rPr>
      </w:pPr>
      <w:r>
        <w:rPr>
          <w:b/>
        </w:rPr>
        <w:t xml:space="preserve">Станція промислового типу SV2: </w:t>
      </w:r>
      <w:r>
        <w:t>діоксид сірки (SO</w:t>
      </w:r>
      <w:r>
        <w:rPr>
          <w:vertAlign w:val="subscript"/>
        </w:rPr>
        <w:t>2</w:t>
      </w:r>
      <w:r>
        <w:t>), оксиди азоту (NO, NO</w:t>
      </w:r>
      <w:r>
        <w:rPr>
          <w:vertAlign w:val="subscript"/>
        </w:rPr>
        <w:t>2</w:t>
      </w:r>
      <w:r>
        <w:t>, NO</w:t>
      </w:r>
      <w:r>
        <w:rPr>
          <w:vertAlign w:val="subscript"/>
        </w:rPr>
        <w:t>x</w:t>
      </w:r>
      <w:r>
        <w:t>), тверді частинки PM10 (гравіметричний метод) та метеорологічні параметри (швидкість і напрямок вітру, тиск, температура, сонячна радіація, відносна вологість, опади).</w:t>
      </w:r>
    </w:p>
    <w:p w:rsidR="00642FB4" w:rsidRDefault="00642FB4">
      <w:pPr>
        <w:widowControl w:val="0"/>
        <w:numPr>
          <w:ilvl w:val="0"/>
          <w:numId w:val="8"/>
        </w:numPr>
        <w:autoSpaceDE w:val="0"/>
        <w:autoSpaceDN w:val="0"/>
        <w:adjustRightInd w:val="0"/>
        <w:spacing w:before="60" w:after="60" w:line="288" w:lineRule="auto"/>
        <w:ind w:left="1080"/>
        <w:jc w:val="both"/>
        <w:rPr>
          <w:rFonts w:cs="Arial"/>
        </w:rPr>
      </w:pPr>
      <w:r>
        <w:rPr>
          <w:b/>
        </w:rPr>
        <w:t xml:space="preserve">Станція для дорожнього руху SV2: </w:t>
      </w:r>
      <w:r>
        <w:t>оксиди азоту (NO, NO</w:t>
      </w:r>
      <w:r>
        <w:rPr>
          <w:vertAlign w:val="subscript"/>
        </w:rPr>
        <w:t>2</w:t>
      </w:r>
      <w:r>
        <w:t>, NO</w:t>
      </w:r>
      <w:r>
        <w:rPr>
          <w:vertAlign w:val="subscript"/>
        </w:rPr>
        <w:t>x</w:t>
      </w:r>
      <w:r>
        <w:t>), тверді частинки PM10 (гравіметричний метод) та метеорологічні параметри (швидкість і напрямок вітру, тиск, температура, сонячна радіація, опади).</w:t>
      </w:r>
    </w:p>
    <w:p w:rsidR="00642FB4" w:rsidRDefault="00642FB4">
      <w:pPr>
        <w:widowControl w:val="0"/>
        <w:numPr>
          <w:ilvl w:val="0"/>
          <w:numId w:val="8"/>
        </w:numPr>
        <w:autoSpaceDE w:val="0"/>
        <w:autoSpaceDN w:val="0"/>
        <w:adjustRightInd w:val="0"/>
        <w:spacing w:before="60" w:after="60" w:line="288" w:lineRule="auto"/>
        <w:ind w:left="1080"/>
        <w:jc w:val="both"/>
        <w:rPr>
          <w:rFonts w:cs="Arial"/>
        </w:rPr>
      </w:pPr>
      <w:r>
        <w:rPr>
          <w:b/>
        </w:rPr>
        <w:t xml:space="preserve">Регіональна станція EM-3: </w:t>
      </w:r>
      <w:r>
        <w:t>діоксид сірки (SO</w:t>
      </w:r>
      <w:r>
        <w:rPr>
          <w:vertAlign w:val="subscript"/>
        </w:rPr>
        <w:t>2</w:t>
      </w:r>
      <w:r>
        <w:t>), оксиди азоту (NO, NO</w:t>
      </w:r>
      <w:r>
        <w:rPr>
          <w:vertAlign w:val="subscript"/>
        </w:rPr>
        <w:t>2</w:t>
      </w:r>
      <w:r>
        <w:t>, NO</w:t>
      </w:r>
      <w:r>
        <w:rPr>
          <w:vertAlign w:val="subscript"/>
        </w:rPr>
        <w:t>x</w:t>
      </w:r>
      <w:r>
        <w:t xml:space="preserve">), озон (O), тверді частинки PM10 (гравіметричний метод) та метеорологічні параметри (швидкість і напрямок вітру, тиск, температура, сонячна радіація, відносна вологість, опади). </w:t>
      </w:r>
    </w:p>
    <w:p w:rsidR="00642FB4" w:rsidRDefault="00642FB4">
      <w:pPr>
        <w:autoSpaceDE w:val="0"/>
        <w:autoSpaceDN w:val="0"/>
        <w:adjustRightInd w:val="0"/>
        <w:spacing w:before="60" w:after="60" w:line="288" w:lineRule="auto"/>
        <w:jc w:val="both"/>
        <w:rPr>
          <w:rFonts w:cs="Arial"/>
          <w:bCs/>
        </w:rPr>
      </w:pPr>
    </w:p>
    <w:p w:rsidR="00642FB4" w:rsidRDefault="00642FB4">
      <w:pPr>
        <w:autoSpaceDE w:val="0"/>
        <w:autoSpaceDN w:val="0"/>
        <w:adjustRightInd w:val="0"/>
        <w:spacing w:before="60" w:after="60" w:line="288" w:lineRule="auto"/>
        <w:ind w:firstLine="720"/>
        <w:jc w:val="both"/>
        <w:rPr>
          <w:rFonts w:cs="Arial"/>
        </w:rPr>
      </w:pPr>
      <w:r>
        <w:rPr>
          <w:i/>
        </w:rPr>
        <w:t>Діоксид сірки (SO</w:t>
      </w:r>
      <w:r>
        <w:rPr>
          <w:i/>
          <w:vertAlign w:val="subscript"/>
        </w:rPr>
        <w:t>2</w:t>
      </w:r>
      <w:r>
        <w:rPr>
          <w:i/>
        </w:rPr>
        <w:t>)</w:t>
      </w:r>
    </w:p>
    <w:p w:rsidR="00642FB4" w:rsidRDefault="00642FB4">
      <w:pPr>
        <w:widowControl w:val="0"/>
        <w:spacing w:before="60" w:after="60" w:line="288" w:lineRule="auto"/>
        <w:ind w:firstLine="720"/>
        <w:jc w:val="both"/>
        <w:rPr>
          <w:rFonts w:cs="Arial"/>
        </w:rPr>
      </w:pPr>
      <w:r>
        <w:t xml:space="preserve">Вимірювання діоксиду сірки в 2013 році показали, що якість повітря є </w:t>
      </w:r>
      <w:r>
        <w:rPr>
          <w:b/>
        </w:rPr>
        <w:t>від відмінної до доброї</w:t>
      </w:r>
      <w:r>
        <w:t xml:space="preserve"> в Сучаві на станціях SV2 та </w:t>
      </w:r>
      <w:r>
        <w:rPr>
          <w:b/>
        </w:rPr>
        <w:t>відмінною</w:t>
      </w:r>
      <w:r>
        <w:t xml:space="preserve"> на </w:t>
      </w:r>
      <w:r>
        <w:rPr>
          <w:b/>
        </w:rPr>
        <w:t>EM3</w:t>
      </w:r>
      <w:r>
        <w:t xml:space="preserve"> в Пояна Стампей.</w:t>
      </w:r>
    </w:p>
    <w:p w:rsidR="00642FB4" w:rsidRDefault="00642FB4">
      <w:pPr>
        <w:autoSpaceDE w:val="0"/>
        <w:autoSpaceDN w:val="0"/>
        <w:adjustRightInd w:val="0"/>
        <w:spacing w:before="60" w:after="60" w:line="288" w:lineRule="auto"/>
        <w:ind w:firstLine="720"/>
        <w:jc w:val="both"/>
        <w:rPr>
          <w:rFonts w:cs="Arial"/>
          <w:i/>
        </w:rPr>
      </w:pPr>
    </w:p>
    <w:p w:rsidR="00642FB4" w:rsidRDefault="00642FB4">
      <w:pPr>
        <w:autoSpaceDE w:val="0"/>
        <w:autoSpaceDN w:val="0"/>
        <w:adjustRightInd w:val="0"/>
        <w:spacing w:before="60" w:after="60" w:line="288" w:lineRule="auto"/>
        <w:ind w:firstLine="720"/>
        <w:jc w:val="both"/>
        <w:rPr>
          <w:rFonts w:cs="Arial"/>
          <w:i/>
        </w:rPr>
      </w:pPr>
      <w:r>
        <w:rPr>
          <w:i/>
        </w:rPr>
        <w:t>Оксиди азоту (NOx)</w:t>
      </w:r>
    </w:p>
    <w:p w:rsidR="00642FB4" w:rsidRDefault="00642FB4">
      <w:pPr>
        <w:widowControl w:val="0"/>
        <w:spacing w:before="60" w:after="60" w:line="288" w:lineRule="auto"/>
        <w:ind w:firstLine="720"/>
        <w:jc w:val="both"/>
        <w:rPr>
          <w:rFonts w:cs="Arial"/>
        </w:rPr>
      </w:pPr>
      <w:r>
        <w:t>Вимірювання</w:t>
      </w:r>
      <w:r>
        <w:rPr>
          <w:b/>
        </w:rPr>
        <w:t xml:space="preserve"> діоксиду сірки</w:t>
      </w:r>
      <w:r>
        <w:t xml:space="preserve"> в 2013 році показали, що якість повітря є </w:t>
      </w:r>
      <w:r>
        <w:rPr>
          <w:b/>
        </w:rPr>
        <w:t>від відмінної до доброї</w:t>
      </w:r>
      <w:r>
        <w:t xml:space="preserve"> в Сучаві на станціях </w:t>
      </w:r>
      <w:r>
        <w:rPr>
          <w:b/>
        </w:rPr>
        <w:t>SV2</w:t>
      </w:r>
      <w:r>
        <w:t xml:space="preserve"> та </w:t>
      </w:r>
      <w:r>
        <w:rPr>
          <w:b/>
        </w:rPr>
        <w:t>SV3</w:t>
      </w:r>
      <w:r>
        <w:t xml:space="preserve"> Сірет, і </w:t>
      </w:r>
      <w:r>
        <w:rPr>
          <w:b/>
        </w:rPr>
        <w:t>відмінною</w:t>
      </w:r>
      <w:r>
        <w:t xml:space="preserve"> на </w:t>
      </w:r>
      <w:r>
        <w:rPr>
          <w:b/>
        </w:rPr>
        <w:t>EM3</w:t>
      </w:r>
      <w:r>
        <w:t xml:space="preserve"> в Пояна Стампей.</w:t>
      </w:r>
    </w:p>
    <w:p w:rsidR="00642FB4" w:rsidRDefault="00642FB4">
      <w:pPr>
        <w:autoSpaceDE w:val="0"/>
        <w:autoSpaceDN w:val="0"/>
        <w:adjustRightInd w:val="0"/>
        <w:spacing w:before="60" w:after="60" w:line="288" w:lineRule="auto"/>
        <w:ind w:firstLine="720"/>
        <w:jc w:val="both"/>
        <w:rPr>
          <w:rFonts w:cs="Arial"/>
          <w:i/>
        </w:rPr>
      </w:pPr>
    </w:p>
    <w:p w:rsidR="00642FB4" w:rsidRDefault="00642FB4">
      <w:pPr>
        <w:autoSpaceDE w:val="0"/>
        <w:autoSpaceDN w:val="0"/>
        <w:adjustRightInd w:val="0"/>
        <w:spacing w:before="60" w:after="60" w:line="288" w:lineRule="auto"/>
        <w:ind w:firstLine="720"/>
        <w:jc w:val="both"/>
        <w:rPr>
          <w:rFonts w:cs="Arial"/>
          <w:i/>
        </w:rPr>
      </w:pPr>
      <w:r>
        <w:rPr>
          <w:i/>
        </w:rPr>
        <w:t>Тверді частинки</w:t>
      </w:r>
    </w:p>
    <w:p w:rsidR="00642FB4" w:rsidRDefault="00642FB4">
      <w:pPr>
        <w:widowControl w:val="0"/>
        <w:spacing w:before="60" w:after="60" w:line="288" w:lineRule="auto"/>
        <w:ind w:firstLine="720"/>
        <w:jc w:val="both"/>
        <w:rPr>
          <w:rFonts w:cs="Arial"/>
        </w:rPr>
      </w:pPr>
      <w:r>
        <w:t xml:space="preserve">Що стосується твердих частинок найвищі значення середньодобових концентрацій РМ10 були зафіксовані на станції промислового типу SV2 . Середньодобові концентрації PM10 зафіксовані в зимовий період (жовтень-березень) були вищими, ніж у теплу пору року (квітень-вересень), </w:t>
      </w:r>
      <w:r>
        <w:rPr>
          <w:b/>
        </w:rPr>
        <w:t>більш високі концентрації</w:t>
      </w:r>
      <w:r>
        <w:t xml:space="preserve">, </w:t>
      </w:r>
      <w:r>
        <w:rPr>
          <w:b/>
        </w:rPr>
        <w:t>ніж  Г.З.</w:t>
      </w:r>
      <w:r>
        <w:t xml:space="preserve"> були зафіксовані у </w:t>
      </w:r>
      <w:r>
        <w:rPr>
          <w:b/>
        </w:rPr>
        <w:t>зимовий період</w:t>
      </w:r>
      <w:r>
        <w:t xml:space="preserve"> на всіх чотирьох станціях моніторингу в повіті, за винятком одного виміряного значення на SV2, а саме 51,97 </w:t>
      </w:r>
      <w:r>
        <w:rPr>
          <w:rFonts w:cs="Arial"/>
        </w:rPr>
        <w:sym w:font="Symbol" w:char="F06D"/>
      </w:r>
      <w:r>
        <w:t>г/м</w:t>
      </w:r>
      <w:r>
        <w:rPr>
          <w:vertAlign w:val="superscript"/>
        </w:rPr>
        <w:t>3</w:t>
      </w:r>
      <w:r>
        <w:t xml:space="preserve">, зафіксованого 29.07.2013, в умовах атмосферного спокою та відсутності опадів, погодні явища які сприяли накопиченню та затримці твердих частинок в атмосфері на станції SV2. </w:t>
      </w:r>
    </w:p>
    <w:p w:rsidR="00642FB4" w:rsidRDefault="00642FB4">
      <w:pPr>
        <w:widowControl w:val="0"/>
        <w:spacing w:before="60" w:after="60" w:line="288" w:lineRule="auto"/>
        <w:ind w:firstLine="720"/>
        <w:jc w:val="both"/>
        <w:rPr>
          <w:rFonts w:cs="Arial"/>
        </w:rPr>
      </w:pPr>
      <w:r>
        <w:t xml:space="preserve">Не було перевищене значення граничне річне значення для захисту здоров'я людини (40 </w:t>
      </w:r>
      <w:r>
        <w:rPr>
          <w:rFonts w:cs="Arial"/>
        </w:rPr>
        <w:sym w:font="Symbol" w:char="F06D"/>
      </w:r>
      <w:r>
        <w:t>г/м</w:t>
      </w:r>
      <w:r>
        <w:rPr>
          <w:vertAlign w:val="superscript"/>
        </w:rPr>
        <w:t>3</w:t>
      </w:r>
      <w:r>
        <w:t xml:space="preserve">) на жодній станції моніторингу, найвище середньорічне значення, становило 29,1 </w:t>
      </w:r>
      <w:r>
        <w:rPr>
          <w:rFonts w:cs="Arial"/>
        </w:rPr>
        <w:sym w:font="Symbol" w:char="F06D"/>
      </w:r>
      <w:r>
        <w:t>г/м</w:t>
      </w:r>
      <w:r>
        <w:rPr>
          <w:vertAlign w:val="superscript"/>
        </w:rPr>
        <w:t>3</w:t>
      </w:r>
      <w:r>
        <w:t xml:space="preserve"> на станції SV2.</w:t>
      </w:r>
    </w:p>
    <w:p w:rsidR="00642FB4" w:rsidRDefault="00642FB4">
      <w:pPr>
        <w:autoSpaceDE w:val="0"/>
        <w:autoSpaceDN w:val="0"/>
        <w:adjustRightInd w:val="0"/>
        <w:spacing w:before="60" w:after="60" w:line="288" w:lineRule="auto"/>
        <w:ind w:firstLine="720"/>
        <w:jc w:val="both"/>
        <w:rPr>
          <w:rFonts w:cs="Arial"/>
        </w:rPr>
      </w:pPr>
      <w:r>
        <w:t>У 2013 році на території повіту не було великих екологічних нещасних випадків, які би впливали на якість повітря.</w:t>
      </w:r>
    </w:p>
    <w:p w:rsidR="00642FB4" w:rsidRDefault="00642FB4">
      <w:pPr>
        <w:spacing w:before="60" w:after="60" w:line="288" w:lineRule="auto"/>
        <w:jc w:val="both"/>
        <w:rPr>
          <w:b/>
        </w:rPr>
      </w:pPr>
    </w:p>
    <w:p w:rsidR="00642FB4" w:rsidRDefault="00642FB4">
      <w:pPr>
        <w:numPr>
          <w:ilvl w:val="0"/>
          <w:numId w:val="2"/>
        </w:numPr>
        <w:spacing w:before="60" w:after="60" w:line="288" w:lineRule="auto"/>
        <w:jc w:val="both"/>
        <w:rPr>
          <w:rFonts w:cs="Arial"/>
          <w:b/>
        </w:rPr>
      </w:pPr>
      <w:r>
        <w:rPr>
          <w:b/>
        </w:rPr>
        <w:t>Ґрунт</w:t>
      </w:r>
    </w:p>
    <w:p w:rsidR="00642FB4" w:rsidRDefault="00642FB4">
      <w:pPr>
        <w:widowControl w:val="0"/>
        <w:autoSpaceDE w:val="0"/>
        <w:autoSpaceDN w:val="0"/>
        <w:adjustRightInd w:val="0"/>
        <w:spacing w:before="60" w:after="60" w:line="288" w:lineRule="auto"/>
        <w:ind w:firstLine="630"/>
        <w:jc w:val="both"/>
        <w:rPr>
          <w:rFonts w:cs="Arial"/>
        </w:rPr>
      </w:pPr>
      <w:r>
        <w:t>Еволюція розподілу сільськогосподарських угідь по типам використання у повіті Сучава в період з 2009 по 2013 р приведена в таблиці нижче:</w:t>
      </w:r>
    </w:p>
    <w:p w:rsidR="00642FB4" w:rsidRDefault="00642FB4">
      <w:pPr>
        <w:widowControl w:val="0"/>
        <w:autoSpaceDE w:val="0"/>
        <w:autoSpaceDN w:val="0"/>
        <w:adjustRightInd w:val="0"/>
        <w:spacing w:before="60" w:after="60" w:line="288" w:lineRule="auto"/>
        <w:ind w:firstLine="630"/>
        <w:jc w:val="both"/>
        <w:rPr>
          <w:rFonts w:cs="Arial"/>
        </w:rPr>
      </w:pPr>
    </w:p>
    <w:p w:rsidR="00642FB4" w:rsidRDefault="00642FB4">
      <w:pPr>
        <w:autoSpaceDE w:val="0"/>
        <w:autoSpaceDN w:val="0"/>
        <w:adjustRightInd w:val="0"/>
        <w:spacing w:before="60" w:after="60" w:line="288" w:lineRule="auto"/>
        <w:ind w:left="360"/>
        <w:jc w:val="center"/>
        <w:rPr>
          <w:rFonts w:eastAsia="Calibri" w:cs="Arial"/>
          <w:b/>
          <w:bCs/>
          <w:i/>
          <w:sz w:val="22"/>
          <w:szCs w:val="22"/>
        </w:rPr>
      </w:pPr>
      <w:r>
        <w:rPr>
          <w:b/>
          <w:i/>
          <w:sz w:val="22"/>
        </w:rPr>
        <w:t xml:space="preserve">Таблиця 4.4.4  </w:t>
      </w:r>
      <w:r>
        <w:rPr>
          <w:sz w:val="22"/>
        </w:rPr>
        <w:t>Еволюція розподілу сільськогосподарських угідь по типам використання</w:t>
      </w:r>
    </w:p>
    <w:p w:rsidR="00642FB4" w:rsidRDefault="00642FB4">
      <w:pPr>
        <w:widowControl w:val="0"/>
        <w:autoSpaceDE w:val="0"/>
        <w:autoSpaceDN w:val="0"/>
        <w:adjustRightInd w:val="0"/>
        <w:spacing w:line="720" w:lineRule="auto"/>
        <w:ind w:firstLine="706"/>
        <w:jc w:val="both"/>
        <w:rPr>
          <w:rFonts w:cs="Arial"/>
          <w:sz w:val="6"/>
          <w:szCs w:val="6"/>
        </w:rPr>
      </w:pPr>
    </w:p>
    <w:tbl>
      <w:tblPr>
        <w:tblW w:w="8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76"/>
        <w:gridCol w:w="1149"/>
        <w:gridCol w:w="1276"/>
        <w:gridCol w:w="1238"/>
        <w:gridCol w:w="1079"/>
        <w:gridCol w:w="1079"/>
      </w:tblGrid>
      <w:tr w:rsidR="00642FB4">
        <w:trPr>
          <w:trHeight w:hRule="exact" w:val="335"/>
          <w:jc w:val="center"/>
        </w:trPr>
        <w:tc>
          <w:tcPr>
            <w:tcW w:w="0" w:type="auto"/>
            <w:vMerge w:val="restart"/>
            <w:shd w:val="clear" w:color="auto" w:fill="auto"/>
            <w:vAlign w:val="center"/>
          </w:tcPr>
          <w:p w:rsidR="00642FB4" w:rsidRDefault="00642FB4">
            <w:pPr>
              <w:jc w:val="both"/>
              <w:rPr>
                <w:b/>
                <w:sz w:val="20"/>
                <w:szCs w:val="20"/>
              </w:rPr>
            </w:pPr>
            <w:r>
              <w:rPr>
                <w:b/>
                <w:sz w:val="20"/>
              </w:rPr>
              <w:t>Категорія</w:t>
            </w:r>
          </w:p>
          <w:p w:rsidR="00642FB4" w:rsidRDefault="00642FB4">
            <w:pPr>
              <w:jc w:val="both"/>
              <w:rPr>
                <w:b/>
                <w:sz w:val="20"/>
                <w:szCs w:val="20"/>
              </w:rPr>
            </w:pPr>
            <w:r>
              <w:rPr>
                <w:b/>
                <w:sz w:val="20"/>
              </w:rPr>
              <w:t>використання</w:t>
            </w:r>
          </w:p>
        </w:tc>
        <w:tc>
          <w:tcPr>
            <w:tcW w:w="0" w:type="auto"/>
            <w:gridSpan w:val="5"/>
            <w:shd w:val="clear" w:color="auto" w:fill="auto"/>
            <w:vAlign w:val="center"/>
          </w:tcPr>
          <w:p w:rsidR="00642FB4" w:rsidRDefault="00642FB4">
            <w:pPr>
              <w:jc w:val="center"/>
              <w:rPr>
                <w:b/>
                <w:sz w:val="20"/>
                <w:szCs w:val="20"/>
              </w:rPr>
            </w:pPr>
            <w:r>
              <w:rPr>
                <w:b/>
                <w:sz w:val="20"/>
              </w:rPr>
              <w:t>Площа (га)</w:t>
            </w:r>
          </w:p>
        </w:tc>
      </w:tr>
      <w:tr w:rsidR="00642FB4">
        <w:trPr>
          <w:trHeight w:hRule="exact" w:val="282"/>
          <w:jc w:val="center"/>
        </w:trPr>
        <w:tc>
          <w:tcPr>
            <w:tcW w:w="0" w:type="auto"/>
            <w:vMerge/>
            <w:shd w:val="clear" w:color="auto" w:fill="auto"/>
            <w:vAlign w:val="center"/>
          </w:tcPr>
          <w:p w:rsidR="00642FB4" w:rsidRDefault="00642FB4">
            <w:pPr>
              <w:jc w:val="both"/>
              <w:rPr>
                <w:sz w:val="20"/>
                <w:szCs w:val="20"/>
              </w:rPr>
            </w:pPr>
          </w:p>
        </w:tc>
        <w:tc>
          <w:tcPr>
            <w:tcW w:w="1149" w:type="dxa"/>
            <w:shd w:val="clear" w:color="auto" w:fill="auto"/>
            <w:vAlign w:val="center"/>
          </w:tcPr>
          <w:p w:rsidR="00642FB4" w:rsidRDefault="00642FB4">
            <w:pPr>
              <w:jc w:val="right"/>
              <w:rPr>
                <w:b/>
                <w:sz w:val="20"/>
                <w:szCs w:val="20"/>
              </w:rPr>
            </w:pPr>
            <w:r>
              <w:rPr>
                <w:b/>
                <w:sz w:val="20"/>
              </w:rPr>
              <w:t>2009</w:t>
            </w:r>
          </w:p>
        </w:tc>
        <w:tc>
          <w:tcPr>
            <w:tcW w:w="1276" w:type="dxa"/>
            <w:shd w:val="clear" w:color="auto" w:fill="auto"/>
            <w:vAlign w:val="center"/>
          </w:tcPr>
          <w:p w:rsidR="00642FB4" w:rsidRDefault="00642FB4">
            <w:pPr>
              <w:jc w:val="right"/>
              <w:rPr>
                <w:b/>
                <w:sz w:val="20"/>
                <w:szCs w:val="20"/>
              </w:rPr>
            </w:pPr>
            <w:r>
              <w:rPr>
                <w:b/>
                <w:sz w:val="20"/>
              </w:rPr>
              <w:t>2010</w:t>
            </w:r>
          </w:p>
        </w:tc>
        <w:tc>
          <w:tcPr>
            <w:tcW w:w="1238" w:type="dxa"/>
            <w:shd w:val="clear" w:color="auto" w:fill="auto"/>
            <w:vAlign w:val="center"/>
          </w:tcPr>
          <w:p w:rsidR="00642FB4" w:rsidRDefault="00642FB4">
            <w:pPr>
              <w:jc w:val="right"/>
              <w:rPr>
                <w:b/>
                <w:sz w:val="20"/>
                <w:szCs w:val="20"/>
              </w:rPr>
            </w:pPr>
            <w:r>
              <w:rPr>
                <w:b/>
                <w:sz w:val="20"/>
              </w:rPr>
              <w:t>2011</w:t>
            </w:r>
          </w:p>
        </w:tc>
        <w:tc>
          <w:tcPr>
            <w:tcW w:w="0" w:type="auto"/>
            <w:shd w:val="clear" w:color="auto" w:fill="auto"/>
            <w:vAlign w:val="center"/>
          </w:tcPr>
          <w:p w:rsidR="00642FB4" w:rsidRDefault="00642FB4">
            <w:pPr>
              <w:jc w:val="right"/>
              <w:rPr>
                <w:b/>
                <w:sz w:val="20"/>
                <w:szCs w:val="20"/>
              </w:rPr>
            </w:pPr>
            <w:r>
              <w:rPr>
                <w:b/>
                <w:sz w:val="20"/>
              </w:rPr>
              <w:t>2012</w:t>
            </w:r>
          </w:p>
        </w:tc>
        <w:tc>
          <w:tcPr>
            <w:tcW w:w="0" w:type="auto"/>
            <w:shd w:val="clear" w:color="auto" w:fill="auto"/>
            <w:vAlign w:val="center"/>
          </w:tcPr>
          <w:p w:rsidR="00642FB4" w:rsidRDefault="00642FB4">
            <w:pPr>
              <w:jc w:val="right"/>
              <w:rPr>
                <w:b/>
                <w:sz w:val="20"/>
                <w:szCs w:val="20"/>
              </w:rPr>
            </w:pPr>
            <w:r>
              <w:rPr>
                <w:b/>
                <w:sz w:val="20"/>
              </w:rPr>
              <w:t>2013</w:t>
            </w:r>
          </w:p>
        </w:tc>
      </w:tr>
      <w:tr w:rsidR="00642FB4">
        <w:trPr>
          <w:trHeight w:hRule="exact" w:val="271"/>
          <w:jc w:val="center"/>
        </w:trPr>
        <w:tc>
          <w:tcPr>
            <w:tcW w:w="0" w:type="auto"/>
            <w:vAlign w:val="center"/>
          </w:tcPr>
          <w:p w:rsidR="00642FB4" w:rsidRDefault="001B6BC7">
            <w:pPr>
              <w:jc w:val="both"/>
              <w:rPr>
                <w:sz w:val="20"/>
                <w:szCs w:val="20"/>
              </w:rPr>
            </w:pPr>
            <w:r>
              <w:rPr>
                <w:b/>
                <w:sz w:val="20"/>
              </w:rPr>
              <w:t>О</w:t>
            </w:r>
            <w:r w:rsidR="00642FB4">
              <w:rPr>
                <w:b/>
                <w:sz w:val="20"/>
              </w:rPr>
              <w:t>рна</w:t>
            </w:r>
          </w:p>
        </w:tc>
        <w:tc>
          <w:tcPr>
            <w:tcW w:w="1149" w:type="dxa"/>
            <w:vAlign w:val="center"/>
          </w:tcPr>
          <w:p w:rsidR="00642FB4" w:rsidRDefault="00642FB4">
            <w:pPr>
              <w:jc w:val="right"/>
              <w:rPr>
                <w:sz w:val="20"/>
                <w:szCs w:val="20"/>
              </w:rPr>
            </w:pPr>
            <w:r>
              <w:rPr>
                <w:sz w:val="20"/>
              </w:rPr>
              <w:t>181 127</w:t>
            </w:r>
          </w:p>
        </w:tc>
        <w:tc>
          <w:tcPr>
            <w:tcW w:w="1276" w:type="dxa"/>
            <w:vAlign w:val="center"/>
          </w:tcPr>
          <w:p w:rsidR="00642FB4" w:rsidRDefault="00642FB4">
            <w:pPr>
              <w:jc w:val="right"/>
              <w:rPr>
                <w:sz w:val="20"/>
                <w:szCs w:val="20"/>
              </w:rPr>
            </w:pPr>
            <w:r>
              <w:rPr>
                <w:sz w:val="20"/>
              </w:rPr>
              <w:t>180 972</w:t>
            </w:r>
          </w:p>
        </w:tc>
        <w:tc>
          <w:tcPr>
            <w:tcW w:w="1238" w:type="dxa"/>
            <w:vAlign w:val="center"/>
          </w:tcPr>
          <w:p w:rsidR="00642FB4" w:rsidRDefault="00642FB4">
            <w:pPr>
              <w:jc w:val="right"/>
              <w:rPr>
                <w:sz w:val="20"/>
                <w:szCs w:val="20"/>
              </w:rPr>
            </w:pPr>
            <w:r>
              <w:rPr>
                <w:sz w:val="20"/>
              </w:rPr>
              <w:t>180 678</w:t>
            </w:r>
          </w:p>
        </w:tc>
        <w:tc>
          <w:tcPr>
            <w:tcW w:w="0" w:type="auto"/>
            <w:vAlign w:val="center"/>
          </w:tcPr>
          <w:p w:rsidR="00642FB4" w:rsidRDefault="00642FB4">
            <w:pPr>
              <w:jc w:val="right"/>
              <w:rPr>
                <w:sz w:val="20"/>
                <w:szCs w:val="20"/>
              </w:rPr>
            </w:pPr>
            <w:r>
              <w:rPr>
                <w:sz w:val="20"/>
              </w:rPr>
              <w:t>180 372</w:t>
            </w:r>
          </w:p>
        </w:tc>
        <w:tc>
          <w:tcPr>
            <w:tcW w:w="0" w:type="auto"/>
            <w:vAlign w:val="center"/>
          </w:tcPr>
          <w:p w:rsidR="00642FB4" w:rsidRDefault="00642FB4">
            <w:pPr>
              <w:jc w:val="right"/>
              <w:rPr>
                <w:sz w:val="20"/>
                <w:szCs w:val="20"/>
              </w:rPr>
            </w:pPr>
            <w:r>
              <w:rPr>
                <w:sz w:val="20"/>
              </w:rPr>
              <w:t>180 240</w:t>
            </w:r>
          </w:p>
        </w:tc>
      </w:tr>
      <w:tr w:rsidR="00642FB4">
        <w:trPr>
          <w:trHeight w:hRule="exact" w:val="271"/>
          <w:jc w:val="center"/>
        </w:trPr>
        <w:tc>
          <w:tcPr>
            <w:tcW w:w="0" w:type="auto"/>
            <w:vAlign w:val="center"/>
          </w:tcPr>
          <w:p w:rsidR="00642FB4" w:rsidRDefault="00642FB4">
            <w:pPr>
              <w:jc w:val="both"/>
              <w:rPr>
                <w:sz w:val="20"/>
                <w:szCs w:val="20"/>
              </w:rPr>
            </w:pPr>
            <w:r>
              <w:rPr>
                <w:sz w:val="20"/>
              </w:rPr>
              <w:t>Пасовища</w:t>
            </w:r>
          </w:p>
        </w:tc>
        <w:tc>
          <w:tcPr>
            <w:tcW w:w="1149" w:type="dxa"/>
            <w:vAlign w:val="center"/>
          </w:tcPr>
          <w:p w:rsidR="00642FB4" w:rsidRDefault="00642FB4">
            <w:pPr>
              <w:jc w:val="right"/>
              <w:rPr>
                <w:sz w:val="20"/>
                <w:szCs w:val="20"/>
              </w:rPr>
            </w:pPr>
            <w:r>
              <w:rPr>
                <w:sz w:val="20"/>
              </w:rPr>
              <w:t>91 167</w:t>
            </w:r>
          </w:p>
        </w:tc>
        <w:tc>
          <w:tcPr>
            <w:tcW w:w="1276" w:type="dxa"/>
            <w:vAlign w:val="center"/>
          </w:tcPr>
          <w:p w:rsidR="00642FB4" w:rsidRDefault="00642FB4">
            <w:pPr>
              <w:jc w:val="right"/>
              <w:rPr>
                <w:sz w:val="20"/>
                <w:szCs w:val="20"/>
              </w:rPr>
            </w:pPr>
            <w:r>
              <w:rPr>
                <w:sz w:val="20"/>
              </w:rPr>
              <w:t>91 596</w:t>
            </w:r>
          </w:p>
        </w:tc>
        <w:tc>
          <w:tcPr>
            <w:tcW w:w="1238" w:type="dxa"/>
            <w:vAlign w:val="center"/>
          </w:tcPr>
          <w:p w:rsidR="00642FB4" w:rsidRDefault="00642FB4">
            <w:pPr>
              <w:jc w:val="right"/>
              <w:rPr>
                <w:sz w:val="20"/>
                <w:szCs w:val="20"/>
              </w:rPr>
            </w:pPr>
            <w:r>
              <w:rPr>
                <w:sz w:val="20"/>
              </w:rPr>
              <w:t>90 274</w:t>
            </w:r>
          </w:p>
        </w:tc>
        <w:tc>
          <w:tcPr>
            <w:tcW w:w="0" w:type="auto"/>
            <w:vAlign w:val="center"/>
          </w:tcPr>
          <w:p w:rsidR="00642FB4" w:rsidRDefault="00642FB4">
            <w:pPr>
              <w:jc w:val="right"/>
              <w:rPr>
                <w:sz w:val="20"/>
                <w:szCs w:val="20"/>
              </w:rPr>
            </w:pPr>
            <w:r>
              <w:rPr>
                <w:sz w:val="20"/>
              </w:rPr>
              <w:t>90 570</w:t>
            </w:r>
          </w:p>
        </w:tc>
        <w:tc>
          <w:tcPr>
            <w:tcW w:w="0" w:type="auto"/>
            <w:vAlign w:val="center"/>
          </w:tcPr>
          <w:p w:rsidR="00642FB4" w:rsidRDefault="00642FB4">
            <w:pPr>
              <w:jc w:val="right"/>
              <w:rPr>
                <w:sz w:val="20"/>
                <w:szCs w:val="20"/>
              </w:rPr>
            </w:pPr>
            <w:r>
              <w:rPr>
                <w:sz w:val="20"/>
              </w:rPr>
              <w:t>90 547</w:t>
            </w:r>
          </w:p>
        </w:tc>
      </w:tr>
      <w:tr w:rsidR="00642FB4">
        <w:trPr>
          <w:trHeight w:hRule="exact" w:val="253"/>
          <w:jc w:val="center"/>
        </w:trPr>
        <w:tc>
          <w:tcPr>
            <w:tcW w:w="0" w:type="auto"/>
            <w:vAlign w:val="center"/>
          </w:tcPr>
          <w:p w:rsidR="00642FB4" w:rsidRDefault="00642FB4">
            <w:pPr>
              <w:jc w:val="both"/>
              <w:rPr>
                <w:sz w:val="20"/>
                <w:szCs w:val="20"/>
              </w:rPr>
            </w:pPr>
            <w:r>
              <w:rPr>
                <w:sz w:val="20"/>
              </w:rPr>
              <w:t>Луги і природні пасовища</w:t>
            </w:r>
          </w:p>
        </w:tc>
        <w:tc>
          <w:tcPr>
            <w:tcW w:w="1149" w:type="dxa"/>
            <w:vAlign w:val="center"/>
          </w:tcPr>
          <w:p w:rsidR="00642FB4" w:rsidRDefault="00642FB4">
            <w:pPr>
              <w:jc w:val="right"/>
              <w:rPr>
                <w:sz w:val="20"/>
                <w:szCs w:val="20"/>
              </w:rPr>
            </w:pPr>
            <w:r>
              <w:rPr>
                <w:sz w:val="20"/>
              </w:rPr>
              <w:t>74 394</w:t>
            </w:r>
          </w:p>
        </w:tc>
        <w:tc>
          <w:tcPr>
            <w:tcW w:w="1276" w:type="dxa"/>
            <w:vAlign w:val="center"/>
          </w:tcPr>
          <w:p w:rsidR="00642FB4" w:rsidRDefault="00642FB4">
            <w:pPr>
              <w:jc w:val="right"/>
              <w:rPr>
                <w:sz w:val="20"/>
                <w:szCs w:val="20"/>
              </w:rPr>
            </w:pPr>
            <w:r>
              <w:rPr>
                <w:sz w:val="20"/>
              </w:rPr>
              <w:t>74 136</w:t>
            </w:r>
          </w:p>
        </w:tc>
        <w:tc>
          <w:tcPr>
            <w:tcW w:w="1238" w:type="dxa"/>
            <w:vAlign w:val="center"/>
          </w:tcPr>
          <w:p w:rsidR="00642FB4" w:rsidRDefault="00642FB4">
            <w:pPr>
              <w:jc w:val="right"/>
              <w:rPr>
                <w:sz w:val="20"/>
                <w:szCs w:val="20"/>
              </w:rPr>
            </w:pPr>
            <w:r>
              <w:rPr>
                <w:sz w:val="20"/>
              </w:rPr>
              <w:t>73 960</w:t>
            </w:r>
          </w:p>
        </w:tc>
        <w:tc>
          <w:tcPr>
            <w:tcW w:w="0" w:type="auto"/>
            <w:vAlign w:val="center"/>
          </w:tcPr>
          <w:p w:rsidR="00642FB4" w:rsidRDefault="00642FB4">
            <w:pPr>
              <w:jc w:val="right"/>
              <w:rPr>
                <w:sz w:val="20"/>
                <w:szCs w:val="20"/>
              </w:rPr>
            </w:pPr>
            <w:r>
              <w:rPr>
                <w:sz w:val="20"/>
              </w:rPr>
              <w:t>74 053</w:t>
            </w:r>
          </w:p>
        </w:tc>
        <w:tc>
          <w:tcPr>
            <w:tcW w:w="0" w:type="auto"/>
            <w:vAlign w:val="center"/>
          </w:tcPr>
          <w:p w:rsidR="00642FB4" w:rsidRDefault="00642FB4">
            <w:pPr>
              <w:jc w:val="right"/>
              <w:rPr>
                <w:sz w:val="20"/>
                <w:szCs w:val="20"/>
              </w:rPr>
            </w:pPr>
            <w:r>
              <w:rPr>
                <w:sz w:val="20"/>
              </w:rPr>
              <w:t>73 898</w:t>
            </w:r>
          </w:p>
        </w:tc>
      </w:tr>
      <w:tr w:rsidR="00642FB4">
        <w:trPr>
          <w:trHeight w:hRule="exact" w:val="340"/>
          <w:jc w:val="center"/>
        </w:trPr>
        <w:tc>
          <w:tcPr>
            <w:tcW w:w="0" w:type="auto"/>
            <w:tcBorders>
              <w:bottom w:val="single" w:sz="4" w:space="0" w:color="auto"/>
            </w:tcBorders>
            <w:vAlign w:val="center"/>
          </w:tcPr>
          <w:p w:rsidR="00642FB4" w:rsidRDefault="00642FB4">
            <w:pPr>
              <w:jc w:val="both"/>
              <w:rPr>
                <w:sz w:val="20"/>
                <w:szCs w:val="20"/>
              </w:rPr>
            </w:pPr>
            <w:r>
              <w:rPr>
                <w:sz w:val="20"/>
              </w:rPr>
              <w:t>Сади</w:t>
            </w:r>
          </w:p>
        </w:tc>
        <w:tc>
          <w:tcPr>
            <w:tcW w:w="1149" w:type="dxa"/>
            <w:tcBorders>
              <w:bottom w:val="single" w:sz="4" w:space="0" w:color="auto"/>
            </w:tcBorders>
            <w:vAlign w:val="center"/>
          </w:tcPr>
          <w:p w:rsidR="00642FB4" w:rsidRDefault="00642FB4">
            <w:pPr>
              <w:jc w:val="right"/>
              <w:rPr>
                <w:sz w:val="20"/>
                <w:szCs w:val="20"/>
              </w:rPr>
            </w:pPr>
            <w:r>
              <w:rPr>
                <w:sz w:val="20"/>
              </w:rPr>
              <w:t>2 801</w:t>
            </w:r>
          </w:p>
        </w:tc>
        <w:tc>
          <w:tcPr>
            <w:tcW w:w="1276" w:type="dxa"/>
            <w:tcBorders>
              <w:bottom w:val="single" w:sz="4" w:space="0" w:color="auto"/>
            </w:tcBorders>
            <w:vAlign w:val="center"/>
          </w:tcPr>
          <w:p w:rsidR="00642FB4" w:rsidRDefault="00642FB4">
            <w:pPr>
              <w:jc w:val="right"/>
              <w:rPr>
                <w:sz w:val="20"/>
                <w:szCs w:val="20"/>
              </w:rPr>
            </w:pPr>
            <w:r>
              <w:rPr>
                <w:sz w:val="20"/>
              </w:rPr>
              <w:t>2 776</w:t>
            </w:r>
          </w:p>
        </w:tc>
        <w:tc>
          <w:tcPr>
            <w:tcW w:w="1238" w:type="dxa"/>
            <w:tcBorders>
              <w:bottom w:val="single" w:sz="4" w:space="0" w:color="auto"/>
            </w:tcBorders>
            <w:vAlign w:val="center"/>
          </w:tcPr>
          <w:p w:rsidR="00642FB4" w:rsidRDefault="00642FB4">
            <w:pPr>
              <w:jc w:val="right"/>
              <w:rPr>
                <w:sz w:val="20"/>
                <w:szCs w:val="20"/>
              </w:rPr>
            </w:pPr>
            <w:r>
              <w:rPr>
                <w:sz w:val="20"/>
              </w:rPr>
              <w:t>3 008</w:t>
            </w:r>
          </w:p>
        </w:tc>
        <w:tc>
          <w:tcPr>
            <w:tcW w:w="0" w:type="auto"/>
            <w:tcBorders>
              <w:bottom w:val="single" w:sz="4" w:space="0" w:color="auto"/>
            </w:tcBorders>
            <w:vAlign w:val="center"/>
          </w:tcPr>
          <w:p w:rsidR="00642FB4" w:rsidRDefault="00642FB4">
            <w:pPr>
              <w:jc w:val="right"/>
              <w:rPr>
                <w:sz w:val="20"/>
                <w:szCs w:val="20"/>
              </w:rPr>
            </w:pPr>
            <w:r>
              <w:rPr>
                <w:sz w:val="20"/>
              </w:rPr>
              <w:t>2 810</w:t>
            </w:r>
          </w:p>
        </w:tc>
        <w:tc>
          <w:tcPr>
            <w:tcW w:w="0" w:type="auto"/>
            <w:tcBorders>
              <w:bottom w:val="single" w:sz="4" w:space="0" w:color="auto"/>
            </w:tcBorders>
            <w:vAlign w:val="center"/>
          </w:tcPr>
          <w:p w:rsidR="00642FB4" w:rsidRDefault="00642FB4">
            <w:pPr>
              <w:jc w:val="right"/>
              <w:rPr>
                <w:sz w:val="20"/>
                <w:szCs w:val="20"/>
              </w:rPr>
            </w:pPr>
            <w:r>
              <w:rPr>
                <w:sz w:val="20"/>
              </w:rPr>
              <w:t>2 959</w:t>
            </w:r>
          </w:p>
        </w:tc>
      </w:tr>
      <w:tr w:rsidR="00642FB4">
        <w:trPr>
          <w:trHeight w:hRule="exact" w:val="275"/>
          <w:jc w:val="center"/>
        </w:trPr>
        <w:tc>
          <w:tcPr>
            <w:tcW w:w="2677" w:type="dxa"/>
            <w:shd w:val="clear" w:color="auto" w:fill="auto"/>
            <w:vAlign w:val="center"/>
          </w:tcPr>
          <w:p w:rsidR="00642FB4" w:rsidRDefault="00642FB4">
            <w:pPr>
              <w:jc w:val="both"/>
              <w:rPr>
                <w:b/>
                <w:sz w:val="20"/>
                <w:szCs w:val="20"/>
              </w:rPr>
            </w:pPr>
            <w:r>
              <w:rPr>
                <w:b/>
                <w:sz w:val="20"/>
              </w:rPr>
              <w:t>Всього на сільськогосподарські угіддя</w:t>
            </w:r>
          </w:p>
        </w:tc>
        <w:tc>
          <w:tcPr>
            <w:tcW w:w="1149" w:type="dxa"/>
            <w:shd w:val="clear" w:color="auto" w:fill="auto"/>
            <w:vAlign w:val="center"/>
          </w:tcPr>
          <w:p w:rsidR="00642FB4" w:rsidRDefault="00642FB4">
            <w:pPr>
              <w:jc w:val="right"/>
              <w:rPr>
                <w:b/>
                <w:sz w:val="20"/>
                <w:szCs w:val="20"/>
              </w:rPr>
            </w:pPr>
            <w:r>
              <w:rPr>
                <w:b/>
                <w:sz w:val="20"/>
              </w:rPr>
              <w:t>349 489</w:t>
            </w:r>
          </w:p>
        </w:tc>
        <w:tc>
          <w:tcPr>
            <w:tcW w:w="1276" w:type="dxa"/>
            <w:shd w:val="clear" w:color="auto" w:fill="auto"/>
            <w:vAlign w:val="center"/>
          </w:tcPr>
          <w:p w:rsidR="00642FB4" w:rsidRDefault="00642FB4">
            <w:pPr>
              <w:jc w:val="right"/>
              <w:rPr>
                <w:b/>
                <w:sz w:val="20"/>
                <w:szCs w:val="20"/>
              </w:rPr>
            </w:pPr>
            <w:r>
              <w:rPr>
                <w:b/>
                <w:sz w:val="20"/>
              </w:rPr>
              <w:t>349 480</w:t>
            </w:r>
          </w:p>
        </w:tc>
        <w:tc>
          <w:tcPr>
            <w:tcW w:w="1238" w:type="dxa"/>
            <w:shd w:val="clear" w:color="auto" w:fill="auto"/>
            <w:vAlign w:val="center"/>
          </w:tcPr>
          <w:p w:rsidR="00642FB4" w:rsidRDefault="00642FB4">
            <w:pPr>
              <w:jc w:val="right"/>
              <w:rPr>
                <w:b/>
                <w:sz w:val="20"/>
                <w:szCs w:val="20"/>
              </w:rPr>
            </w:pPr>
            <w:r>
              <w:rPr>
                <w:b/>
                <w:sz w:val="20"/>
              </w:rPr>
              <w:t>347 920</w:t>
            </w:r>
          </w:p>
        </w:tc>
        <w:tc>
          <w:tcPr>
            <w:tcW w:w="0" w:type="auto"/>
            <w:shd w:val="clear" w:color="auto" w:fill="auto"/>
            <w:vAlign w:val="center"/>
          </w:tcPr>
          <w:p w:rsidR="00642FB4" w:rsidRDefault="00642FB4">
            <w:pPr>
              <w:jc w:val="right"/>
              <w:rPr>
                <w:b/>
                <w:sz w:val="20"/>
                <w:szCs w:val="20"/>
              </w:rPr>
            </w:pPr>
            <w:r>
              <w:rPr>
                <w:b/>
                <w:sz w:val="20"/>
              </w:rPr>
              <w:t>347 805</w:t>
            </w:r>
          </w:p>
        </w:tc>
        <w:tc>
          <w:tcPr>
            <w:tcW w:w="0" w:type="auto"/>
            <w:shd w:val="clear" w:color="auto" w:fill="auto"/>
            <w:vAlign w:val="center"/>
          </w:tcPr>
          <w:p w:rsidR="00642FB4" w:rsidRDefault="00642FB4">
            <w:pPr>
              <w:jc w:val="right"/>
              <w:rPr>
                <w:b/>
                <w:sz w:val="20"/>
                <w:szCs w:val="20"/>
              </w:rPr>
            </w:pPr>
            <w:r>
              <w:rPr>
                <w:b/>
                <w:sz w:val="20"/>
              </w:rPr>
              <w:t>347 644</w:t>
            </w:r>
          </w:p>
        </w:tc>
      </w:tr>
    </w:tbl>
    <w:p w:rsidR="00642FB4" w:rsidRDefault="00642FB4">
      <w:pPr>
        <w:autoSpaceDE w:val="0"/>
        <w:autoSpaceDN w:val="0"/>
        <w:adjustRightInd w:val="0"/>
        <w:spacing w:before="60" w:after="60" w:line="288" w:lineRule="auto"/>
        <w:jc w:val="both"/>
        <w:rPr>
          <w:rFonts w:cs="Arial"/>
          <w:bCs/>
          <w:i/>
          <w:color w:val="000000"/>
        </w:rPr>
      </w:pPr>
    </w:p>
    <w:p w:rsidR="00642FB4" w:rsidRDefault="00642FB4">
      <w:pPr>
        <w:widowControl w:val="0"/>
        <w:autoSpaceDE w:val="0"/>
        <w:autoSpaceDN w:val="0"/>
        <w:adjustRightInd w:val="0"/>
        <w:spacing w:before="60" w:after="60" w:line="288" w:lineRule="auto"/>
        <w:ind w:firstLine="709"/>
        <w:jc w:val="both"/>
        <w:rPr>
          <w:rFonts w:cs="Arial"/>
        </w:rPr>
      </w:pPr>
      <w:r>
        <w:t xml:space="preserve">В умовах деградації ґрунтів в 2013 році, критичні райони, що постраждали від глибинної ерозії та активних зсувів, такі як Тодірешть - Пагорб Осой, який є частиною моніторингу ІІ - гої категорії. </w:t>
      </w:r>
    </w:p>
    <w:p w:rsidR="00642FB4" w:rsidRDefault="00642FB4">
      <w:pPr>
        <w:autoSpaceDE w:val="0"/>
        <w:autoSpaceDN w:val="0"/>
        <w:adjustRightInd w:val="0"/>
        <w:spacing w:before="60" w:after="60" w:line="288" w:lineRule="auto"/>
        <w:ind w:firstLine="720"/>
        <w:jc w:val="both"/>
        <w:rPr>
          <w:rFonts w:eastAsia="Calibri" w:cs="Arial"/>
          <w:b/>
        </w:rPr>
      </w:pPr>
      <w:r>
        <w:t>У 2013 році не було жодного великого забруднення навколишнього середовища або аварійного забруднення.</w:t>
      </w:r>
    </w:p>
    <w:p w:rsidR="00642FB4" w:rsidRDefault="00642FB4">
      <w:pPr>
        <w:spacing w:before="60" w:after="60" w:line="288" w:lineRule="auto"/>
        <w:jc w:val="both"/>
        <w:outlineLvl w:val="0"/>
        <w:rPr>
          <w:rFonts w:cs="Arial"/>
          <w:b/>
          <w:bCs/>
          <w:snapToGrid w:val="0"/>
          <w:kern w:val="28"/>
        </w:rPr>
      </w:pPr>
    </w:p>
    <w:p w:rsidR="00642FB4" w:rsidRDefault="00642FB4">
      <w:pPr>
        <w:pStyle w:val="Heading1"/>
        <w:rPr>
          <w:rFonts w:ascii="Arial" w:hAnsi="Arial" w:cs="Arial"/>
          <w:sz w:val="24"/>
          <w:szCs w:val="24"/>
        </w:rPr>
      </w:pPr>
      <w:bookmarkStart w:id="22" w:name="_Toc418279303"/>
      <w:bookmarkStart w:id="23" w:name="_Toc419199665"/>
      <w:r>
        <w:rPr>
          <w:rFonts w:ascii="Arial" w:hAnsi="Arial"/>
          <w:sz w:val="24"/>
        </w:rPr>
        <w:t>4.5 Повіт Тулча</w:t>
      </w:r>
      <w:bookmarkEnd w:id="22"/>
      <w:bookmarkEnd w:id="23"/>
      <w:r>
        <w:rPr>
          <w:rFonts w:ascii="Arial" w:hAnsi="Arial"/>
          <w:sz w:val="24"/>
        </w:rPr>
        <w:t xml:space="preserve"> </w:t>
      </w:r>
    </w:p>
    <w:p w:rsidR="00642FB4" w:rsidRDefault="00642FB4">
      <w:pPr>
        <w:spacing w:before="60" w:after="60" w:line="288" w:lineRule="auto"/>
        <w:jc w:val="both"/>
        <w:rPr>
          <w:b/>
        </w:rPr>
      </w:pPr>
    </w:p>
    <w:p w:rsidR="00642FB4" w:rsidRDefault="00642FB4">
      <w:pPr>
        <w:numPr>
          <w:ilvl w:val="0"/>
          <w:numId w:val="1"/>
        </w:numPr>
        <w:spacing w:before="60" w:after="60" w:line="288" w:lineRule="auto"/>
        <w:jc w:val="both"/>
        <w:rPr>
          <w:rFonts w:cs="Arial"/>
          <w:b/>
        </w:rPr>
      </w:pPr>
      <w:r>
        <w:rPr>
          <w:b/>
        </w:rPr>
        <w:t>ПОВІТРЯ</w:t>
      </w:r>
    </w:p>
    <w:p w:rsidR="00642FB4" w:rsidRDefault="00642FB4">
      <w:pPr>
        <w:spacing w:before="60" w:after="60" w:line="288" w:lineRule="auto"/>
        <w:ind w:firstLine="720"/>
        <w:jc w:val="both"/>
        <w:rPr>
          <w:rFonts w:cs="Arial"/>
          <w:b/>
          <w:bCs/>
        </w:rPr>
      </w:pPr>
      <w:r>
        <w:t xml:space="preserve"> </w:t>
      </w:r>
      <w:r>
        <w:rPr>
          <w:i/>
        </w:rPr>
        <w:t>Діоксид сірки (SO</w:t>
      </w:r>
      <w:r>
        <w:rPr>
          <w:i/>
          <w:vertAlign w:val="subscript"/>
        </w:rPr>
        <w:t>2</w:t>
      </w:r>
      <w:r>
        <w:rPr>
          <w:i/>
        </w:rPr>
        <w:t>)</w:t>
      </w:r>
      <w:r>
        <w:rPr>
          <w:b/>
        </w:rPr>
        <w:t xml:space="preserve"> </w:t>
      </w:r>
    </w:p>
    <w:p w:rsidR="00642FB4" w:rsidRDefault="00642FB4">
      <w:pPr>
        <w:autoSpaceDE w:val="0"/>
        <w:autoSpaceDN w:val="0"/>
        <w:adjustRightInd w:val="0"/>
        <w:spacing w:before="60" w:after="60" w:line="288" w:lineRule="auto"/>
        <w:ind w:firstLine="720"/>
        <w:jc w:val="both"/>
        <w:rPr>
          <w:rFonts w:cs="Arial"/>
        </w:rPr>
      </w:pPr>
      <w:r>
        <w:t>У 2013 році кількість викидів SO</w:t>
      </w:r>
      <w:r>
        <w:rPr>
          <w:vertAlign w:val="subscript"/>
        </w:rPr>
        <w:t>2</w:t>
      </w:r>
      <w:r>
        <w:t xml:space="preserve"> в атмосферу (кількість отримана в результаті розрахунку відповідно до методології КОРІНЕЙР 2009) склала 9137 тонн, з яких:</w:t>
      </w:r>
    </w:p>
    <w:p w:rsidR="00642FB4" w:rsidRDefault="00642FB4">
      <w:pPr>
        <w:numPr>
          <w:ilvl w:val="0"/>
          <w:numId w:val="30"/>
        </w:numPr>
        <w:spacing w:before="60" w:after="60" w:line="288" w:lineRule="auto"/>
        <w:ind w:left="993" w:hanging="284"/>
        <w:jc w:val="both"/>
        <w:rPr>
          <w:rFonts w:eastAsia="EUAlbertina-Regular-Identity-H"/>
          <w:bCs/>
        </w:rPr>
      </w:pPr>
      <w:r>
        <w:t>спалювання в енергетиці та трансформаторній промисловості   2.069 т;</w:t>
      </w:r>
    </w:p>
    <w:p w:rsidR="00642FB4" w:rsidRDefault="00642FB4">
      <w:pPr>
        <w:numPr>
          <w:ilvl w:val="0"/>
          <w:numId w:val="30"/>
        </w:numPr>
        <w:spacing w:before="60" w:after="60" w:line="288" w:lineRule="auto"/>
        <w:ind w:left="993" w:hanging="284"/>
        <w:jc w:val="both"/>
        <w:rPr>
          <w:rFonts w:eastAsia="EUAlbertina-Regular-Identity-H"/>
          <w:bCs/>
        </w:rPr>
      </w:pPr>
      <w:r>
        <w:t>непромислові установки для спалювання</w:t>
      </w:r>
      <w:r>
        <w:tab/>
      </w:r>
      <w:r>
        <w:tab/>
      </w:r>
      <w:r>
        <w:tab/>
      </w:r>
      <w:r>
        <w:tab/>
      </w:r>
      <w:r>
        <w:tab/>
        <w:t xml:space="preserve">       4,909 т;</w:t>
      </w:r>
    </w:p>
    <w:p w:rsidR="00642FB4" w:rsidRDefault="00642FB4">
      <w:pPr>
        <w:numPr>
          <w:ilvl w:val="0"/>
          <w:numId w:val="30"/>
        </w:numPr>
        <w:spacing w:before="60" w:after="60" w:line="288" w:lineRule="auto"/>
        <w:ind w:left="993" w:hanging="284"/>
        <w:jc w:val="both"/>
        <w:rPr>
          <w:rFonts w:eastAsia="EUAlbertina-Regular-Identity-H"/>
          <w:bCs/>
        </w:rPr>
      </w:pPr>
      <w:r>
        <w:t xml:space="preserve">спалювання в обробній промисловості </w:t>
      </w:r>
      <w:r>
        <w:tab/>
      </w:r>
      <w:r>
        <w:tab/>
      </w:r>
      <w:r>
        <w:tab/>
      </w:r>
      <w:r>
        <w:tab/>
      </w:r>
      <w:r>
        <w:tab/>
        <w:t xml:space="preserve">       0,411 т;</w:t>
      </w:r>
    </w:p>
    <w:p w:rsidR="00642FB4" w:rsidRDefault="00642FB4">
      <w:pPr>
        <w:numPr>
          <w:ilvl w:val="0"/>
          <w:numId w:val="30"/>
        </w:numPr>
        <w:spacing w:before="60" w:after="60" w:line="288" w:lineRule="auto"/>
        <w:ind w:left="993" w:hanging="284"/>
        <w:jc w:val="both"/>
        <w:rPr>
          <w:rFonts w:eastAsia="EUAlbertina-Regular-Identity-H"/>
          <w:bCs/>
        </w:rPr>
      </w:pPr>
      <w:r>
        <w:t>виробничі процеси</w:t>
      </w:r>
      <w:r>
        <w:tab/>
      </w:r>
      <w:r>
        <w:tab/>
      </w:r>
      <w:r>
        <w:tab/>
      </w:r>
      <w:r>
        <w:tab/>
      </w:r>
      <w:r>
        <w:tab/>
      </w:r>
      <w:r>
        <w:tab/>
      </w:r>
      <w:r>
        <w:tab/>
        <w:t xml:space="preserve">    </w:t>
      </w:r>
      <w:r>
        <w:tab/>
        <w:t xml:space="preserve">       0,349  т. </w:t>
      </w:r>
    </w:p>
    <w:p w:rsidR="00642FB4" w:rsidRDefault="00642FB4">
      <w:pPr>
        <w:spacing w:before="60" w:after="60" w:line="288" w:lineRule="auto"/>
        <w:ind w:left="993"/>
        <w:jc w:val="both"/>
        <w:rPr>
          <w:rFonts w:eastAsia="EUAlbertina-Regular-Identity-H"/>
          <w:bCs/>
        </w:rPr>
      </w:pPr>
    </w:p>
    <w:p w:rsidR="00642FB4" w:rsidRDefault="001C33BE">
      <w:pPr>
        <w:widowControl w:val="0"/>
        <w:spacing w:before="60" w:after="60" w:line="288" w:lineRule="auto"/>
        <w:jc w:val="center"/>
      </w:pPr>
      <w:r>
        <w:rPr>
          <w:noProof/>
          <w:lang w:val="en-US" w:eastAsia="en-US"/>
        </w:rPr>
        <w:drawing>
          <wp:inline distT="0" distB="0" distL="0" distR="0" wp14:anchorId="22C5E40D" wp14:editId="1CCA96E6">
            <wp:extent cx="4596130" cy="2234565"/>
            <wp:effectExtent l="0" t="0" r="0" b="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srcRect/>
                    <a:stretch>
                      <a:fillRect/>
                    </a:stretch>
                  </pic:blipFill>
                  <pic:spPr bwMode="auto">
                    <a:xfrm>
                      <a:off x="0" y="0"/>
                      <a:ext cx="4596130" cy="2234565"/>
                    </a:xfrm>
                    <a:prstGeom prst="rect">
                      <a:avLst/>
                    </a:prstGeom>
                    <a:noFill/>
                    <a:ln w="9525">
                      <a:noFill/>
                      <a:miter lim="800000"/>
                      <a:headEnd/>
                      <a:tailEnd/>
                    </a:ln>
                  </pic:spPr>
                </pic:pic>
              </a:graphicData>
            </a:graphic>
          </wp:inline>
        </w:drawing>
      </w:r>
    </w:p>
    <w:p w:rsidR="00642FB4" w:rsidRDefault="00642FB4">
      <w:pPr>
        <w:widowControl w:val="0"/>
        <w:spacing w:before="60" w:after="60" w:line="288" w:lineRule="auto"/>
        <w:jc w:val="center"/>
        <w:rPr>
          <w:rFonts w:cs="Arial"/>
          <w:b/>
          <w:sz w:val="22"/>
          <w:szCs w:val="22"/>
        </w:rPr>
      </w:pPr>
      <w:r>
        <w:rPr>
          <w:b/>
          <w:i/>
          <w:sz w:val="22"/>
        </w:rPr>
        <w:t>Рисунок  4.5.1</w:t>
      </w:r>
      <w:r>
        <w:rPr>
          <w:b/>
          <w:sz w:val="22"/>
        </w:rPr>
        <w:t xml:space="preserve">  </w:t>
      </w:r>
      <w:r>
        <w:rPr>
          <w:sz w:val="22"/>
        </w:rPr>
        <w:t>Еволюція викидів SO</w:t>
      </w:r>
      <w:r>
        <w:rPr>
          <w:sz w:val="22"/>
          <w:vertAlign w:val="subscript"/>
        </w:rPr>
        <w:t>2</w:t>
      </w:r>
    </w:p>
    <w:p w:rsidR="00642FB4" w:rsidRDefault="00642FB4">
      <w:pPr>
        <w:widowControl w:val="0"/>
        <w:spacing w:before="60" w:after="60" w:line="288" w:lineRule="auto"/>
        <w:ind w:firstLine="720"/>
        <w:jc w:val="both"/>
        <w:rPr>
          <w:rFonts w:cs="Arial"/>
          <w:sz w:val="10"/>
          <w:szCs w:val="10"/>
        </w:rPr>
      </w:pPr>
    </w:p>
    <w:p w:rsidR="00642FB4" w:rsidRDefault="00642FB4">
      <w:pPr>
        <w:autoSpaceDE w:val="0"/>
        <w:autoSpaceDN w:val="0"/>
        <w:adjustRightInd w:val="0"/>
        <w:spacing w:before="60" w:after="60" w:line="288" w:lineRule="auto"/>
        <w:ind w:firstLine="720"/>
        <w:jc w:val="both"/>
        <w:rPr>
          <w:rFonts w:cs="Arial"/>
        </w:rPr>
      </w:pPr>
      <w:r>
        <w:t>Відмічається зниження викидів SO</w:t>
      </w:r>
      <w:r>
        <w:rPr>
          <w:vertAlign w:val="subscript"/>
        </w:rPr>
        <w:t>2</w:t>
      </w:r>
      <w:r>
        <w:t xml:space="preserve"> на 6,9% порівняно з попереднім роком. Це зниження обумовлене, зокрема, використанням природного газу замість рідких видів палива.  </w:t>
      </w:r>
    </w:p>
    <w:p w:rsidR="00642FB4" w:rsidRDefault="00642FB4">
      <w:pPr>
        <w:spacing w:before="60" w:after="60" w:line="288" w:lineRule="auto"/>
        <w:jc w:val="both"/>
        <w:rPr>
          <w:rFonts w:cs="Arial"/>
          <w:bCs/>
        </w:rPr>
      </w:pPr>
    </w:p>
    <w:p w:rsidR="00642FB4" w:rsidRDefault="00642FB4">
      <w:pPr>
        <w:spacing w:before="60" w:after="60" w:line="288" w:lineRule="auto"/>
        <w:ind w:firstLine="720"/>
        <w:jc w:val="both"/>
        <w:rPr>
          <w:rFonts w:cs="Arial"/>
          <w:i/>
        </w:rPr>
      </w:pPr>
      <w:r>
        <w:rPr>
          <w:i/>
        </w:rPr>
        <w:t xml:space="preserve">Оксиди азоту (NOx) </w:t>
      </w:r>
    </w:p>
    <w:p w:rsidR="00642FB4" w:rsidRDefault="00642FB4">
      <w:pPr>
        <w:autoSpaceDE w:val="0"/>
        <w:autoSpaceDN w:val="0"/>
        <w:adjustRightInd w:val="0"/>
        <w:spacing w:before="60" w:after="60" w:line="288" w:lineRule="auto"/>
        <w:ind w:firstLine="630"/>
        <w:jc w:val="both"/>
        <w:rPr>
          <w:rFonts w:ascii="Arial,Italic" w:eastAsia="Arial,Italic" w:cs="Arial,Italic"/>
          <w:i/>
          <w:iCs/>
        </w:rPr>
      </w:pPr>
      <w:r>
        <w:t>Викиди NOx походять в основному від:</w:t>
      </w:r>
    </w:p>
    <w:p w:rsidR="00642FB4" w:rsidRDefault="00642FB4">
      <w:pPr>
        <w:numPr>
          <w:ilvl w:val="0"/>
          <w:numId w:val="30"/>
        </w:numPr>
        <w:spacing w:before="60" w:after="60" w:line="288" w:lineRule="auto"/>
        <w:ind w:left="993" w:hanging="284"/>
        <w:jc w:val="both"/>
        <w:rPr>
          <w:rFonts w:eastAsia="EUAlbertina-Regular-Identity-H"/>
          <w:bCs/>
        </w:rPr>
      </w:pPr>
      <w:r>
        <w:t>спалювання в енергетиці та трансформаторній промисловості   19%;</w:t>
      </w:r>
    </w:p>
    <w:p w:rsidR="00642FB4" w:rsidRDefault="00642FB4">
      <w:pPr>
        <w:numPr>
          <w:ilvl w:val="0"/>
          <w:numId w:val="30"/>
        </w:numPr>
        <w:spacing w:before="60" w:after="60" w:line="288" w:lineRule="auto"/>
        <w:ind w:left="993" w:hanging="284"/>
        <w:jc w:val="both"/>
        <w:rPr>
          <w:rFonts w:eastAsia="EUAlbertina-Regular-Identity-H"/>
          <w:bCs/>
        </w:rPr>
      </w:pPr>
      <w:r>
        <w:t>непромислові установки для спалювання</w:t>
      </w:r>
      <w:r>
        <w:tab/>
      </w:r>
      <w:r>
        <w:tab/>
      </w:r>
      <w:r>
        <w:tab/>
      </w:r>
      <w:r>
        <w:tab/>
        <w:t>27%;</w:t>
      </w:r>
    </w:p>
    <w:p w:rsidR="00642FB4" w:rsidRDefault="00642FB4">
      <w:pPr>
        <w:numPr>
          <w:ilvl w:val="0"/>
          <w:numId w:val="30"/>
        </w:numPr>
        <w:spacing w:before="60" w:after="60" w:line="288" w:lineRule="auto"/>
        <w:ind w:left="993" w:hanging="284"/>
        <w:jc w:val="both"/>
        <w:rPr>
          <w:rFonts w:eastAsia="EUAlbertina-Regular-Identity-H"/>
          <w:bCs/>
        </w:rPr>
      </w:pPr>
      <w:r>
        <w:t xml:space="preserve">спалювання в обробній промисловості </w:t>
      </w:r>
      <w:r>
        <w:tab/>
      </w:r>
      <w:r>
        <w:tab/>
      </w:r>
      <w:r>
        <w:tab/>
      </w:r>
      <w:r>
        <w:tab/>
        <w:t xml:space="preserve">  7%;</w:t>
      </w:r>
    </w:p>
    <w:p w:rsidR="00642FB4" w:rsidRDefault="00642FB4">
      <w:pPr>
        <w:numPr>
          <w:ilvl w:val="0"/>
          <w:numId w:val="30"/>
        </w:numPr>
        <w:spacing w:before="60" w:after="60" w:line="288" w:lineRule="auto"/>
        <w:ind w:left="993" w:hanging="284"/>
        <w:jc w:val="both"/>
        <w:rPr>
          <w:rFonts w:eastAsia="EUAlbertina-Regular-Identity-H"/>
          <w:bCs/>
        </w:rPr>
      </w:pPr>
      <w:r>
        <w:t xml:space="preserve">дорожній транспорт </w:t>
      </w:r>
      <w:r>
        <w:tab/>
      </w:r>
      <w:r>
        <w:tab/>
      </w:r>
      <w:r>
        <w:tab/>
      </w:r>
      <w:r>
        <w:tab/>
      </w:r>
      <w:r>
        <w:tab/>
      </w:r>
      <w:r>
        <w:tab/>
      </w:r>
      <w:r>
        <w:tab/>
        <w:t>32%;</w:t>
      </w:r>
    </w:p>
    <w:p w:rsidR="00642FB4" w:rsidRDefault="00642FB4">
      <w:pPr>
        <w:numPr>
          <w:ilvl w:val="0"/>
          <w:numId w:val="30"/>
        </w:numPr>
        <w:spacing w:before="60" w:after="60" w:line="288" w:lineRule="auto"/>
        <w:ind w:left="993" w:hanging="284"/>
        <w:jc w:val="both"/>
        <w:rPr>
          <w:rFonts w:eastAsia="EUAlbertina-Regular-Identity-H"/>
          <w:bCs/>
        </w:rPr>
      </w:pPr>
      <w:r>
        <w:t xml:space="preserve">мобільні джерела та техніка </w:t>
      </w:r>
      <w:r>
        <w:tab/>
      </w:r>
      <w:r>
        <w:tab/>
      </w:r>
      <w:r>
        <w:tab/>
      </w:r>
      <w:r>
        <w:tab/>
      </w:r>
      <w:r>
        <w:tab/>
      </w:r>
      <w:r>
        <w:tab/>
        <w:t>15%.</w:t>
      </w:r>
    </w:p>
    <w:p w:rsidR="00642FB4" w:rsidRDefault="00642FB4">
      <w:pPr>
        <w:widowControl w:val="0"/>
        <w:spacing w:before="60" w:after="60" w:line="288" w:lineRule="auto"/>
        <w:ind w:left="720"/>
        <w:jc w:val="both"/>
        <w:rPr>
          <w:rFonts w:cs="Arial"/>
        </w:rPr>
      </w:pPr>
    </w:p>
    <w:p w:rsidR="00642FB4" w:rsidRDefault="001C33BE">
      <w:pPr>
        <w:spacing w:before="60" w:after="60" w:line="288" w:lineRule="auto"/>
        <w:ind w:firstLine="720"/>
        <w:jc w:val="center"/>
        <w:rPr>
          <w:rFonts w:cs="Arial"/>
        </w:rPr>
      </w:pPr>
      <w:r>
        <w:rPr>
          <w:rFonts w:cs="Arial"/>
          <w:noProof/>
          <w:lang w:val="en-US" w:eastAsia="en-US"/>
        </w:rPr>
        <w:drawing>
          <wp:inline distT="0" distB="0" distL="0" distR="0" wp14:anchorId="230BB6AB" wp14:editId="136B920B">
            <wp:extent cx="3729355" cy="1788795"/>
            <wp:effectExtent l="0" t="0" r="0"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srcRect/>
                    <a:stretch>
                      <a:fillRect/>
                    </a:stretch>
                  </pic:blipFill>
                  <pic:spPr bwMode="auto">
                    <a:xfrm>
                      <a:off x="0" y="0"/>
                      <a:ext cx="3729355" cy="1788795"/>
                    </a:xfrm>
                    <a:prstGeom prst="rect">
                      <a:avLst/>
                    </a:prstGeom>
                    <a:noFill/>
                    <a:ln w="9525">
                      <a:noFill/>
                      <a:miter lim="800000"/>
                      <a:headEnd/>
                      <a:tailEnd/>
                    </a:ln>
                  </pic:spPr>
                </pic:pic>
              </a:graphicData>
            </a:graphic>
          </wp:inline>
        </w:drawing>
      </w:r>
    </w:p>
    <w:p w:rsidR="00642FB4" w:rsidRDefault="00642FB4">
      <w:pPr>
        <w:widowControl w:val="0"/>
        <w:spacing w:before="60" w:after="60" w:line="288" w:lineRule="auto"/>
        <w:ind w:left="720"/>
        <w:jc w:val="center"/>
        <w:rPr>
          <w:rFonts w:cs="Arial"/>
          <w:b/>
          <w:sz w:val="22"/>
          <w:szCs w:val="22"/>
        </w:rPr>
      </w:pPr>
      <w:r>
        <w:rPr>
          <w:b/>
          <w:i/>
          <w:sz w:val="22"/>
        </w:rPr>
        <w:t>Рисунок  4.5.2</w:t>
      </w:r>
      <w:r>
        <w:rPr>
          <w:b/>
          <w:sz w:val="22"/>
        </w:rPr>
        <w:t xml:space="preserve">  </w:t>
      </w:r>
      <w:r>
        <w:rPr>
          <w:sz w:val="22"/>
        </w:rPr>
        <w:t>Еволюція викидів  NO</w:t>
      </w:r>
      <w:r>
        <w:rPr>
          <w:sz w:val="22"/>
          <w:vertAlign w:val="subscript"/>
        </w:rPr>
        <w:t>x</w:t>
      </w:r>
    </w:p>
    <w:p w:rsidR="00642FB4" w:rsidRDefault="00642FB4">
      <w:pPr>
        <w:spacing w:before="60" w:after="60" w:line="288" w:lineRule="auto"/>
        <w:ind w:firstLine="720"/>
        <w:jc w:val="both"/>
        <w:rPr>
          <w:rFonts w:cs="Arial"/>
        </w:rPr>
      </w:pPr>
    </w:p>
    <w:p w:rsidR="00642FB4" w:rsidRDefault="00642FB4">
      <w:pPr>
        <w:spacing w:before="60" w:after="60" w:line="288" w:lineRule="auto"/>
        <w:ind w:firstLine="720"/>
        <w:jc w:val="both"/>
        <w:rPr>
          <w:b/>
          <w:bCs/>
        </w:rPr>
      </w:pPr>
      <w:r>
        <w:t>В 2013 році відмічається зниження викидів  NO</w:t>
      </w:r>
      <w:r>
        <w:rPr>
          <w:sz w:val="22"/>
          <w:vertAlign w:val="subscript"/>
        </w:rPr>
        <w:t>x</w:t>
      </w:r>
      <w:r>
        <w:t xml:space="preserve"> на 3,3% порівняно з попереднім роком. Одна з причин цього зниження є використання пальників з низьким рівнем NO</w:t>
      </w:r>
      <w:r>
        <w:rPr>
          <w:vertAlign w:val="subscript"/>
        </w:rPr>
        <w:t>x</w:t>
      </w:r>
      <w:r>
        <w:t xml:space="preserve"> КАФ в АО Енерготерм ТТ Тулча.</w:t>
      </w:r>
    </w:p>
    <w:p w:rsidR="00642FB4" w:rsidRDefault="00642FB4">
      <w:pPr>
        <w:spacing w:before="60" w:after="60" w:line="288" w:lineRule="auto"/>
        <w:ind w:firstLine="720"/>
        <w:jc w:val="both"/>
        <w:rPr>
          <w:rFonts w:cs="Arial"/>
        </w:rPr>
      </w:pPr>
      <w:r>
        <w:t>На рівні повіту Тулча працюють три автоматичні станції моніторингу якості повітря як входять до складу Національної Мережі Для Моніторингу Якості Повітря (НММЯП), розташовані відповідно до критеріїв, встановлених європейськими директивами про якість повітря для захисту здоров'я людини, рослинності та екосистем з метою оцінки впливу різних видів джерел викидів.</w:t>
      </w:r>
    </w:p>
    <w:p w:rsidR="00642FB4" w:rsidRDefault="00642FB4">
      <w:pPr>
        <w:spacing w:before="60" w:after="60" w:line="288" w:lineRule="auto"/>
        <w:ind w:firstLine="720"/>
        <w:jc w:val="both"/>
        <w:rPr>
          <w:rFonts w:cs="Arial"/>
        </w:rPr>
      </w:pPr>
      <w:r>
        <w:t>До них додаєся лабораторне обладнання, що використовується для вимірювання концентрації важких металів: свинець (Pb), кадмій (Cd), миш'як (As), нікель (Ni), концентрації твердих частинок аерозолів і вкладів (PM10).</w:t>
      </w:r>
    </w:p>
    <w:p w:rsidR="00642FB4" w:rsidRDefault="00642FB4">
      <w:pPr>
        <w:spacing w:before="60" w:after="60" w:line="288" w:lineRule="auto"/>
        <w:ind w:firstLine="720"/>
        <w:jc w:val="both"/>
        <w:rPr>
          <w:rFonts w:cs="Arial"/>
        </w:rPr>
      </w:pPr>
    </w:p>
    <w:p w:rsidR="00642FB4" w:rsidRDefault="00642FB4">
      <w:pPr>
        <w:spacing w:before="60" w:after="60" w:line="288" w:lineRule="auto"/>
        <w:ind w:firstLine="720"/>
        <w:jc w:val="center"/>
        <w:rPr>
          <w:rFonts w:cs="Arial"/>
          <w:sz w:val="22"/>
          <w:szCs w:val="22"/>
        </w:rPr>
      </w:pPr>
      <w:r>
        <w:rPr>
          <w:b/>
          <w:i/>
          <w:sz w:val="22"/>
        </w:rPr>
        <w:t>Таблиця 4.5.1</w:t>
      </w:r>
      <w:r>
        <w:rPr>
          <w:b/>
          <w:sz w:val="22"/>
        </w:rPr>
        <w:t xml:space="preserve"> </w:t>
      </w:r>
      <w:r>
        <w:t>Станції моніторингу якості повітря</w:t>
      </w:r>
    </w:p>
    <w:tbl>
      <w:tblPr>
        <w:tblW w:w="9042" w:type="dxa"/>
        <w:tblInd w:w="9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1132"/>
        <w:gridCol w:w="6380"/>
      </w:tblGrid>
      <w:tr w:rsidR="00642FB4">
        <w:trPr>
          <w:trHeight w:hRule="exact" w:val="510"/>
        </w:trPr>
        <w:tc>
          <w:tcPr>
            <w:tcW w:w="1418" w:type="dxa"/>
          </w:tcPr>
          <w:p w:rsidR="00642FB4" w:rsidRDefault="00642FB4">
            <w:pPr>
              <w:jc w:val="both"/>
              <w:rPr>
                <w:rFonts w:cs="Arial"/>
                <w:b/>
                <w:sz w:val="20"/>
                <w:szCs w:val="20"/>
              </w:rPr>
            </w:pPr>
            <w:r>
              <w:rPr>
                <w:b/>
                <w:sz w:val="20"/>
              </w:rPr>
              <w:t>Тип станції</w:t>
            </w:r>
          </w:p>
        </w:tc>
        <w:tc>
          <w:tcPr>
            <w:tcW w:w="1054" w:type="dxa"/>
          </w:tcPr>
          <w:p w:rsidR="00642FB4" w:rsidRDefault="00642FB4">
            <w:pPr>
              <w:jc w:val="both"/>
              <w:rPr>
                <w:rFonts w:cs="Arial"/>
                <w:b/>
                <w:sz w:val="20"/>
                <w:szCs w:val="20"/>
              </w:rPr>
            </w:pPr>
            <w:r>
              <w:rPr>
                <w:b/>
                <w:sz w:val="20"/>
              </w:rPr>
              <w:t>Кількість станцій</w:t>
            </w:r>
          </w:p>
        </w:tc>
        <w:tc>
          <w:tcPr>
            <w:tcW w:w="6570" w:type="dxa"/>
          </w:tcPr>
          <w:p w:rsidR="00642FB4" w:rsidRDefault="00642FB4">
            <w:pPr>
              <w:jc w:val="both"/>
              <w:rPr>
                <w:rFonts w:cs="Arial"/>
                <w:b/>
                <w:sz w:val="20"/>
                <w:szCs w:val="20"/>
              </w:rPr>
            </w:pPr>
            <w:r>
              <w:rPr>
                <w:b/>
                <w:sz w:val="20"/>
              </w:rPr>
              <w:t>Місцезнаходження</w:t>
            </w:r>
          </w:p>
        </w:tc>
      </w:tr>
      <w:tr w:rsidR="00642FB4">
        <w:trPr>
          <w:trHeight w:hRule="exact" w:val="510"/>
        </w:trPr>
        <w:tc>
          <w:tcPr>
            <w:tcW w:w="1418" w:type="dxa"/>
          </w:tcPr>
          <w:p w:rsidR="00642FB4" w:rsidRDefault="00642FB4">
            <w:pPr>
              <w:jc w:val="both"/>
              <w:rPr>
                <w:rFonts w:cs="Arial"/>
                <w:sz w:val="20"/>
                <w:szCs w:val="20"/>
              </w:rPr>
            </w:pPr>
            <w:r>
              <w:rPr>
                <w:sz w:val="20"/>
              </w:rPr>
              <w:t>для дорожнього руху</w:t>
            </w:r>
          </w:p>
        </w:tc>
        <w:tc>
          <w:tcPr>
            <w:tcW w:w="1054" w:type="dxa"/>
          </w:tcPr>
          <w:p w:rsidR="00642FB4" w:rsidRDefault="00642FB4">
            <w:pPr>
              <w:jc w:val="center"/>
              <w:rPr>
                <w:rFonts w:cs="Arial"/>
                <w:sz w:val="20"/>
                <w:szCs w:val="20"/>
              </w:rPr>
            </w:pPr>
            <w:r>
              <w:rPr>
                <w:sz w:val="20"/>
              </w:rPr>
              <w:t>1</w:t>
            </w:r>
          </w:p>
        </w:tc>
        <w:tc>
          <w:tcPr>
            <w:tcW w:w="6570" w:type="dxa"/>
          </w:tcPr>
          <w:p w:rsidR="00642FB4" w:rsidRDefault="00642FB4">
            <w:pPr>
              <w:jc w:val="both"/>
              <w:rPr>
                <w:rFonts w:cs="Arial"/>
                <w:sz w:val="20"/>
                <w:szCs w:val="20"/>
              </w:rPr>
            </w:pPr>
            <w:r>
              <w:rPr>
                <w:sz w:val="20"/>
              </w:rPr>
              <w:t>Станція знаходиться приблизно в 10 м від перехрестя вулиць Ісакча 1848 та Перемоги з інтенсивним дорожнім рухом</w:t>
            </w:r>
          </w:p>
        </w:tc>
      </w:tr>
      <w:tr w:rsidR="00642FB4">
        <w:trPr>
          <w:trHeight w:hRule="exact" w:val="510"/>
        </w:trPr>
        <w:tc>
          <w:tcPr>
            <w:tcW w:w="1418" w:type="dxa"/>
          </w:tcPr>
          <w:p w:rsidR="00642FB4" w:rsidRDefault="00642FB4">
            <w:pPr>
              <w:jc w:val="both"/>
              <w:rPr>
                <w:rFonts w:cs="Arial"/>
                <w:sz w:val="20"/>
                <w:szCs w:val="20"/>
              </w:rPr>
            </w:pPr>
            <w:r>
              <w:rPr>
                <w:sz w:val="20"/>
              </w:rPr>
              <w:t>промислового типу</w:t>
            </w:r>
          </w:p>
        </w:tc>
        <w:tc>
          <w:tcPr>
            <w:tcW w:w="1054" w:type="dxa"/>
          </w:tcPr>
          <w:p w:rsidR="00642FB4" w:rsidRDefault="00642FB4">
            <w:pPr>
              <w:jc w:val="center"/>
              <w:rPr>
                <w:rFonts w:cs="Arial"/>
                <w:sz w:val="20"/>
                <w:szCs w:val="20"/>
              </w:rPr>
            </w:pPr>
            <w:r>
              <w:rPr>
                <w:sz w:val="20"/>
              </w:rPr>
              <w:t>1</w:t>
            </w:r>
          </w:p>
        </w:tc>
        <w:tc>
          <w:tcPr>
            <w:tcW w:w="6570" w:type="dxa"/>
          </w:tcPr>
          <w:p w:rsidR="00642FB4" w:rsidRDefault="00642FB4">
            <w:pPr>
              <w:jc w:val="both"/>
              <w:rPr>
                <w:rFonts w:cs="Arial"/>
                <w:sz w:val="20"/>
                <w:szCs w:val="20"/>
              </w:rPr>
            </w:pPr>
            <w:r>
              <w:rPr>
                <w:sz w:val="20"/>
              </w:rPr>
              <w:t>Станція знаходиться приблизно в 1 км від промисловому майданчику Тулча Захід у дворі АО Транспорт Публік ТТ.</w:t>
            </w:r>
          </w:p>
          <w:p w:rsidR="00642FB4" w:rsidRDefault="00642FB4">
            <w:pPr>
              <w:jc w:val="both"/>
              <w:rPr>
                <w:rFonts w:cs="Arial"/>
                <w:sz w:val="20"/>
                <w:szCs w:val="20"/>
              </w:rPr>
            </w:pPr>
          </w:p>
        </w:tc>
      </w:tr>
      <w:tr w:rsidR="00642FB4">
        <w:trPr>
          <w:trHeight w:hRule="exact" w:val="226"/>
        </w:trPr>
        <w:tc>
          <w:tcPr>
            <w:tcW w:w="1418" w:type="dxa"/>
          </w:tcPr>
          <w:p w:rsidR="00642FB4" w:rsidRDefault="00642FB4">
            <w:pPr>
              <w:jc w:val="both"/>
              <w:rPr>
                <w:rFonts w:cs="Arial"/>
                <w:sz w:val="20"/>
                <w:szCs w:val="20"/>
              </w:rPr>
            </w:pPr>
            <w:r>
              <w:rPr>
                <w:sz w:val="20"/>
              </w:rPr>
              <w:t>приміська/для дорожнього руху</w:t>
            </w:r>
          </w:p>
        </w:tc>
        <w:tc>
          <w:tcPr>
            <w:tcW w:w="1054" w:type="dxa"/>
          </w:tcPr>
          <w:p w:rsidR="00642FB4" w:rsidRDefault="00642FB4">
            <w:pPr>
              <w:jc w:val="center"/>
              <w:rPr>
                <w:rFonts w:cs="Arial"/>
                <w:sz w:val="20"/>
                <w:szCs w:val="20"/>
              </w:rPr>
            </w:pPr>
            <w:r>
              <w:rPr>
                <w:sz w:val="20"/>
              </w:rPr>
              <w:t>1</w:t>
            </w:r>
          </w:p>
        </w:tc>
        <w:tc>
          <w:tcPr>
            <w:tcW w:w="6570" w:type="dxa"/>
          </w:tcPr>
          <w:p w:rsidR="00642FB4" w:rsidRDefault="00642FB4">
            <w:pPr>
              <w:jc w:val="both"/>
              <w:rPr>
                <w:rFonts w:cs="Arial"/>
                <w:sz w:val="20"/>
                <w:szCs w:val="20"/>
              </w:rPr>
            </w:pPr>
            <w:r>
              <w:rPr>
                <w:sz w:val="20"/>
              </w:rPr>
              <w:t>Станція знаходиться на НД 22 на виході з міста Ісакча</w:t>
            </w:r>
          </w:p>
        </w:tc>
      </w:tr>
    </w:tbl>
    <w:p w:rsidR="00642FB4" w:rsidRDefault="00642FB4">
      <w:pPr>
        <w:autoSpaceDE w:val="0"/>
        <w:autoSpaceDN w:val="0"/>
        <w:adjustRightInd w:val="0"/>
        <w:spacing w:before="60" w:after="60" w:line="288" w:lineRule="auto"/>
        <w:jc w:val="both"/>
        <w:rPr>
          <w:rFonts w:cs="Arial"/>
          <w:bCs/>
          <w:i/>
        </w:rPr>
      </w:pPr>
    </w:p>
    <w:p w:rsidR="00642FB4" w:rsidRDefault="00642FB4">
      <w:pPr>
        <w:autoSpaceDE w:val="0"/>
        <w:autoSpaceDN w:val="0"/>
        <w:adjustRightInd w:val="0"/>
        <w:spacing w:before="60" w:after="60" w:line="288" w:lineRule="auto"/>
        <w:ind w:firstLine="720"/>
        <w:jc w:val="both"/>
        <w:rPr>
          <w:rFonts w:cs="Arial"/>
        </w:rPr>
      </w:pPr>
      <w:r>
        <w:rPr>
          <w:i/>
        </w:rPr>
        <w:t>Діоксид сірки (SO</w:t>
      </w:r>
      <w:r>
        <w:rPr>
          <w:i/>
          <w:vertAlign w:val="subscript"/>
        </w:rPr>
        <w:t>2</w:t>
      </w:r>
      <w:r>
        <w:rPr>
          <w:i/>
        </w:rPr>
        <w:t>)</w:t>
      </w:r>
    </w:p>
    <w:p w:rsidR="00642FB4" w:rsidRDefault="00642FB4">
      <w:pPr>
        <w:autoSpaceDE w:val="0"/>
        <w:autoSpaceDN w:val="0"/>
        <w:adjustRightInd w:val="0"/>
        <w:spacing w:before="60" w:after="60" w:line="288" w:lineRule="auto"/>
        <w:ind w:firstLine="720"/>
        <w:jc w:val="both"/>
        <w:rPr>
          <w:rFonts w:cs="Arial"/>
        </w:rPr>
      </w:pPr>
      <w:r>
        <w:t>Визначення рівня забруднення повітря діоксидом сірки проводилося в 2013 році, шляхом постійного моніторингу на автоматичних станціях моніторингу якості повітря TL1 – Чуперка Трафік, TL2-Транспорт Публік та TL3-Ісакча.</w:t>
      </w:r>
    </w:p>
    <w:p w:rsidR="00642FB4" w:rsidRDefault="00642FB4">
      <w:pPr>
        <w:spacing w:before="60" w:after="60" w:line="288" w:lineRule="auto"/>
        <w:ind w:firstLine="720"/>
        <w:jc w:val="both"/>
        <w:rPr>
          <w:rFonts w:cs="Arial"/>
        </w:rPr>
      </w:pPr>
      <w:r>
        <w:t xml:space="preserve">Вимірювання діоксиду сірки, проведені в м. Тулча, показали наступне: </w:t>
      </w:r>
    </w:p>
    <w:p w:rsidR="00642FB4" w:rsidRDefault="00642FB4">
      <w:pPr>
        <w:numPr>
          <w:ilvl w:val="0"/>
          <w:numId w:val="30"/>
        </w:numPr>
        <w:spacing w:before="60" w:after="60" w:line="288" w:lineRule="auto"/>
        <w:ind w:left="993" w:hanging="284"/>
        <w:jc w:val="both"/>
        <w:rPr>
          <w:rFonts w:eastAsia="EUAlbertina-Regular-Identity-H"/>
          <w:bCs/>
        </w:rPr>
      </w:pPr>
      <w:r>
        <w:t>Не було зафіксовано ніяких проблем, погодинні значення, у 2013 році не досягли граничного значення (350 мг / м3);</w:t>
      </w:r>
    </w:p>
    <w:p w:rsidR="00642FB4" w:rsidRDefault="00642FB4">
      <w:pPr>
        <w:numPr>
          <w:ilvl w:val="0"/>
          <w:numId w:val="30"/>
        </w:numPr>
        <w:spacing w:before="60" w:after="60" w:line="288" w:lineRule="auto"/>
        <w:ind w:left="993" w:hanging="284"/>
        <w:jc w:val="both"/>
        <w:rPr>
          <w:rFonts w:eastAsia="EUAlbertina-Regular-Identity-H"/>
          <w:bCs/>
        </w:rPr>
      </w:pPr>
      <w:r>
        <w:t>Середньорічні значення на цих трьох станцій находилися під ГЗ для екосистем 20 мг / м</w:t>
      </w:r>
      <w:r>
        <w:rPr>
          <w:vertAlign w:val="superscript"/>
        </w:rPr>
        <w:t>3</w:t>
      </w:r>
      <w:r>
        <w:t>;</w:t>
      </w:r>
    </w:p>
    <w:p w:rsidR="00642FB4" w:rsidRDefault="00642FB4">
      <w:pPr>
        <w:numPr>
          <w:ilvl w:val="0"/>
          <w:numId w:val="30"/>
        </w:numPr>
        <w:spacing w:before="60" w:after="60" w:line="288" w:lineRule="auto"/>
        <w:ind w:left="993" w:hanging="284"/>
        <w:jc w:val="both"/>
        <w:rPr>
          <w:rFonts w:eastAsia="EUAlbertina-Regular-Identity-H"/>
          <w:bCs/>
        </w:rPr>
      </w:pPr>
      <w:r>
        <w:t>Не було зафіксовано ніяких перевищень аварійного порога 500 мг/м3, на жодній станції моніторингу.</w:t>
      </w:r>
    </w:p>
    <w:p w:rsidR="00642FB4" w:rsidRDefault="00642FB4">
      <w:pPr>
        <w:spacing w:before="60" w:after="60" w:line="288" w:lineRule="auto"/>
        <w:ind w:left="426"/>
        <w:jc w:val="both"/>
        <w:rPr>
          <w:rFonts w:eastAsia="EUAlbertina-Regular-Identity-H"/>
          <w:bCs/>
        </w:rPr>
      </w:pPr>
    </w:p>
    <w:p w:rsidR="00642FB4" w:rsidRDefault="00642FB4">
      <w:pPr>
        <w:autoSpaceDE w:val="0"/>
        <w:autoSpaceDN w:val="0"/>
        <w:adjustRightInd w:val="0"/>
        <w:spacing w:before="60" w:after="60" w:line="288" w:lineRule="auto"/>
        <w:ind w:firstLine="720"/>
        <w:jc w:val="both"/>
        <w:rPr>
          <w:rFonts w:cs="Arial"/>
          <w:i/>
        </w:rPr>
      </w:pPr>
      <w:r>
        <w:rPr>
          <w:i/>
        </w:rPr>
        <w:t>Оксиди азоту (NOx)</w:t>
      </w:r>
    </w:p>
    <w:p w:rsidR="00642FB4" w:rsidRDefault="00642FB4">
      <w:pPr>
        <w:tabs>
          <w:tab w:val="center" w:pos="4680"/>
          <w:tab w:val="right" w:pos="9360"/>
        </w:tabs>
        <w:spacing w:before="60" w:after="60" w:line="288" w:lineRule="auto"/>
        <w:ind w:firstLine="720"/>
        <w:jc w:val="both"/>
        <w:rPr>
          <w:rFonts w:cs="Arial"/>
        </w:rPr>
      </w:pPr>
      <w:r>
        <w:t>Визначення рівня забруднення повітря діоксидом азоту проводилося в 2013 році, шляхом постійного моніторингу на автоматичних станціях моніторингу якості повітря TL2-Транспорт Публік та TL3-Ісакча.</w:t>
      </w:r>
    </w:p>
    <w:p w:rsidR="00642FB4" w:rsidRDefault="00642FB4">
      <w:pPr>
        <w:tabs>
          <w:tab w:val="center" w:pos="4680"/>
          <w:tab w:val="right" w:pos="9360"/>
        </w:tabs>
        <w:spacing w:before="60" w:after="60" w:line="288" w:lineRule="auto"/>
        <w:ind w:firstLine="720"/>
        <w:jc w:val="both"/>
        <w:rPr>
          <w:rFonts w:cs="Arial"/>
        </w:rPr>
      </w:pPr>
      <w:r>
        <w:t>Погодинні середні значення для NO</w:t>
      </w:r>
      <w:r>
        <w:rPr>
          <w:vertAlign w:val="subscript"/>
        </w:rPr>
        <w:t>2</w:t>
      </w:r>
      <w:r>
        <w:t xml:space="preserve"> не досягли погодинного граничного значення 200 мг / м</w:t>
      </w:r>
      <w:r>
        <w:rPr>
          <w:vertAlign w:val="superscript"/>
        </w:rPr>
        <w:t>3</w:t>
      </w:r>
      <w:r>
        <w:t>.</w:t>
      </w:r>
    </w:p>
    <w:p w:rsidR="00642FB4" w:rsidRDefault="00642FB4">
      <w:pPr>
        <w:spacing w:before="60" w:after="60" w:line="288" w:lineRule="auto"/>
        <w:ind w:firstLine="720"/>
        <w:jc w:val="both"/>
        <w:rPr>
          <w:rFonts w:cs="Arial"/>
        </w:rPr>
      </w:pPr>
      <w:r>
        <w:t>Аналізуючи результати вимірювання NO</w:t>
      </w:r>
      <w:r>
        <w:rPr>
          <w:vertAlign w:val="subscript"/>
        </w:rPr>
        <w:t>2</w:t>
      </w:r>
      <w:r>
        <w:t>, було виявлено, що в 2013 році не зафіксовано перевищень аварійного порога 400 мг / м</w:t>
      </w:r>
      <w:r>
        <w:rPr>
          <w:vertAlign w:val="superscript"/>
        </w:rPr>
        <w:t>3</w:t>
      </w:r>
      <w:r>
        <w:t xml:space="preserve"> а також ні річних Г.З. 40 мг / м</w:t>
      </w:r>
      <w:r>
        <w:rPr>
          <w:vertAlign w:val="superscript"/>
        </w:rPr>
        <w:t>3</w:t>
      </w:r>
      <w:r>
        <w:t>.</w:t>
      </w:r>
    </w:p>
    <w:p w:rsidR="00642FB4" w:rsidRDefault="00642FB4">
      <w:pPr>
        <w:autoSpaceDE w:val="0"/>
        <w:autoSpaceDN w:val="0"/>
        <w:adjustRightInd w:val="0"/>
        <w:spacing w:before="60" w:after="60" w:line="288" w:lineRule="auto"/>
        <w:ind w:firstLine="720"/>
        <w:jc w:val="both"/>
        <w:rPr>
          <w:rFonts w:cs="Arial"/>
          <w:i/>
        </w:rPr>
      </w:pPr>
      <w:r>
        <w:rPr>
          <w:i/>
        </w:rPr>
        <w:t>Тверді частинки</w:t>
      </w:r>
    </w:p>
    <w:p w:rsidR="00642FB4" w:rsidRDefault="00642FB4">
      <w:pPr>
        <w:spacing w:before="60" w:after="60" w:line="288" w:lineRule="auto"/>
        <w:ind w:firstLine="720"/>
        <w:jc w:val="both"/>
        <w:rPr>
          <w:rFonts w:cs="Arial"/>
        </w:rPr>
      </w:pPr>
      <w:r>
        <w:t xml:space="preserve">У 2013 році, вимірювання РМ10 проводилися на двох  автоматичних станціях моніторингу якості повітря розташованих в повіті Тулча, а саме: TL1 Чуперка – станція для дорожнього руху та TL3  Ісакча, паралельно з гравіметричними вимірюваннями. </w:t>
      </w:r>
    </w:p>
    <w:p w:rsidR="00642FB4" w:rsidRDefault="00642FB4">
      <w:pPr>
        <w:spacing w:before="60" w:after="60" w:line="288" w:lineRule="auto"/>
        <w:ind w:firstLine="720"/>
        <w:jc w:val="both"/>
        <w:rPr>
          <w:rFonts w:cs="Arial"/>
        </w:rPr>
      </w:pPr>
      <w:r>
        <w:t>Річне і погодинне граничне значення для захисту здоров'я не було перевищено на жодній з автоматичних станцій моніторингу якості повітря, розташованих у повіті Тулча.</w:t>
      </w:r>
    </w:p>
    <w:p w:rsidR="00642FB4" w:rsidRDefault="00642FB4">
      <w:pPr>
        <w:autoSpaceDE w:val="0"/>
        <w:autoSpaceDN w:val="0"/>
        <w:adjustRightInd w:val="0"/>
        <w:spacing w:before="60" w:after="60" w:line="288" w:lineRule="auto"/>
        <w:jc w:val="both"/>
        <w:rPr>
          <w:rFonts w:cs="Arial"/>
        </w:rPr>
      </w:pPr>
    </w:p>
    <w:p w:rsidR="00642FB4" w:rsidRDefault="00642FB4">
      <w:pPr>
        <w:autoSpaceDE w:val="0"/>
        <w:autoSpaceDN w:val="0"/>
        <w:adjustRightInd w:val="0"/>
        <w:spacing w:before="60" w:after="60" w:line="288" w:lineRule="auto"/>
        <w:ind w:firstLine="720"/>
        <w:jc w:val="both"/>
        <w:rPr>
          <w:rFonts w:cs="Arial"/>
        </w:rPr>
      </w:pPr>
      <w:r>
        <w:t>У 2013 році на території повіту не було великих екологічних нещасних випадків, які би впливали на якість повітря.</w:t>
      </w:r>
    </w:p>
    <w:p w:rsidR="00642FB4" w:rsidRDefault="00642FB4">
      <w:pPr>
        <w:spacing w:before="60" w:after="60" w:line="288" w:lineRule="auto"/>
        <w:jc w:val="both"/>
        <w:rPr>
          <w:b/>
        </w:rPr>
      </w:pPr>
    </w:p>
    <w:p w:rsidR="00642FB4" w:rsidRDefault="00642FB4">
      <w:pPr>
        <w:numPr>
          <w:ilvl w:val="0"/>
          <w:numId w:val="2"/>
        </w:numPr>
        <w:spacing w:before="60" w:after="60" w:line="288" w:lineRule="auto"/>
        <w:jc w:val="both"/>
        <w:rPr>
          <w:rFonts w:cs="Arial"/>
          <w:b/>
        </w:rPr>
      </w:pPr>
      <w:r>
        <w:rPr>
          <w:b/>
        </w:rPr>
        <w:t>Ґрунт</w:t>
      </w:r>
    </w:p>
    <w:p w:rsidR="00642FB4" w:rsidRDefault="00642FB4">
      <w:pPr>
        <w:autoSpaceDE w:val="0"/>
        <w:autoSpaceDN w:val="0"/>
        <w:adjustRightInd w:val="0"/>
        <w:spacing w:before="60" w:after="60" w:line="288" w:lineRule="auto"/>
        <w:ind w:firstLine="720"/>
        <w:jc w:val="both"/>
        <w:rPr>
          <w:rFonts w:eastAsia="Calibri" w:cs="Arial"/>
          <w:bCs/>
        </w:rPr>
      </w:pPr>
      <w:r>
        <w:rPr>
          <w:b/>
        </w:rPr>
        <w:t>Таблиця 4.5.2</w:t>
      </w:r>
      <w:r>
        <w:t xml:space="preserve">  представляє розподіл ґрунтів на різні категорії використання. </w:t>
      </w:r>
    </w:p>
    <w:p w:rsidR="00642FB4" w:rsidRDefault="00642FB4">
      <w:pPr>
        <w:autoSpaceDE w:val="0"/>
        <w:autoSpaceDN w:val="0"/>
        <w:adjustRightInd w:val="0"/>
        <w:spacing w:before="60" w:after="60" w:line="288" w:lineRule="auto"/>
        <w:jc w:val="both"/>
        <w:rPr>
          <w:rFonts w:eastAsia="Calibri" w:cs="Arial"/>
          <w:bCs/>
        </w:rPr>
      </w:pPr>
    </w:p>
    <w:p w:rsidR="00642FB4" w:rsidRDefault="00642FB4">
      <w:pPr>
        <w:autoSpaceDE w:val="0"/>
        <w:autoSpaceDN w:val="0"/>
        <w:adjustRightInd w:val="0"/>
        <w:spacing w:before="60" w:after="60" w:line="288" w:lineRule="auto"/>
        <w:ind w:left="360"/>
        <w:jc w:val="center"/>
        <w:rPr>
          <w:rFonts w:eastAsia="Calibri" w:cs="Arial"/>
          <w:b/>
          <w:bCs/>
          <w:i/>
          <w:sz w:val="22"/>
          <w:szCs w:val="22"/>
        </w:rPr>
      </w:pPr>
      <w:r>
        <w:rPr>
          <w:b/>
          <w:i/>
          <w:sz w:val="22"/>
        </w:rPr>
        <w:t>Таблиця 4.5.2</w:t>
      </w:r>
      <w:r>
        <w:t xml:space="preserve">  Розподіл ґрунтів на різні категорії використання.</w:t>
      </w:r>
    </w:p>
    <w:tbl>
      <w:tblPr>
        <w:tblW w:w="6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1"/>
        <w:gridCol w:w="939"/>
        <w:gridCol w:w="1231"/>
        <w:gridCol w:w="1637"/>
        <w:gridCol w:w="722"/>
        <w:gridCol w:w="2408"/>
      </w:tblGrid>
      <w:tr w:rsidR="00642FB4">
        <w:trPr>
          <w:jc w:val="center"/>
        </w:trPr>
        <w:tc>
          <w:tcPr>
            <w:tcW w:w="846" w:type="dxa"/>
            <w:vMerge w:val="restart"/>
            <w:shd w:val="clear" w:color="auto" w:fill="auto"/>
          </w:tcPr>
          <w:p w:rsidR="00642FB4" w:rsidRDefault="00642FB4">
            <w:pPr>
              <w:jc w:val="both"/>
              <w:rPr>
                <w:rFonts w:eastAsia="Calibri" w:cs="Arial"/>
                <w:b/>
                <w:sz w:val="20"/>
                <w:szCs w:val="20"/>
              </w:rPr>
            </w:pPr>
            <w:r>
              <w:rPr>
                <w:b/>
                <w:sz w:val="20"/>
              </w:rPr>
              <w:t>Рік</w:t>
            </w:r>
          </w:p>
        </w:tc>
        <w:tc>
          <w:tcPr>
            <w:tcW w:w="5643" w:type="dxa"/>
            <w:gridSpan w:val="5"/>
            <w:shd w:val="clear" w:color="auto" w:fill="auto"/>
          </w:tcPr>
          <w:p w:rsidR="00642FB4" w:rsidRDefault="00642FB4">
            <w:pPr>
              <w:jc w:val="both"/>
              <w:rPr>
                <w:rFonts w:eastAsia="Calibri" w:cs="Arial"/>
                <w:b/>
                <w:sz w:val="20"/>
                <w:szCs w:val="20"/>
              </w:rPr>
            </w:pPr>
            <w:r>
              <w:rPr>
                <w:b/>
                <w:sz w:val="20"/>
              </w:rPr>
              <w:t>Категорія використання (га)</w:t>
            </w:r>
          </w:p>
        </w:tc>
      </w:tr>
      <w:tr w:rsidR="00642FB4">
        <w:trPr>
          <w:trHeight w:val="519"/>
          <w:jc w:val="center"/>
        </w:trPr>
        <w:tc>
          <w:tcPr>
            <w:tcW w:w="846" w:type="dxa"/>
            <w:vMerge/>
            <w:shd w:val="clear" w:color="auto" w:fill="auto"/>
          </w:tcPr>
          <w:p w:rsidR="00642FB4" w:rsidRDefault="00642FB4">
            <w:pPr>
              <w:jc w:val="both"/>
              <w:rPr>
                <w:rFonts w:eastAsia="Calibri" w:cs="Arial"/>
                <w:b/>
                <w:sz w:val="20"/>
                <w:szCs w:val="20"/>
              </w:rPr>
            </w:pPr>
          </w:p>
        </w:tc>
        <w:tc>
          <w:tcPr>
            <w:tcW w:w="1139" w:type="dxa"/>
            <w:shd w:val="clear" w:color="auto" w:fill="auto"/>
          </w:tcPr>
          <w:p w:rsidR="00642FB4" w:rsidRDefault="00642FB4">
            <w:pPr>
              <w:jc w:val="both"/>
              <w:rPr>
                <w:rFonts w:eastAsia="Calibri" w:cs="Arial"/>
                <w:b/>
                <w:sz w:val="20"/>
                <w:szCs w:val="20"/>
              </w:rPr>
            </w:pPr>
            <w:r>
              <w:rPr>
                <w:b/>
                <w:sz w:val="20"/>
              </w:rPr>
              <w:t>орна</w:t>
            </w:r>
          </w:p>
        </w:tc>
        <w:tc>
          <w:tcPr>
            <w:tcW w:w="1349" w:type="dxa"/>
            <w:shd w:val="clear" w:color="auto" w:fill="auto"/>
          </w:tcPr>
          <w:p w:rsidR="00642FB4" w:rsidRDefault="00642FB4">
            <w:pPr>
              <w:jc w:val="both"/>
              <w:rPr>
                <w:rFonts w:eastAsia="Calibri" w:cs="Arial"/>
                <w:b/>
                <w:bCs/>
                <w:sz w:val="20"/>
                <w:szCs w:val="20"/>
              </w:rPr>
            </w:pPr>
            <w:r>
              <w:rPr>
                <w:b/>
                <w:sz w:val="20"/>
              </w:rPr>
              <w:t xml:space="preserve">Пасовища </w:t>
            </w:r>
          </w:p>
          <w:p w:rsidR="00642FB4" w:rsidRDefault="00642FB4">
            <w:pPr>
              <w:jc w:val="both"/>
              <w:rPr>
                <w:rFonts w:eastAsia="Calibri" w:cs="Arial"/>
                <w:b/>
                <w:sz w:val="20"/>
                <w:szCs w:val="20"/>
              </w:rPr>
            </w:pPr>
            <w:r>
              <w:rPr>
                <w:b/>
                <w:sz w:val="20"/>
              </w:rPr>
              <w:t xml:space="preserve"> і луги</w:t>
            </w:r>
          </w:p>
        </w:tc>
        <w:tc>
          <w:tcPr>
            <w:tcW w:w="992" w:type="dxa"/>
            <w:shd w:val="clear" w:color="auto" w:fill="auto"/>
          </w:tcPr>
          <w:p w:rsidR="00642FB4" w:rsidRDefault="00642FB4">
            <w:pPr>
              <w:jc w:val="both"/>
              <w:rPr>
                <w:rFonts w:eastAsia="Calibri" w:cs="Arial"/>
                <w:b/>
                <w:sz w:val="20"/>
                <w:szCs w:val="20"/>
              </w:rPr>
            </w:pPr>
            <w:r>
              <w:rPr>
                <w:b/>
                <w:sz w:val="20"/>
              </w:rPr>
              <w:t>Виноградники</w:t>
            </w:r>
          </w:p>
        </w:tc>
        <w:tc>
          <w:tcPr>
            <w:tcW w:w="993" w:type="dxa"/>
            <w:shd w:val="clear" w:color="auto" w:fill="auto"/>
          </w:tcPr>
          <w:p w:rsidR="00642FB4" w:rsidRDefault="00642FB4">
            <w:pPr>
              <w:jc w:val="both"/>
              <w:rPr>
                <w:rFonts w:eastAsia="Calibri" w:cs="Arial"/>
                <w:b/>
                <w:sz w:val="20"/>
                <w:szCs w:val="20"/>
              </w:rPr>
            </w:pPr>
            <w:r>
              <w:rPr>
                <w:b/>
                <w:sz w:val="20"/>
              </w:rPr>
              <w:t>Сади</w:t>
            </w:r>
          </w:p>
        </w:tc>
        <w:tc>
          <w:tcPr>
            <w:tcW w:w="1170" w:type="dxa"/>
            <w:shd w:val="clear" w:color="auto" w:fill="auto"/>
          </w:tcPr>
          <w:p w:rsidR="00642FB4" w:rsidRDefault="00642FB4">
            <w:pPr>
              <w:jc w:val="both"/>
              <w:rPr>
                <w:rFonts w:eastAsia="Calibri" w:cs="Arial"/>
                <w:b/>
                <w:bCs/>
                <w:i/>
                <w:sz w:val="20"/>
                <w:szCs w:val="20"/>
              </w:rPr>
            </w:pPr>
            <w:r>
              <w:rPr>
                <w:b/>
                <w:i/>
                <w:sz w:val="20"/>
              </w:rPr>
              <w:t xml:space="preserve">ВСЬОГО  </w:t>
            </w:r>
          </w:p>
          <w:p w:rsidR="00642FB4" w:rsidRDefault="00642FB4">
            <w:pPr>
              <w:jc w:val="both"/>
              <w:rPr>
                <w:rFonts w:eastAsia="Calibri" w:cs="Arial"/>
                <w:b/>
                <w:sz w:val="20"/>
                <w:szCs w:val="20"/>
              </w:rPr>
            </w:pPr>
            <w:r>
              <w:rPr>
                <w:b/>
                <w:i/>
                <w:sz w:val="20"/>
              </w:rPr>
              <w:t>на сільськогосподарські угіддя</w:t>
            </w:r>
          </w:p>
        </w:tc>
      </w:tr>
      <w:tr w:rsidR="00642FB4">
        <w:trPr>
          <w:jc w:val="center"/>
        </w:trPr>
        <w:tc>
          <w:tcPr>
            <w:tcW w:w="846" w:type="dxa"/>
            <w:shd w:val="clear" w:color="auto" w:fill="auto"/>
          </w:tcPr>
          <w:p w:rsidR="00642FB4" w:rsidRDefault="00642FB4">
            <w:pPr>
              <w:jc w:val="both"/>
              <w:rPr>
                <w:rFonts w:eastAsia="Calibri" w:cs="Arial"/>
                <w:b/>
                <w:sz w:val="20"/>
                <w:szCs w:val="20"/>
              </w:rPr>
            </w:pPr>
            <w:r>
              <w:rPr>
                <w:b/>
                <w:sz w:val="20"/>
              </w:rPr>
              <w:t>2008</w:t>
            </w:r>
          </w:p>
        </w:tc>
        <w:tc>
          <w:tcPr>
            <w:tcW w:w="1139" w:type="dxa"/>
            <w:shd w:val="clear" w:color="auto" w:fill="auto"/>
          </w:tcPr>
          <w:p w:rsidR="00642FB4" w:rsidRDefault="00642FB4">
            <w:pPr>
              <w:jc w:val="right"/>
              <w:rPr>
                <w:rFonts w:eastAsia="Calibri" w:cs="Arial"/>
                <w:sz w:val="20"/>
                <w:szCs w:val="20"/>
              </w:rPr>
            </w:pPr>
            <w:r>
              <w:rPr>
                <w:sz w:val="20"/>
              </w:rPr>
              <w:t>291 923</w:t>
            </w:r>
          </w:p>
        </w:tc>
        <w:tc>
          <w:tcPr>
            <w:tcW w:w="1349" w:type="dxa"/>
            <w:shd w:val="clear" w:color="auto" w:fill="auto"/>
          </w:tcPr>
          <w:p w:rsidR="00642FB4" w:rsidRDefault="00642FB4">
            <w:pPr>
              <w:jc w:val="right"/>
              <w:rPr>
                <w:rFonts w:eastAsia="Calibri" w:cs="Arial"/>
                <w:sz w:val="20"/>
                <w:szCs w:val="20"/>
              </w:rPr>
            </w:pPr>
            <w:r>
              <w:rPr>
                <w:sz w:val="20"/>
              </w:rPr>
              <w:t>62 806</w:t>
            </w:r>
          </w:p>
        </w:tc>
        <w:tc>
          <w:tcPr>
            <w:tcW w:w="992" w:type="dxa"/>
            <w:shd w:val="clear" w:color="auto" w:fill="auto"/>
          </w:tcPr>
          <w:p w:rsidR="00642FB4" w:rsidRDefault="00642FB4">
            <w:pPr>
              <w:jc w:val="right"/>
              <w:rPr>
                <w:rFonts w:eastAsia="Calibri" w:cs="Arial"/>
                <w:sz w:val="20"/>
                <w:szCs w:val="20"/>
              </w:rPr>
            </w:pPr>
            <w:r>
              <w:rPr>
                <w:sz w:val="20"/>
              </w:rPr>
              <w:t>8 202</w:t>
            </w:r>
          </w:p>
        </w:tc>
        <w:tc>
          <w:tcPr>
            <w:tcW w:w="993" w:type="dxa"/>
            <w:shd w:val="clear" w:color="auto" w:fill="auto"/>
          </w:tcPr>
          <w:p w:rsidR="00642FB4" w:rsidRDefault="00642FB4">
            <w:pPr>
              <w:jc w:val="right"/>
              <w:rPr>
                <w:rFonts w:eastAsia="Calibri" w:cs="Arial"/>
                <w:sz w:val="20"/>
                <w:szCs w:val="20"/>
              </w:rPr>
            </w:pPr>
            <w:r>
              <w:rPr>
                <w:sz w:val="20"/>
              </w:rPr>
              <w:t>1 010</w:t>
            </w:r>
          </w:p>
        </w:tc>
        <w:tc>
          <w:tcPr>
            <w:tcW w:w="1170" w:type="dxa"/>
            <w:shd w:val="clear" w:color="auto" w:fill="auto"/>
          </w:tcPr>
          <w:p w:rsidR="00642FB4" w:rsidRDefault="00642FB4">
            <w:pPr>
              <w:jc w:val="right"/>
              <w:rPr>
                <w:rFonts w:eastAsia="Calibri" w:cs="Arial"/>
                <w:sz w:val="20"/>
                <w:szCs w:val="20"/>
              </w:rPr>
            </w:pPr>
            <w:r>
              <w:rPr>
                <w:sz w:val="20"/>
              </w:rPr>
              <w:t>363 941</w:t>
            </w:r>
          </w:p>
        </w:tc>
      </w:tr>
      <w:tr w:rsidR="00642FB4">
        <w:trPr>
          <w:jc w:val="center"/>
        </w:trPr>
        <w:tc>
          <w:tcPr>
            <w:tcW w:w="846" w:type="dxa"/>
            <w:shd w:val="clear" w:color="auto" w:fill="auto"/>
          </w:tcPr>
          <w:p w:rsidR="00642FB4" w:rsidRDefault="00642FB4">
            <w:pPr>
              <w:jc w:val="both"/>
              <w:rPr>
                <w:rFonts w:eastAsia="Calibri" w:cs="Arial"/>
                <w:b/>
                <w:sz w:val="20"/>
                <w:szCs w:val="20"/>
              </w:rPr>
            </w:pPr>
            <w:r>
              <w:rPr>
                <w:b/>
                <w:sz w:val="20"/>
              </w:rPr>
              <w:t>2009</w:t>
            </w:r>
          </w:p>
        </w:tc>
        <w:tc>
          <w:tcPr>
            <w:tcW w:w="1139" w:type="dxa"/>
            <w:shd w:val="clear" w:color="auto" w:fill="auto"/>
          </w:tcPr>
          <w:p w:rsidR="00642FB4" w:rsidRDefault="00642FB4">
            <w:pPr>
              <w:jc w:val="right"/>
              <w:rPr>
                <w:rFonts w:eastAsia="Calibri" w:cs="Arial"/>
                <w:sz w:val="20"/>
                <w:szCs w:val="20"/>
              </w:rPr>
            </w:pPr>
            <w:r>
              <w:rPr>
                <w:sz w:val="20"/>
              </w:rPr>
              <w:t>294 039</w:t>
            </w:r>
          </w:p>
        </w:tc>
        <w:tc>
          <w:tcPr>
            <w:tcW w:w="1349" w:type="dxa"/>
            <w:shd w:val="clear" w:color="auto" w:fill="auto"/>
          </w:tcPr>
          <w:p w:rsidR="00642FB4" w:rsidRDefault="00642FB4">
            <w:pPr>
              <w:jc w:val="right"/>
              <w:rPr>
                <w:rFonts w:eastAsia="Calibri" w:cs="Arial"/>
                <w:sz w:val="20"/>
                <w:szCs w:val="20"/>
              </w:rPr>
            </w:pPr>
            <w:r>
              <w:rPr>
                <w:sz w:val="20"/>
              </w:rPr>
              <w:t>60 688</w:t>
            </w:r>
          </w:p>
        </w:tc>
        <w:tc>
          <w:tcPr>
            <w:tcW w:w="992" w:type="dxa"/>
            <w:shd w:val="clear" w:color="auto" w:fill="auto"/>
          </w:tcPr>
          <w:p w:rsidR="00642FB4" w:rsidRDefault="00642FB4">
            <w:pPr>
              <w:jc w:val="right"/>
              <w:rPr>
                <w:rFonts w:eastAsia="Calibri" w:cs="Arial"/>
                <w:sz w:val="20"/>
                <w:szCs w:val="20"/>
              </w:rPr>
            </w:pPr>
            <w:r>
              <w:rPr>
                <w:sz w:val="20"/>
              </w:rPr>
              <w:t>8 202</w:t>
            </w:r>
          </w:p>
        </w:tc>
        <w:tc>
          <w:tcPr>
            <w:tcW w:w="993" w:type="dxa"/>
            <w:shd w:val="clear" w:color="auto" w:fill="auto"/>
          </w:tcPr>
          <w:p w:rsidR="00642FB4" w:rsidRDefault="00642FB4">
            <w:pPr>
              <w:jc w:val="right"/>
              <w:rPr>
                <w:rFonts w:eastAsia="Calibri" w:cs="Arial"/>
                <w:sz w:val="20"/>
                <w:szCs w:val="20"/>
              </w:rPr>
            </w:pPr>
            <w:r>
              <w:rPr>
                <w:sz w:val="20"/>
              </w:rPr>
              <w:t>1 012</w:t>
            </w:r>
          </w:p>
        </w:tc>
        <w:tc>
          <w:tcPr>
            <w:tcW w:w="1170" w:type="dxa"/>
            <w:shd w:val="clear" w:color="auto" w:fill="auto"/>
          </w:tcPr>
          <w:p w:rsidR="00642FB4" w:rsidRDefault="00642FB4">
            <w:pPr>
              <w:jc w:val="right"/>
              <w:rPr>
                <w:rFonts w:eastAsia="Calibri" w:cs="Arial"/>
                <w:sz w:val="20"/>
                <w:szCs w:val="20"/>
              </w:rPr>
            </w:pPr>
            <w:r>
              <w:rPr>
                <w:sz w:val="20"/>
              </w:rPr>
              <w:t>363 941</w:t>
            </w:r>
          </w:p>
        </w:tc>
      </w:tr>
      <w:tr w:rsidR="00642FB4">
        <w:trPr>
          <w:jc w:val="center"/>
        </w:trPr>
        <w:tc>
          <w:tcPr>
            <w:tcW w:w="846" w:type="dxa"/>
            <w:shd w:val="clear" w:color="auto" w:fill="auto"/>
          </w:tcPr>
          <w:p w:rsidR="00642FB4" w:rsidRDefault="00642FB4">
            <w:pPr>
              <w:jc w:val="both"/>
              <w:rPr>
                <w:rFonts w:eastAsia="Calibri" w:cs="Arial"/>
                <w:b/>
                <w:sz w:val="20"/>
                <w:szCs w:val="20"/>
              </w:rPr>
            </w:pPr>
            <w:r>
              <w:rPr>
                <w:b/>
                <w:sz w:val="20"/>
              </w:rPr>
              <w:t>2010</w:t>
            </w:r>
          </w:p>
        </w:tc>
        <w:tc>
          <w:tcPr>
            <w:tcW w:w="1139" w:type="dxa"/>
            <w:shd w:val="clear" w:color="auto" w:fill="auto"/>
          </w:tcPr>
          <w:p w:rsidR="00642FB4" w:rsidRDefault="00642FB4">
            <w:pPr>
              <w:jc w:val="right"/>
              <w:rPr>
                <w:rFonts w:eastAsia="Calibri" w:cs="Arial"/>
                <w:sz w:val="20"/>
                <w:szCs w:val="20"/>
              </w:rPr>
            </w:pPr>
            <w:r>
              <w:rPr>
                <w:sz w:val="20"/>
              </w:rPr>
              <w:t>291 866</w:t>
            </w:r>
          </w:p>
        </w:tc>
        <w:tc>
          <w:tcPr>
            <w:tcW w:w="1349" w:type="dxa"/>
            <w:shd w:val="clear" w:color="auto" w:fill="auto"/>
          </w:tcPr>
          <w:p w:rsidR="00642FB4" w:rsidRDefault="00642FB4">
            <w:pPr>
              <w:jc w:val="right"/>
              <w:rPr>
                <w:rFonts w:eastAsia="Calibri" w:cs="Arial"/>
                <w:sz w:val="20"/>
                <w:szCs w:val="20"/>
              </w:rPr>
            </w:pPr>
            <w:r>
              <w:rPr>
                <w:sz w:val="20"/>
              </w:rPr>
              <w:t>62 980</w:t>
            </w:r>
          </w:p>
        </w:tc>
        <w:tc>
          <w:tcPr>
            <w:tcW w:w="992" w:type="dxa"/>
            <w:shd w:val="clear" w:color="auto" w:fill="auto"/>
          </w:tcPr>
          <w:p w:rsidR="00642FB4" w:rsidRDefault="00642FB4">
            <w:pPr>
              <w:jc w:val="right"/>
              <w:rPr>
                <w:rFonts w:eastAsia="Calibri" w:cs="Arial"/>
                <w:sz w:val="20"/>
                <w:szCs w:val="20"/>
              </w:rPr>
            </w:pPr>
            <w:r>
              <w:rPr>
                <w:sz w:val="20"/>
              </w:rPr>
              <w:t>8 274</w:t>
            </w:r>
          </w:p>
        </w:tc>
        <w:tc>
          <w:tcPr>
            <w:tcW w:w="993" w:type="dxa"/>
            <w:shd w:val="clear" w:color="auto" w:fill="auto"/>
          </w:tcPr>
          <w:p w:rsidR="00642FB4" w:rsidRDefault="00642FB4">
            <w:pPr>
              <w:jc w:val="right"/>
              <w:rPr>
                <w:rFonts w:eastAsia="Calibri" w:cs="Arial"/>
                <w:sz w:val="20"/>
                <w:szCs w:val="20"/>
              </w:rPr>
            </w:pPr>
            <w:r>
              <w:rPr>
                <w:sz w:val="20"/>
              </w:rPr>
              <w:t>821</w:t>
            </w:r>
          </w:p>
        </w:tc>
        <w:tc>
          <w:tcPr>
            <w:tcW w:w="1170" w:type="dxa"/>
            <w:shd w:val="clear" w:color="auto" w:fill="auto"/>
          </w:tcPr>
          <w:p w:rsidR="00642FB4" w:rsidRDefault="00642FB4">
            <w:pPr>
              <w:jc w:val="right"/>
              <w:rPr>
                <w:rFonts w:eastAsia="Calibri" w:cs="Arial"/>
                <w:sz w:val="20"/>
                <w:szCs w:val="20"/>
              </w:rPr>
            </w:pPr>
            <w:r>
              <w:rPr>
                <w:sz w:val="20"/>
              </w:rPr>
              <w:t>363 941</w:t>
            </w:r>
          </w:p>
        </w:tc>
      </w:tr>
      <w:tr w:rsidR="00642FB4">
        <w:trPr>
          <w:jc w:val="center"/>
        </w:trPr>
        <w:tc>
          <w:tcPr>
            <w:tcW w:w="846" w:type="dxa"/>
            <w:shd w:val="clear" w:color="auto" w:fill="auto"/>
          </w:tcPr>
          <w:p w:rsidR="00642FB4" w:rsidRDefault="00642FB4">
            <w:pPr>
              <w:jc w:val="both"/>
              <w:rPr>
                <w:rFonts w:eastAsia="Calibri" w:cs="Arial"/>
                <w:b/>
                <w:sz w:val="20"/>
                <w:szCs w:val="20"/>
              </w:rPr>
            </w:pPr>
            <w:r>
              <w:rPr>
                <w:b/>
                <w:sz w:val="20"/>
              </w:rPr>
              <w:t>2011</w:t>
            </w:r>
          </w:p>
        </w:tc>
        <w:tc>
          <w:tcPr>
            <w:tcW w:w="1139" w:type="dxa"/>
            <w:shd w:val="clear" w:color="auto" w:fill="auto"/>
          </w:tcPr>
          <w:p w:rsidR="00642FB4" w:rsidRDefault="00642FB4">
            <w:pPr>
              <w:jc w:val="right"/>
              <w:rPr>
                <w:rFonts w:eastAsia="Calibri" w:cs="Arial"/>
                <w:sz w:val="20"/>
                <w:szCs w:val="20"/>
              </w:rPr>
            </w:pPr>
            <w:r>
              <w:rPr>
                <w:sz w:val="20"/>
              </w:rPr>
              <w:t>294 039</w:t>
            </w:r>
          </w:p>
        </w:tc>
        <w:tc>
          <w:tcPr>
            <w:tcW w:w="1349" w:type="dxa"/>
            <w:shd w:val="clear" w:color="auto" w:fill="auto"/>
          </w:tcPr>
          <w:p w:rsidR="00642FB4" w:rsidRDefault="00642FB4">
            <w:pPr>
              <w:jc w:val="right"/>
              <w:rPr>
                <w:rFonts w:eastAsia="Calibri" w:cs="Arial"/>
                <w:sz w:val="20"/>
                <w:szCs w:val="20"/>
              </w:rPr>
            </w:pPr>
            <w:r>
              <w:rPr>
                <w:sz w:val="20"/>
              </w:rPr>
              <w:t>60 869</w:t>
            </w:r>
          </w:p>
        </w:tc>
        <w:tc>
          <w:tcPr>
            <w:tcW w:w="992" w:type="dxa"/>
            <w:shd w:val="clear" w:color="auto" w:fill="auto"/>
          </w:tcPr>
          <w:p w:rsidR="00642FB4" w:rsidRDefault="00642FB4">
            <w:pPr>
              <w:jc w:val="right"/>
              <w:rPr>
                <w:rFonts w:eastAsia="Calibri" w:cs="Arial"/>
                <w:sz w:val="20"/>
                <w:szCs w:val="20"/>
              </w:rPr>
            </w:pPr>
            <w:r>
              <w:rPr>
                <w:sz w:val="20"/>
              </w:rPr>
              <w:t>8 202</w:t>
            </w:r>
          </w:p>
        </w:tc>
        <w:tc>
          <w:tcPr>
            <w:tcW w:w="993" w:type="dxa"/>
            <w:shd w:val="clear" w:color="auto" w:fill="auto"/>
          </w:tcPr>
          <w:p w:rsidR="00642FB4" w:rsidRDefault="00642FB4">
            <w:pPr>
              <w:jc w:val="right"/>
              <w:rPr>
                <w:rFonts w:eastAsia="Calibri" w:cs="Arial"/>
                <w:sz w:val="20"/>
                <w:szCs w:val="20"/>
              </w:rPr>
            </w:pPr>
            <w:r>
              <w:rPr>
                <w:sz w:val="20"/>
              </w:rPr>
              <w:t>831</w:t>
            </w:r>
          </w:p>
        </w:tc>
        <w:tc>
          <w:tcPr>
            <w:tcW w:w="1170" w:type="dxa"/>
            <w:shd w:val="clear" w:color="auto" w:fill="auto"/>
          </w:tcPr>
          <w:p w:rsidR="00642FB4" w:rsidRDefault="00642FB4">
            <w:pPr>
              <w:jc w:val="right"/>
              <w:rPr>
                <w:rFonts w:eastAsia="Calibri" w:cs="Arial"/>
                <w:sz w:val="20"/>
                <w:szCs w:val="20"/>
              </w:rPr>
            </w:pPr>
            <w:r>
              <w:rPr>
                <w:sz w:val="20"/>
              </w:rPr>
              <w:t>363 941</w:t>
            </w:r>
          </w:p>
        </w:tc>
      </w:tr>
      <w:tr w:rsidR="00642FB4">
        <w:trPr>
          <w:jc w:val="center"/>
        </w:trPr>
        <w:tc>
          <w:tcPr>
            <w:tcW w:w="846" w:type="dxa"/>
            <w:shd w:val="clear" w:color="auto" w:fill="auto"/>
          </w:tcPr>
          <w:p w:rsidR="00642FB4" w:rsidRDefault="00642FB4">
            <w:pPr>
              <w:jc w:val="both"/>
              <w:rPr>
                <w:rFonts w:eastAsia="Calibri" w:cs="Arial"/>
                <w:b/>
                <w:sz w:val="20"/>
                <w:szCs w:val="20"/>
              </w:rPr>
            </w:pPr>
            <w:r>
              <w:rPr>
                <w:b/>
                <w:sz w:val="20"/>
              </w:rPr>
              <w:t>2012</w:t>
            </w:r>
          </w:p>
        </w:tc>
        <w:tc>
          <w:tcPr>
            <w:tcW w:w="1139" w:type="dxa"/>
            <w:shd w:val="clear" w:color="auto" w:fill="auto"/>
          </w:tcPr>
          <w:p w:rsidR="00642FB4" w:rsidRDefault="00642FB4">
            <w:pPr>
              <w:jc w:val="right"/>
              <w:rPr>
                <w:rFonts w:eastAsia="Calibri" w:cs="Arial"/>
                <w:sz w:val="20"/>
                <w:szCs w:val="20"/>
              </w:rPr>
            </w:pPr>
            <w:r>
              <w:rPr>
                <w:sz w:val="20"/>
              </w:rPr>
              <w:t>194 039</w:t>
            </w:r>
          </w:p>
        </w:tc>
        <w:tc>
          <w:tcPr>
            <w:tcW w:w="1349" w:type="dxa"/>
            <w:shd w:val="clear" w:color="auto" w:fill="auto"/>
          </w:tcPr>
          <w:p w:rsidR="00642FB4" w:rsidRDefault="00642FB4">
            <w:pPr>
              <w:jc w:val="right"/>
              <w:rPr>
                <w:rFonts w:eastAsia="Calibri" w:cs="Arial"/>
                <w:sz w:val="20"/>
                <w:szCs w:val="20"/>
              </w:rPr>
            </w:pPr>
            <w:r>
              <w:rPr>
                <w:sz w:val="20"/>
              </w:rPr>
              <w:t>60 869</w:t>
            </w:r>
          </w:p>
        </w:tc>
        <w:tc>
          <w:tcPr>
            <w:tcW w:w="992" w:type="dxa"/>
            <w:shd w:val="clear" w:color="auto" w:fill="auto"/>
          </w:tcPr>
          <w:p w:rsidR="00642FB4" w:rsidRDefault="00642FB4">
            <w:pPr>
              <w:jc w:val="right"/>
              <w:rPr>
                <w:rFonts w:eastAsia="Calibri" w:cs="Arial"/>
                <w:sz w:val="20"/>
                <w:szCs w:val="20"/>
              </w:rPr>
            </w:pPr>
            <w:r>
              <w:rPr>
                <w:sz w:val="20"/>
              </w:rPr>
              <w:t>8 202</w:t>
            </w:r>
          </w:p>
        </w:tc>
        <w:tc>
          <w:tcPr>
            <w:tcW w:w="993" w:type="dxa"/>
            <w:shd w:val="clear" w:color="auto" w:fill="auto"/>
          </w:tcPr>
          <w:p w:rsidR="00642FB4" w:rsidRDefault="00642FB4">
            <w:pPr>
              <w:jc w:val="right"/>
              <w:rPr>
                <w:rFonts w:eastAsia="Calibri" w:cs="Arial"/>
                <w:sz w:val="20"/>
                <w:szCs w:val="20"/>
              </w:rPr>
            </w:pPr>
            <w:r>
              <w:rPr>
                <w:sz w:val="20"/>
              </w:rPr>
              <w:t>831</w:t>
            </w:r>
          </w:p>
        </w:tc>
        <w:tc>
          <w:tcPr>
            <w:tcW w:w="1170" w:type="dxa"/>
            <w:shd w:val="clear" w:color="auto" w:fill="auto"/>
          </w:tcPr>
          <w:p w:rsidR="00642FB4" w:rsidRDefault="00642FB4">
            <w:pPr>
              <w:jc w:val="right"/>
              <w:rPr>
                <w:rFonts w:eastAsia="Calibri" w:cs="Arial"/>
                <w:sz w:val="20"/>
                <w:szCs w:val="20"/>
              </w:rPr>
            </w:pPr>
            <w:r>
              <w:rPr>
                <w:sz w:val="20"/>
              </w:rPr>
              <w:t>363 941</w:t>
            </w:r>
          </w:p>
        </w:tc>
      </w:tr>
      <w:tr w:rsidR="00642FB4">
        <w:trPr>
          <w:jc w:val="center"/>
        </w:trPr>
        <w:tc>
          <w:tcPr>
            <w:tcW w:w="846" w:type="dxa"/>
            <w:shd w:val="clear" w:color="auto" w:fill="auto"/>
          </w:tcPr>
          <w:p w:rsidR="00642FB4" w:rsidRDefault="00642FB4">
            <w:pPr>
              <w:jc w:val="both"/>
              <w:rPr>
                <w:rFonts w:eastAsia="Calibri" w:cs="Arial"/>
                <w:b/>
                <w:sz w:val="20"/>
                <w:szCs w:val="20"/>
              </w:rPr>
            </w:pPr>
            <w:r>
              <w:rPr>
                <w:b/>
                <w:sz w:val="20"/>
              </w:rPr>
              <w:t>2013</w:t>
            </w:r>
          </w:p>
        </w:tc>
        <w:tc>
          <w:tcPr>
            <w:tcW w:w="1139" w:type="dxa"/>
            <w:shd w:val="clear" w:color="auto" w:fill="auto"/>
          </w:tcPr>
          <w:p w:rsidR="00642FB4" w:rsidRDefault="00642FB4">
            <w:pPr>
              <w:jc w:val="right"/>
              <w:rPr>
                <w:rFonts w:eastAsia="Calibri" w:cs="Arial"/>
                <w:sz w:val="20"/>
                <w:szCs w:val="20"/>
              </w:rPr>
            </w:pPr>
            <w:r>
              <w:rPr>
                <w:sz w:val="20"/>
              </w:rPr>
              <w:t>294 180</w:t>
            </w:r>
          </w:p>
        </w:tc>
        <w:tc>
          <w:tcPr>
            <w:tcW w:w="1349" w:type="dxa"/>
            <w:shd w:val="clear" w:color="auto" w:fill="auto"/>
          </w:tcPr>
          <w:p w:rsidR="00642FB4" w:rsidRDefault="00642FB4">
            <w:pPr>
              <w:jc w:val="right"/>
              <w:rPr>
                <w:rFonts w:eastAsia="Calibri" w:cs="Arial"/>
                <w:sz w:val="20"/>
                <w:szCs w:val="20"/>
              </w:rPr>
            </w:pPr>
            <w:r>
              <w:rPr>
                <w:sz w:val="20"/>
              </w:rPr>
              <w:t>60 869</w:t>
            </w:r>
          </w:p>
        </w:tc>
        <w:tc>
          <w:tcPr>
            <w:tcW w:w="992" w:type="dxa"/>
            <w:shd w:val="clear" w:color="auto" w:fill="auto"/>
          </w:tcPr>
          <w:p w:rsidR="00642FB4" w:rsidRDefault="00642FB4">
            <w:pPr>
              <w:jc w:val="right"/>
              <w:rPr>
                <w:rFonts w:eastAsia="Calibri" w:cs="Arial"/>
                <w:sz w:val="20"/>
                <w:szCs w:val="20"/>
              </w:rPr>
            </w:pPr>
            <w:r>
              <w:rPr>
                <w:sz w:val="20"/>
              </w:rPr>
              <w:t>8 102</w:t>
            </w:r>
          </w:p>
        </w:tc>
        <w:tc>
          <w:tcPr>
            <w:tcW w:w="993" w:type="dxa"/>
            <w:shd w:val="clear" w:color="auto" w:fill="auto"/>
          </w:tcPr>
          <w:p w:rsidR="00642FB4" w:rsidRDefault="00642FB4">
            <w:pPr>
              <w:jc w:val="right"/>
              <w:rPr>
                <w:rFonts w:eastAsia="Calibri" w:cs="Arial"/>
                <w:sz w:val="20"/>
                <w:szCs w:val="20"/>
              </w:rPr>
            </w:pPr>
            <w:r>
              <w:rPr>
                <w:sz w:val="20"/>
              </w:rPr>
              <w:t>790</w:t>
            </w:r>
          </w:p>
        </w:tc>
        <w:tc>
          <w:tcPr>
            <w:tcW w:w="1170" w:type="dxa"/>
            <w:shd w:val="clear" w:color="auto" w:fill="auto"/>
          </w:tcPr>
          <w:p w:rsidR="00642FB4" w:rsidRDefault="00642FB4">
            <w:pPr>
              <w:jc w:val="right"/>
              <w:rPr>
                <w:rFonts w:eastAsia="Calibri" w:cs="Arial"/>
                <w:sz w:val="20"/>
                <w:szCs w:val="20"/>
              </w:rPr>
            </w:pPr>
            <w:r>
              <w:rPr>
                <w:sz w:val="20"/>
              </w:rPr>
              <w:t>363 941</w:t>
            </w:r>
          </w:p>
        </w:tc>
      </w:tr>
    </w:tbl>
    <w:p w:rsidR="00642FB4" w:rsidRDefault="00642FB4">
      <w:pPr>
        <w:spacing w:before="60" w:after="60" w:line="288" w:lineRule="auto"/>
        <w:jc w:val="center"/>
        <w:rPr>
          <w:rFonts w:cs="Arial"/>
          <w:i/>
          <w:sz w:val="18"/>
          <w:szCs w:val="18"/>
        </w:rPr>
      </w:pPr>
      <w:r>
        <w:rPr>
          <w:i/>
          <w:sz w:val="18"/>
        </w:rPr>
        <w:t>Джерело: Управління сільського господарства повіту Тулча</w:t>
      </w:r>
    </w:p>
    <w:p w:rsidR="00642FB4" w:rsidRDefault="00642FB4">
      <w:pPr>
        <w:autoSpaceDE w:val="0"/>
        <w:autoSpaceDN w:val="0"/>
        <w:adjustRightInd w:val="0"/>
        <w:spacing w:before="60" w:after="60" w:line="288" w:lineRule="auto"/>
        <w:jc w:val="both"/>
        <w:rPr>
          <w:rFonts w:cs="Arial"/>
          <w:bCs/>
          <w:i/>
          <w:color w:val="000000"/>
        </w:rPr>
      </w:pPr>
    </w:p>
    <w:p w:rsidR="00642FB4" w:rsidRDefault="00642FB4">
      <w:pPr>
        <w:autoSpaceDE w:val="0"/>
        <w:autoSpaceDN w:val="0"/>
        <w:adjustRightInd w:val="0"/>
        <w:spacing w:before="60" w:after="60" w:line="288" w:lineRule="auto"/>
        <w:ind w:firstLine="720"/>
        <w:jc w:val="both"/>
      </w:pPr>
      <w:r>
        <w:t>У 2013 році не було жодного великого забруднення навколишнього середовища або аварійного забруднення.</w:t>
      </w:r>
    </w:p>
    <w:p w:rsidR="00642FB4" w:rsidRDefault="00642FB4"/>
    <w:p w:rsidR="00642FB4" w:rsidRDefault="00642FB4">
      <w:pPr>
        <w:pStyle w:val="Heading1"/>
        <w:jc w:val="both"/>
        <w:rPr>
          <w:rFonts w:ascii="Arial" w:hAnsi="Arial" w:cs="Arial"/>
          <w:sz w:val="24"/>
          <w:szCs w:val="24"/>
        </w:rPr>
      </w:pPr>
      <w:bookmarkStart w:id="24" w:name="_Toc418279304"/>
      <w:bookmarkStart w:id="25" w:name="_Toc419199666"/>
      <w:r>
        <w:rPr>
          <w:rFonts w:ascii="Arial" w:hAnsi="Arial"/>
          <w:sz w:val="24"/>
        </w:rPr>
        <w:t>II. УКРАЇНА</w:t>
      </w:r>
      <w:bookmarkEnd w:id="24"/>
      <w:bookmarkEnd w:id="25"/>
    </w:p>
    <w:p w:rsidR="00642FB4" w:rsidRDefault="00642FB4">
      <w:pPr>
        <w:autoSpaceDE w:val="0"/>
        <w:autoSpaceDN w:val="0"/>
        <w:adjustRightInd w:val="0"/>
        <w:spacing w:before="60" w:after="60" w:line="288" w:lineRule="auto"/>
        <w:ind w:firstLine="709"/>
        <w:jc w:val="both"/>
        <w:rPr>
          <w:rFonts w:eastAsia="EUAlbertina-Regular-Identity-H" w:cs="Arial"/>
        </w:rPr>
      </w:pPr>
      <w:r>
        <w:t>Інформація про існуючу характеристику довкілля в Україні взяті з документів знайдених на веб-сторінках</w:t>
      </w:r>
      <w:r>
        <w:rPr>
          <w:color w:val="000000"/>
        </w:rPr>
        <w:t xml:space="preserve"> </w:t>
      </w:r>
      <w:hyperlink r:id="rId24">
        <w:r>
          <w:rPr>
            <w:rStyle w:val="Hyperlink"/>
            <w:rFonts w:eastAsia="Calibri"/>
          </w:rPr>
          <w:t>http://eng.menr.gov.ua/index.php/normbaza</w:t>
        </w:r>
      </w:hyperlink>
      <w:r>
        <w:rPr>
          <w:rStyle w:val="Hyperlink"/>
          <w:rFonts w:eastAsia="Calibri"/>
        </w:rPr>
        <w:t xml:space="preserve"> та</w:t>
      </w:r>
    </w:p>
    <w:p w:rsidR="00642FB4" w:rsidRDefault="006C74EB">
      <w:pPr>
        <w:autoSpaceDE w:val="0"/>
        <w:autoSpaceDN w:val="0"/>
        <w:adjustRightInd w:val="0"/>
        <w:spacing w:before="60" w:after="60" w:line="288" w:lineRule="auto"/>
        <w:jc w:val="both"/>
        <w:rPr>
          <w:rFonts w:eastAsia="EUAlbertina-Regular-Identity-H" w:cs="Arial"/>
        </w:rPr>
      </w:pPr>
      <w:hyperlink r:id="rId25">
        <w:r w:rsidR="00642FB4">
          <w:rPr>
            <w:color w:val="0000FF"/>
            <w:u w:val="single"/>
          </w:rPr>
          <w:t>http://www.kmu.gov.ua/control/en/publish/article?art_id=91651</w:t>
        </w:r>
      </w:hyperlink>
    </w:p>
    <w:p w:rsidR="00642FB4" w:rsidRDefault="00642FB4">
      <w:pPr>
        <w:autoSpaceDE w:val="0"/>
        <w:autoSpaceDN w:val="0"/>
        <w:adjustRightInd w:val="0"/>
        <w:spacing w:before="60" w:after="60" w:line="288" w:lineRule="auto"/>
        <w:jc w:val="both"/>
        <w:rPr>
          <w:b/>
          <w:u w:val="single"/>
        </w:rPr>
      </w:pPr>
    </w:p>
    <w:p w:rsidR="00642FB4" w:rsidRDefault="00642FB4">
      <w:pPr>
        <w:numPr>
          <w:ilvl w:val="0"/>
          <w:numId w:val="16"/>
        </w:numPr>
        <w:autoSpaceDE w:val="0"/>
        <w:autoSpaceDN w:val="0"/>
        <w:adjustRightInd w:val="0"/>
        <w:spacing w:before="60" w:after="60" w:line="288" w:lineRule="auto"/>
        <w:jc w:val="both"/>
        <w:rPr>
          <w:rFonts w:eastAsia="Calibri" w:cs="Arial"/>
          <w:b/>
        </w:rPr>
      </w:pPr>
      <w:r>
        <w:rPr>
          <w:b/>
        </w:rPr>
        <w:t>ПОВІТРЯ</w:t>
      </w:r>
    </w:p>
    <w:p w:rsidR="00642FB4" w:rsidRDefault="00642FB4">
      <w:pPr>
        <w:spacing w:before="60" w:after="60" w:line="288" w:lineRule="auto"/>
        <w:ind w:firstLine="851"/>
        <w:jc w:val="both"/>
        <w:rPr>
          <w:rFonts w:cs="Arial"/>
        </w:rPr>
      </w:pPr>
      <w:r>
        <w:t>Останнім часом, в Україні було зафіксовано зниження забруднюючих речовин в атмосфері в результаті економічної кризи і рецесії. Але, країна зробила важливі кроки для захисту якості повітря, знижуючи інтенсивність викидів парникових газів (</w:t>
      </w:r>
      <w:r>
        <w:rPr>
          <w:b/>
        </w:rPr>
        <w:t>рисунок</w:t>
      </w:r>
      <w:r>
        <w:t xml:space="preserve"> 4.6.1).  </w:t>
      </w:r>
    </w:p>
    <w:p w:rsidR="00642FB4" w:rsidRDefault="00642FB4">
      <w:pPr>
        <w:spacing w:before="60" w:after="60" w:line="288" w:lineRule="auto"/>
        <w:ind w:firstLine="851"/>
        <w:jc w:val="both"/>
        <w:rPr>
          <w:rFonts w:cs="Arial"/>
        </w:rPr>
      </w:pPr>
    </w:p>
    <w:p w:rsidR="00642FB4" w:rsidRDefault="001C33BE">
      <w:pPr>
        <w:jc w:val="center"/>
        <w:rPr>
          <w:rFonts w:cs="Arial"/>
          <w:u w:val="single"/>
        </w:rPr>
      </w:pPr>
      <w:r>
        <w:rPr>
          <w:noProof/>
          <w:sz w:val="26"/>
          <w:szCs w:val="26"/>
          <w:lang w:val="en-US" w:eastAsia="en-US"/>
        </w:rPr>
        <w:drawing>
          <wp:inline distT="0" distB="0" distL="0" distR="0" wp14:anchorId="20CE7442" wp14:editId="2B4ECDA9">
            <wp:extent cx="5025390" cy="2520315"/>
            <wp:effectExtent l="0" t="0" r="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a:stretch>
                      <a:fillRect/>
                    </a:stretch>
                  </pic:blipFill>
                  <pic:spPr bwMode="auto">
                    <a:xfrm>
                      <a:off x="0" y="0"/>
                      <a:ext cx="5025390" cy="2520315"/>
                    </a:xfrm>
                    <a:prstGeom prst="rect">
                      <a:avLst/>
                    </a:prstGeom>
                    <a:noFill/>
                    <a:ln w="9525">
                      <a:noFill/>
                      <a:miter lim="800000"/>
                      <a:headEnd/>
                      <a:tailEnd/>
                    </a:ln>
                  </pic:spPr>
                </pic:pic>
              </a:graphicData>
            </a:graphic>
          </wp:inline>
        </w:drawing>
      </w:r>
    </w:p>
    <w:p w:rsidR="00642FB4" w:rsidRDefault="00642FB4">
      <w:pPr>
        <w:pStyle w:val="HTMLPreformatted"/>
        <w:jc w:val="center"/>
        <w:rPr>
          <w:rFonts w:ascii="Arial" w:hAnsi="Arial" w:cs="Arial"/>
          <w:sz w:val="22"/>
          <w:szCs w:val="22"/>
          <w:lang w:val="ro-RO"/>
        </w:rPr>
      </w:pPr>
      <w:r>
        <w:rPr>
          <w:rFonts w:ascii="Arial" w:hAnsi="Arial"/>
          <w:b/>
          <w:i/>
          <w:sz w:val="22"/>
          <w:lang w:val="ro-RO"/>
        </w:rPr>
        <w:t>Рисунок 4.6.1</w:t>
      </w:r>
      <w:r>
        <w:rPr>
          <w:rFonts w:ascii="Arial" w:hAnsi="Arial"/>
          <w:b/>
          <w:sz w:val="22"/>
          <w:lang w:val="ro-RO"/>
        </w:rPr>
        <w:t xml:space="preserve"> </w:t>
      </w:r>
      <w:r>
        <w:rPr>
          <w:rFonts w:ascii="Arial" w:hAnsi="Arial"/>
          <w:sz w:val="22"/>
          <w:lang w:val="ro-RO"/>
        </w:rPr>
        <w:t>Зміни викидів в атмосферних на одиницю ВВП, 1990 ÷ 2009</w:t>
      </w:r>
    </w:p>
    <w:p w:rsidR="00642FB4" w:rsidRDefault="00642FB4">
      <w:pPr>
        <w:pStyle w:val="HTMLPreformatted"/>
        <w:jc w:val="both"/>
        <w:rPr>
          <w:lang w:val="ro-RO"/>
        </w:rPr>
      </w:pPr>
    </w:p>
    <w:p w:rsidR="00642FB4" w:rsidRDefault="00642FB4">
      <w:pPr>
        <w:pStyle w:val="HTMLPreformatted"/>
        <w:spacing w:before="60" w:after="60" w:line="288" w:lineRule="auto"/>
        <w:ind w:firstLine="720"/>
        <w:jc w:val="both"/>
        <w:rPr>
          <w:rFonts w:ascii="Arial" w:eastAsia="Calibri" w:hAnsi="Arial" w:cs="Arial"/>
          <w:b/>
          <w:sz w:val="24"/>
          <w:szCs w:val="24"/>
          <w:lang w:val="ro-RO"/>
        </w:rPr>
      </w:pPr>
      <w:r>
        <w:rPr>
          <w:rFonts w:ascii="Arial" w:hAnsi="Arial"/>
          <w:sz w:val="24"/>
          <w:lang w:val="ro-RO"/>
        </w:rPr>
        <w:t>Що стосується зміни викидів забруднюючих речовин в атмосферу, приблизно 62% забруднюючих речовин походять від промислових викидів а решта від стаціонарних джерел (</w:t>
      </w:r>
      <w:r>
        <w:rPr>
          <w:rFonts w:ascii="Arial" w:hAnsi="Arial"/>
          <w:b/>
          <w:sz w:val="24"/>
          <w:lang w:val="ro-RO"/>
        </w:rPr>
        <w:t>таблиця</w:t>
      </w:r>
      <w:r>
        <w:rPr>
          <w:rFonts w:ascii="Arial" w:hAnsi="Arial"/>
          <w:sz w:val="24"/>
          <w:lang w:val="ro-RO"/>
        </w:rPr>
        <w:t xml:space="preserve"> </w:t>
      </w:r>
      <w:r>
        <w:rPr>
          <w:rFonts w:ascii="Arial" w:hAnsi="Arial"/>
          <w:b/>
          <w:sz w:val="24"/>
          <w:lang w:val="ro-RO"/>
        </w:rPr>
        <w:t>4.6.1</w:t>
      </w:r>
      <w:r>
        <w:rPr>
          <w:rFonts w:ascii="Arial" w:hAnsi="Arial"/>
          <w:sz w:val="24"/>
          <w:lang w:val="ro-RO"/>
        </w:rPr>
        <w:t>).</w:t>
      </w:r>
    </w:p>
    <w:p w:rsidR="00642FB4" w:rsidRDefault="00642FB4">
      <w:pPr>
        <w:pStyle w:val="HTMLPreformatted"/>
        <w:jc w:val="both"/>
        <w:rPr>
          <w:lang w:val="ro-RO"/>
        </w:rPr>
      </w:pPr>
    </w:p>
    <w:p w:rsidR="00642FB4" w:rsidRDefault="00642FB4">
      <w:pPr>
        <w:pStyle w:val="HTMLPreformatted"/>
        <w:ind w:firstLine="720"/>
        <w:jc w:val="both"/>
        <w:rPr>
          <w:rFonts w:ascii="Arial" w:eastAsia="Calibri" w:hAnsi="Arial" w:cs="Arial"/>
          <w:b/>
          <w:sz w:val="22"/>
          <w:szCs w:val="22"/>
          <w:u w:val="single"/>
          <w:lang w:val="ro-RO"/>
        </w:rPr>
      </w:pPr>
      <w:r>
        <w:rPr>
          <w:rFonts w:ascii="Arial" w:hAnsi="Arial"/>
          <w:b/>
          <w:sz w:val="22"/>
          <w:u w:val="single"/>
          <w:lang w:val="ro-RO"/>
        </w:rPr>
        <w:t>Стаціонарні та мобільні джерела</w:t>
      </w:r>
    </w:p>
    <w:p w:rsidR="00642FB4" w:rsidRDefault="00642FB4">
      <w:pPr>
        <w:pStyle w:val="HTMLPreformatted"/>
        <w:ind w:firstLine="720"/>
        <w:jc w:val="both"/>
        <w:rPr>
          <w:rFonts w:ascii="Arial" w:eastAsia="Calibri" w:hAnsi="Arial" w:cs="Arial"/>
          <w:b/>
          <w:sz w:val="22"/>
          <w:szCs w:val="22"/>
          <w:lang w:val="ro-RO"/>
        </w:rPr>
      </w:pPr>
    </w:p>
    <w:p w:rsidR="00642FB4" w:rsidRDefault="00642FB4">
      <w:pPr>
        <w:pStyle w:val="HTMLPreformatted"/>
        <w:ind w:firstLine="567"/>
        <w:jc w:val="both"/>
        <w:rPr>
          <w:rFonts w:ascii="Arial" w:eastAsia="Calibri" w:hAnsi="Arial" w:cs="Arial"/>
          <w:sz w:val="22"/>
          <w:szCs w:val="22"/>
          <w:lang w:val="ro-RO"/>
        </w:rPr>
      </w:pPr>
      <w:r>
        <w:rPr>
          <w:rFonts w:ascii="Arial" w:hAnsi="Arial"/>
          <w:b/>
          <w:i/>
          <w:sz w:val="22"/>
          <w:lang w:val="ro-RO"/>
        </w:rPr>
        <w:t>Таблиця 4.6.1</w:t>
      </w:r>
      <w:r>
        <w:rPr>
          <w:rFonts w:ascii="Arial" w:hAnsi="Arial"/>
          <w:sz w:val="22"/>
          <w:lang w:val="ro-RO"/>
        </w:rPr>
        <w:t xml:space="preserve"> Зміни викидів забруднюючих речовин в атмосферу від стаціонарних та мобільних джерел протягом 2000 ÷ 2011 років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1403"/>
        <w:gridCol w:w="1800"/>
        <w:gridCol w:w="1490"/>
        <w:gridCol w:w="1170"/>
        <w:gridCol w:w="1401"/>
        <w:gridCol w:w="1136"/>
      </w:tblGrid>
      <w:tr w:rsidR="00642FB4">
        <w:trPr>
          <w:trHeight w:val="496"/>
          <w:jc w:val="center"/>
        </w:trPr>
        <w:tc>
          <w:tcPr>
            <w:tcW w:w="720" w:type="dxa"/>
            <w:vMerge w:val="restart"/>
            <w:shd w:val="clear" w:color="auto" w:fill="auto"/>
            <w:vAlign w:val="center"/>
          </w:tcPr>
          <w:p w:rsidR="00642FB4" w:rsidRDefault="00642FB4">
            <w:pPr>
              <w:jc w:val="both"/>
              <w:rPr>
                <w:rFonts w:cs="Arial"/>
                <w:b/>
                <w:sz w:val="20"/>
                <w:szCs w:val="20"/>
              </w:rPr>
            </w:pPr>
            <w:r>
              <w:rPr>
                <w:b/>
                <w:sz w:val="20"/>
              </w:rPr>
              <w:t>Рік</w:t>
            </w:r>
          </w:p>
        </w:tc>
        <w:tc>
          <w:tcPr>
            <w:tcW w:w="4693" w:type="dxa"/>
            <w:gridSpan w:val="3"/>
            <w:shd w:val="clear" w:color="auto" w:fill="auto"/>
            <w:vAlign w:val="center"/>
          </w:tcPr>
          <w:p w:rsidR="00642FB4" w:rsidRDefault="00642FB4">
            <w:pPr>
              <w:jc w:val="both"/>
              <w:rPr>
                <w:rFonts w:cs="Arial"/>
                <w:b/>
                <w:sz w:val="20"/>
                <w:szCs w:val="20"/>
              </w:rPr>
            </w:pPr>
            <w:r>
              <w:rPr>
                <w:b/>
                <w:sz w:val="20"/>
              </w:rPr>
              <w:t>Кількість викидів забруднюючих речовин</w:t>
            </w:r>
          </w:p>
          <w:p w:rsidR="00642FB4" w:rsidRDefault="00642FB4">
            <w:pPr>
              <w:jc w:val="both"/>
              <w:rPr>
                <w:rFonts w:cs="Arial"/>
                <w:b/>
                <w:sz w:val="20"/>
                <w:szCs w:val="20"/>
              </w:rPr>
            </w:pPr>
            <w:r>
              <w:rPr>
                <w:b/>
                <w:sz w:val="20"/>
              </w:rPr>
              <w:t>(тисячі тонн)</w:t>
            </w:r>
          </w:p>
        </w:tc>
        <w:tc>
          <w:tcPr>
            <w:tcW w:w="3574" w:type="dxa"/>
            <w:gridSpan w:val="3"/>
            <w:shd w:val="clear" w:color="auto" w:fill="auto"/>
            <w:vAlign w:val="center"/>
          </w:tcPr>
          <w:p w:rsidR="00642FB4" w:rsidRDefault="00642FB4">
            <w:pPr>
              <w:jc w:val="both"/>
              <w:rPr>
                <w:rFonts w:cs="Arial"/>
                <w:b/>
                <w:sz w:val="20"/>
                <w:szCs w:val="20"/>
              </w:rPr>
            </w:pPr>
            <w:r>
              <w:rPr>
                <w:b/>
                <w:sz w:val="20"/>
              </w:rPr>
              <w:t xml:space="preserve">Викиди діоксиду вуглецю </w:t>
            </w:r>
          </w:p>
          <w:p w:rsidR="00642FB4" w:rsidRDefault="00642FB4">
            <w:pPr>
              <w:jc w:val="both"/>
              <w:rPr>
                <w:rFonts w:cs="Arial"/>
                <w:b/>
                <w:sz w:val="20"/>
                <w:szCs w:val="20"/>
              </w:rPr>
            </w:pPr>
            <w:r>
              <w:rPr>
                <w:b/>
                <w:sz w:val="20"/>
              </w:rPr>
              <w:t>(мільйон тонн)</w:t>
            </w:r>
          </w:p>
        </w:tc>
      </w:tr>
      <w:tr w:rsidR="00642FB4">
        <w:trPr>
          <w:trHeight w:val="277"/>
          <w:jc w:val="center"/>
        </w:trPr>
        <w:tc>
          <w:tcPr>
            <w:tcW w:w="720" w:type="dxa"/>
            <w:vMerge/>
            <w:shd w:val="clear" w:color="auto" w:fill="auto"/>
            <w:vAlign w:val="center"/>
          </w:tcPr>
          <w:p w:rsidR="00642FB4" w:rsidRDefault="00642FB4">
            <w:pPr>
              <w:jc w:val="both"/>
              <w:rPr>
                <w:rFonts w:cs="Arial"/>
                <w:b/>
                <w:sz w:val="20"/>
                <w:szCs w:val="20"/>
              </w:rPr>
            </w:pPr>
          </w:p>
        </w:tc>
        <w:tc>
          <w:tcPr>
            <w:tcW w:w="1403" w:type="dxa"/>
            <w:shd w:val="clear" w:color="auto" w:fill="auto"/>
            <w:vAlign w:val="center"/>
          </w:tcPr>
          <w:p w:rsidR="00642FB4" w:rsidRDefault="00642FB4">
            <w:pPr>
              <w:jc w:val="both"/>
              <w:rPr>
                <w:rFonts w:cs="Arial"/>
                <w:b/>
                <w:sz w:val="20"/>
                <w:szCs w:val="20"/>
              </w:rPr>
            </w:pPr>
            <w:r>
              <w:rPr>
                <w:b/>
                <w:sz w:val="20"/>
              </w:rPr>
              <w:t>Всього</w:t>
            </w:r>
          </w:p>
        </w:tc>
        <w:tc>
          <w:tcPr>
            <w:tcW w:w="1800" w:type="dxa"/>
            <w:tcBorders>
              <w:top w:val="nil"/>
            </w:tcBorders>
            <w:shd w:val="clear" w:color="auto" w:fill="auto"/>
            <w:vAlign w:val="center"/>
          </w:tcPr>
          <w:p w:rsidR="00642FB4" w:rsidRDefault="00642FB4">
            <w:pPr>
              <w:jc w:val="both"/>
              <w:rPr>
                <w:rFonts w:cs="Arial"/>
                <w:b/>
                <w:sz w:val="20"/>
                <w:szCs w:val="20"/>
              </w:rPr>
            </w:pPr>
            <w:r>
              <w:rPr>
                <w:b/>
                <w:sz w:val="20"/>
              </w:rPr>
              <w:t>Стаціонарні джерела</w:t>
            </w:r>
          </w:p>
        </w:tc>
        <w:tc>
          <w:tcPr>
            <w:tcW w:w="1490" w:type="dxa"/>
            <w:tcBorders>
              <w:top w:val="nil"/>
            </w:tcBorders>
            <w:shd w:val="clear" w:color="auto" w:fill="auto"/>
            <w:vAlign w:val="center"/>
          </w:tcPr>
          <w:p w:rsidR="00642FB4" w:rsidRDefault="00642FB4">
            <w:pPr>
              <w:jc w:val="both"/>
              <w:rPr>
                <w:rFonts w:cs="Arial"/>
                <w:b/>
                <w:sz w:val="20"/>
                <w:szCs w:val="20"/>
              </w:rPr>
            </w:pPr>
            <w:r>
              <w:rPr>
                <w:b/>
                <w:sz w:val="20"/>
              </w:rPr>
              <w:t>Мобільні джерела</w:t>
            </w:r>
          </w:p>
        </w:tc>
        <w:tc>
          <w:tcPr>
            <w:tcW w:w="1170" w:type="dxa"/>
            <w:shd w:val="clear" w:color="auto" w:fill="auto"/>
            <w:vAlign w:val="center"/>
          </w:tcPr>
          <w:p w:rsidR="00642FB4" w:rsidRDefault="00642FB4">
            <w:pPr>
              <w:jc w:val="both"/>
              <w:rPr>
                <w:rFonts w:cs="Arial"/>
                <w:b/>
                <w:sz w:val="20"/>
                <w:szCs w:val="20"/>
              </w:rPr>
            </w:pPr>
            <w:r>
              <w:rPr>
                <w:b/>
                <w:sz w:val="20"/>
              </w:rPr>
              <w:t>Всього</w:t>
            </w:r>
          </w:p>
        </w:tc>
        <w:tc>
          <w:tcPr>
            <w:tcW w:w="1268" w:type="dxa"/>
            <w:shd w:val="clear" w:color="auto" w:fill="auto"/>
            <w:vAlign w:val="center"/>
          </w:tcPr>
          <w:p w:rsidR="00642FB4" w:rsidRDefault="00642FB4">
            <w:pPr>
              <w:jc w:val="both"/>
              <w:rPr>
                <w:rFonts w:cs="Arial"/>
                <w:b/>
                <w:sz w:val="20"/>
                <w:szCs w:val="20"/>
              </w:rPr>
            </w:pPr>
            <w:r>
              <w:rPr>
                <w:b/>
                <w:sz w:val="20"/>
              </w:rPr>
              <w:t>Стаціонарні джерела</w:t>
            </w:r>
          </w:p>
        </w:tc>
        <w:tc>
          <w:tcPr>
            <w:tcW w:w="1136" w:type="dxa"/>
            <w:shd w:val="clear" w:color="auto" w:fill="auto"/>
            <w:vAlign w:val="center"/>
          </w:tcPr>
          <w:p w:rsidR="00642FB4" w:rsidRDefault="00642FB4">
            <w:pPr>
              <w:jc w:val="both"/>
              <w:rPr>
                <w:rFonts w:cs="Arial"/>
                <w:b/>
                <w:sz w:val="20"/>
                <w:szCs w:val="20"/>
              </w:rPr>
            </w:pPr>
            <w:r>
              <w:rPr>
                <w:b/>
                <w:sz w:val="20"/>
              </w:rPr>
              <w:t>Мобільні джерела</w:t>
            </w:r>
          </w:p>
        </w:tc>
      </w:tr>
      <w:tr w:rsidR="00642FB4">
        <w:trPr>
          <w:trHeight w:val="282"/>
          <w:jc w:val="center"/>
        </w:trPr>
        <w:tc>
          <w:tcPr>
            <w:tcW w:w="720" w:type="dxa"/>
            <w:shd w:val="clear" w:color="auto" w:fill="auto"/>
            <w:vAlign w:val="center"/>
          </w:tcPr>
          <w:p w:rsidR="00642FB4" w:rsidRDefault="00642FB4">
            <w:pPr>
              <w:jc w:val="both"/>
              <w:rPr>
                <w:rFonts w:cs="Arial"/>
                <w:sz w:val="20"/>
                <w:szCs w:val="20"/>
              </w:rPr>
            </w:pPr>
            <w:r>
              <w:rPr>
                <w:sz w:val="20"/>
              </w:rPr>
              <w:t>2000</w:t>
            </w:r>
          </w:p>
        </w:tc>
        <w:tc>
          <w:tcPr>
            <w:tcW w:w="1403" w:type="dxa"/>
            <w:shd w:val="clear" w:color="auto" w:fill="auto"/>
            <w:vAlign w:val="center"/>
          </w:tcPr>
          <w:p w:rsidR="00642FB4" w:rsidRDefault="00642FB4">
            <w:pPr>
              <w:jc w:val="right"/>
              <w:rPr>
                <w:rFonts w:cs="Arial"/>
                <w:sz w:val="20"/>
                <w:szCs w:val="20"/>
              </w:rPr>
            </w:pPr>
            <w:r>
              <w:rPr>
                <w:sz w:val="20"/>
              </w:rPr>
              <w:t>5 908,6</w:t>
            </w:r>
          </w:p>
        </w:tc>
        <w:tc>
          <w:tcPr>
            <w:tcW w:w="1800" w:type="dxa"/>
            <w:shd w:val="clear" w:color="auto" w:fill="auto"/>
            <w:vAlign w:val="center"/>
          </w:tcPr>
          <w:p w:rsidR="00642FB4" w:rsidRDefault="00642FB4">
            <w:pPr>
              <w:jc w:val="right"/>
              <w:rPr>
                <w:rFonts w:cs="Arial"/>
                <w:sz w:val="20"/>
                <w:szCs w:val="20"/>
              </w:rPr>
            </w:pPr>
            <w:r>
              <w:rPr>
                <w:sz w:val="20"/>
              </w:rPr>
              <w:t>3 959,4</w:t>
            </w:r>
          </w:p>
        </w:tc>
        <w:tc>
          <w:tcPr>
            <w:tcW w:w="1490" w:type="dxa"/>
            <w:shd w:val="clear" w:color="auto" w:fill="auto"/>
            <w:vAlign w:val="center"/>
          </w:tcPr>
          <w:p w:rsidR="00642FB4" w:rsidRDefault="00642FB4">
            <w:pPr>
              <w:jc w:val="right"/>
              <w:rPr>
                <w:rFonts w:cs="Arial"/>
                <w:sz w:val="20"/>
                <w:szCs w:val="20"/>
              </w:rPr>
            </w:pPr>
            <w:r>
              <w:rPr>
                <w:sz w:val="20"/>
              </w:rPr>
              <w:t>1 949,2</w:t>
            </w:r>
          </w:p>
        </w:tc>
        <w:tc>
          <w:tcPr>
            <w:tcW w:w="1170" w:type="dxa"/>
            <w:shd w:val="clear" w:color="auto" w:fill="auto"/>
            <w:vAlign w:val="center"/>
          </w:tcPr>
          <w:p w:rsidR="00642FB4" w:rsidRDefault="00642FB4">
            <w:pPr>
              <w:jc w:val="right"/>
              <w:rPr>
                <w:rFonts w:cs="Arial"/>
                <w:sz w:val="20"/>
                <w:szCs w:val="20"/>
              </w:rPr>
            </w:pPr>
            <w:r>
              <w:rPr>
                <w:sz w:val="20"/>
              </w:rPr>
              <w:t>…</w:t>
            </w:r>
          </w:p>
        </w:tc>
        <w:tc>
          <w:tcPr>
            <w:tcW w:w="1268" w:type="dxa"/>
            <w:shd w:val="clear" w:color="auto" w:fill="auto"/>
            <w:vAlign w:val="center"/>
          </w:tcPr>
          <w:p w:rsidR="00642FB4" w:rsidRDefault="00642FB4">
            <w:pPr>
              <w:jc w:val="right"/>
              <w:rPr>
                <w:rFonts w:cs="Arial"/>
                <w:sz w:val="20"/>
                <w:szCs w:val="20"/>
              </w:rPr>
            </w:pPr>
            <w:r>
              <w:rPr>
                <w:sz w:val="20"/>
              </w:rPr>
              <w:t>…</w:t>
            </w:r>
          </w:p>
        </w:tc>
        <w:tc>
          <w:tcPr>
            <w:tcW w:w="1136" w:type="dxa"/>
            <w:shd w:val="clear" w:color="auto" w:fill="auto"/>
            <w:vAlign w:val="center"/>
          </w:tcPr>
          <w:p w:rsidR="00642FB4" w:rsidRDefault="00642FB4">
            <w:pPr>
              <w:jc w:val="right"/>
              <w:rPr>
                <w:rFonts w:cs="Arial"/>
                <w:sz w:val="20"/>
                <w:szCs w:val="20"/>
              </w:rPr>
            </w:pPr>
            <w:r>
              <w:rPr>
                <w:sz w:val="20"/>
              </w:rPr>
              <w:t>…</w:t>
            </w:r>
          </w:p>
        </w:tc>
      </w:tr>
      <w:tr w:rsidR="00642FB4">
        <w:trPr>
          <w:trHeight w:val="282"/>
          <w:jc w:val="center"/>
        </w:trPr>
        <w:tc>
          <w:tcPr>
            <w:tcW w:w="720" w:type="dxa"/>
            <w:shd w:val="clear" w:color="auto" w:fill="auto"/>
            <w:vAlign w:val="center"/>
          </w:tcPr>
          <w:p w:rsidR="00642FB4" w:rsidRDefault="00642FB4">
            <w:pPr>
              <w:jc w:val="both"/>
              <w:rPr>
                <w:rFonts w:cs="Arial"/>
                <w:sz w:val="20"/>
                <w:szCs w:val="20"/>
              </w:rPr>
            </w:pPr>
            <w:r>
              <w:rPr>
                <w:sz w:val="20"/>
              </w:rPr>
              <w:t>2001</w:t>
            </w:r>
          </w:p>
        </w:tc>
        <w:tc>
          <w:tcPr>
            <w:tcW w:w="1403" w:type="dxa"/>
            <w:shd w:val="clear" w:color="auto" w:fill="auto"/>
            <w:vAlign w:val="center"/>
          </w:tcPr>
          <w:p w:rsidR="00642FB4" w:rsidRDefault="00642FB4">
            <w:pPr>
              <w:jc w:val="right"/>
              <w:rPr>
                <w:rFonts w:cs="Arial"/>
                <w:sz w:val="20"/>
                <w:szCs w:val="20"/>
              </w:rPr>
            </w:pPr>
            <w:r>
              <w:rPr>
                <w:sz w:val="20"/>
              </w:rPr>
              <w:t>6 049,5</w:t>
            </w:r>
          </w:p>
        </w:tc>
        <w:tc>
          <w:tcPr>
            <w:tcW w:w="1800" w:type="dxa"/>
            <w:shd w:val="clear" w:color="auto" w:fill="auto"/>
            <w:vAlign w:val="center"/>
          </w:tcPr>
          <w:p w:rsidR="00642FB4" w:rsidRDefault="00642FB4">
            <w:pPr>
              <w:jc w:val="right"/>
              <w:rPr>
                <w:rFonts w:cs="Arial"/>
                <w:sz w:val="20"/>
                <w:szCs w:val="20"/>
              </w:rPr>
            </w:pPr>
            <w:r>
              <w:rPr>
                <w:sz w:val="20"/>
              </w:rPr>
              <w:t>4 054,8</w:t>
            </w:r>
          </w:p>
        </w:tc>
        <w:tc>
          <w:tcPr>
            <w:tcW w:w="1490" w:type="dxa"/>
            <w:shd w:val="clear" w:color="auto" w:fill="auto"/>
            <w:vAlign w:val="center"/>
          </w:tcPr>
          <w:p w:rsidR="00642FB4" w:rsidRDefault="00642FB4">
            <w:pPr>
              <w:jc w:val="right"/>
              <w:rPr>
                <w:rFonts w:cs="Arial"/>
                <w:sz w:val="20"/>
                <w:szCs w:val="20"/>
              </w:rPr>
            </w:pPr>
            <w:r>
              <w:rPr>
                <w:sz w:val="20"/>
              </w:rPr>
              <w:t>1 994,7</w:t>
            </w:r>
          </w:p>
        </w:tc>
        <w:tc>
          <w:tcPr>
            <w:tcW w:w="1170" w:type="dxa"/>
            <w:shd w:val="clear" w:color="auto" w:fill="auto"/>
            <w:vAlign w:val="center"/>
          </w:tcPr>
          <w:p w:rsidR="00642FB4" w:rsidRDefault="00642FB4">
            <w:pPr>
              <w:jc w:val="right"/>
              <w:rPr>
                <w:rFonts w:cs="Arial"/>
                <w:sz w:val="20"/>
                <w:szCs w:val="20"/>
              </w:rPr>
            </w:pPr>
            <w:r>
              <w:rPr>
                <w:sz w:val="20"/>
              </w:rPr>
              <w:t>…</w:t>
            </w:r>
          </w:p>
        </w:tc>
        <w:tc>
          <w:tcPr>
            <w:tcW w:w="1268" w:type="dxa"/>
            <w:shd w:val="clear" w:color="auto" w:fill="auto"/>
            <w:vAlign w:val="center"/>
          </w:tcPr>
          <w:p w:rsidR="00642FB4" w:rsidRDefault="00642FB4">
            <w:pPr>
              <w:jc w:val="right"/>
              <w:rPr>
                <w:rFonts w:cs="Arial"/>
                <w:sz w:val="20"/>
                <w:szCs w:val="20"/>
              </w:rPr>
            </w:pPr>
            <w:r>
              <w:rPr>
                <w:sz w:val="20"/>
              </w:rPr>
              <w:t>…</w:t>
            </w:r>
          </w:p>
        </w:tc>
        <w:tc>
          <w:tcPr>
            <w:tcW w:w="1136" w:type="dxa"/>
            <w:shd w:val="clear" w:color="auto" w:fill="auto"/>
            <w:vAlign w:val="center"/>
          </w:tcPr>
          <w:p w:rsidR="00642FB4" w:rsidRDefault="00642FB4">
            <w:pPr>
              <w:jc w:val="right"/>
              <w:rPr>
                <w:rFonts w:cs="Arial"/>
                <w:sz w:val="20"/>
                <w:szCs w:val="20"/>
              </w:rPr>
            </w:pPr>
            <w:r>
              <w:rPr>
                <w:sz w:val="20"/>
              </w:rPr>
              <w:t>…</w:t>
            </w:r>
          </w:p>
        </w:tc>
      </w:tr>
      <w:tr w:rsidR="00642FB4">
        <w:trPr>
          <w:trHeight w:val="282"/>
          <w:jc w:val="center"/>
        </w:trPr>
        <w:tc>
          <w:tcPr>
            <w:tcW w:w="720" w:type="dxa"/>
            <w:shd w:val="clear" w:color="auto" w:fill="auto"/>
            <w:vAlign w:val="center"/>
          </w:tcPr>
          <w:p w:rsidR="00642FB4" w:rsidRDefault="00642FB4">
            <w:pPr>
              <w:jc w:val="both"/>
              <w:rPr>
                <w:rFonts w:cs="Arial"/>
                <w:sz w:val="20"/>
                <w:szCs w:val="20"/>
              </w:rPr>
            </w:pPr>
            <w:r>
              <w:rPr>
                <w:sz w:val="20"/>
              </w:rPr>
              <w:t>2002</w:t>
            </w:r>
          </w:p>
        </w:tc>
        <w:tc>
          <w:tcPr>
            <w:tcW w:w="1403" w:type="dxa"/>
            <w:shd w:val="clear" w:color="auto" w:fill="auto"/>
            <w:vAlign w:val="center"/>
          </w:tcPr>
          <w:p w:rsidR="00642FB4" w:rsidRDefault="00642FB4">
            <w:pPr>
              <w:jc w:val="right"/>
              <w:rPr>
                <w:rFonts w:cs="Arial"/>
                <w:sz w:val="20"/>
                <w:szCs w:val="20"/>
              </w:rPr>
            </w:pPr>
            <w:r>
              <w:rPr>
                <w:sz w:val="20"/>
              </w:rPr>
              <w:t>6 101,9</w:t>
            </w:r>
          </w:p>
        </w:tc>
        <w:tc>
          <w:tcPr>
            <w:tcW w:w="1800" w:type="dxa"/>
            <w:shd w:val="clear" w:color="auto" w:fill="auto"/>
            <w:vAlign w:val="center"/>
          </w:tcPr>
          <w:p w:rsidR="00642FB4" w:rsidRDefault="00642FB4">
            <w:pPr>
              <w:jc w:val="right"/>
              <w:rPr>
                <w:rFonts w:cs="Arial"/>
                <w:sz w:val="20"/>
                <w:szCs w:val="20"/>
              </w:rPr>
            </w:pPr>
            <w:r>
              <w:rPr>
                <w:sz w:val="20"/>
              </w:rPr>
              <w:t>4 075,0</w:t>
            </w:r>
          </w:p>
        </w:tc>
        <w:tc>
          <w:tcPr>
            <w:tcW w:w="1490" w:type="dxa"/>
            <w:shd w:val="clear" w:color="auto" w:fill="auto"/>
            <w:vAlign w:val="center"/>
          </w:tcPr>
          <w:p w:rsidR="00642FB4" w:rsidRDefault="00642FB4">
            <w:pPr>
              <w:jc w:val="right"/>
              <w:rPr>
                <w:rFonts w:cs="Arial"/>
                <w:sz w:val="20"/>
                <w:szCs w:val="20"/>
              </w:rPr>
            </w:pPr>
            <w:r>
              <w:rPr>
                <w:sz w:val="20"/>
              </w:rPr>
              <w:t>2 026,9</w:t>
            </w:r>
          </w:p>
        </w:tc>
        <w:tc>
          <w:tcPr>
            <w:tcW w:w="1170" w:type="dxa"/>
            <w:shd w:val="clear" w:color="auto" w:fill="auto"/>
            <w:vAlign w:val="center"/>
          </w:tcPr>
          <w:p w:rsidR="00642FB4" w:rsidRDefault="00642FB4">
            <w:pPr>
              <w:jc w:val="right"/>
              <w:rPr>
                <w:rFonts w:cs="Arial"/>
                <w:sz w:val="20"/>
                <w:szCs w:val="20"/>
              </w:rPr>
            </w:pPr>
            <w:r>
              <w:rPr>
                <w:sz w:val="20"/>
              </w:rPr>
              <w:t>…</w:t>
            </w:r>
          </w:p>
        </w:tc>
        <w:tc>
          <w:tcPr>
            <w:tcW w:w="1268" w:type="dxa"/>
            <w:shd w:val="clear" w:color="auto" w:fill="auto"/>
            <w:vAlign w:val="center"/>
          </w:tcPr>
          <w:p w:rsidR="00642FB4" w:rsidRDefault="00642FB4">
            <w:pPr>
              <w:jc w:val="right"/>
              <w:rPr>
                <w:rFonts w:cs="Arial"/>
                <w:sz w:val="20"/>
                <w:szCs w:val="20"/>
              </w:rPr>
            </w:pPr>
            <w:r>
              <w:rPr>
                <w:sz w:val="20"/>
              </w:rPr>
              <w:t>…</w:t>
            </w:r>
          </w:p>
        </w:tc>
        <w:tc>
          <w:tcPr>
            <w:tcW w:w="1136" w:type="dxa"/>
            <w:shd w:val="clear" w:color="auto" w:fill="auto"/>
            <w:vAlign w:val="center"/>
          </w:tcPr>
          <w:p w:rsidR="00642FB4" w:rsidRDefault="00642FB4">
            <w:pPr>
              <w:jc w:val="right"/>
              <w:rPr>
                <w:rFonts w:cs="Arial"/>
                <w:sz w:val="20"/>
                <w:szCs w:val="20"/>
              </w:rPr>
            </w:pPr>
            <w:r>
              <w:rPr>
                <w:sz w:val="20"/>
              </w:rPr>
              <w:t>…</w:t>
            </w:r>
          </w:p>
        </w:tc>
      </w:tr>
      <w:tr w:rsidR="00642FB4">
        <w:trPr>
          <w:trHeight w:val="282"/>
          <w:jc w:val="center"/>
        </w:trPr>
        <w:tc>
          <w:tcPr>
            <w:tcW w:w="720" w:type="dxa"/>
            <w:shd w:val="clear" w:color="auto" w:fill="auto"/>
            <w:vAlign w:val="center"/>
          </w:tcPr>
          <w:p w:rsidR="00642FB4" w:rsidRDefault="00642FB4">
            <w:pPr>
              <w:jc w:val="both"/>
              <w:rPr>
                <w:rFonts w:cs="Arial"/>
                <w:sz w:val="20"/>
                <w:szCs w:val="20"/>
              </w:rPr>
            </w:pPr>
            <w:r>
              <w:rPr>
                <w:sz w:val="20"/>
              </w:rPr>
              <w:t>2003</w:t>
            </w:r>
          </w:p>
        </w:tc>
        <w:tc>
          <w:tcPr>
            <w:tcW w:w="1403" w:type="dxa"/>
            <w:shd w:val="clear" w:color="auto" w:fill="auto"/>
            <w:vAlign w:val="center"/>
          </w:tcPr>
          <w:p w:rsidR="00642FB4" w:rsidRDefault="00642FB4">
            <w:pPr>
              <w:jc w:val="right"/>
              <w:rPr>
                <w:rFonts w:cs="Arial"/>
                <w:sz w:val="20"/>
                <w:szCs w:val="20"/>
              </w:rPr>
            </w:pPr>
            <w:r>
              <w:rPr>
                <w:sz w:val="20"/>
              </w:rPr>
              <w:t>6 191,3</w:t>
            </w:r>
          </w:p>
        </w:tc>
        <w:tc>
          <w:tcPr>
            <w:tcW w:w="1800" w:type="dxa"/>
            <w:shd w:val="clear" w:color="auto" w:fill="auto"/>
            <w:vAlign w:val="center"/>
          </w:tcPr>
          <w:p w:rsidR="00642FB4" w:rsidRDefault="00642FB4">
            <w:pPr>
              <w:jc w:val="right"/>
              <w:rPr>
                <w:rFonts w:cs="Arial"/>
                <w:sz w:val="20"/>
                <w:szCs w:val="20"/>
              </w:rPr>
            </w:pPr>
            <w:r>
              <w:rPr>
                <w:sz w:val="20"/>
              </w:rPr>
              <w:t>4 087,8</w:t>
            </w:r>
          </w:p>
        </w:tc>
        <w:tc>
          <w:tcPr>
            <w:tcW w:w="1490" w:type="dxa"/>
            <w:shd w:val="clear" w:color="auto" w:fill="auto"/>
            <w:vAlign w:val="center"/>
          </w:tcPr>
          <w:p w:rsidR="00642FB4" w:rsidRDefault="00642FB4">
            <w:pPr>
              <w:jc w:val="right"/>
              <w:rPr>
                <w:rFonts w:cs="Arial"/>
                <w:sz w:val="20"/>
                <w:szCs w:val="20"/>
              </w:rPr>
            </w:pPr>
            <w:r>
              <w:rPr>
                <w:sz w:val="20"/>
              </w:rPr>
              <w:t>2 103,5</w:t>
            </w:r>
          </w:p>
        </w:tc>
        <w:tc>
          <w:tcPr>
            <w:tcW w:w="1170" w:type="dxa"/>
            <w:shd w:val="clear" w:color="auto" w:fill="auto"/>
            <w:vAlign w:val="center"/>
          </w:tcPr>
          <w:p w:rsidR="00642FB4" w:rsidRDefault="00642FB4">
            <w:pPr>
              <w:jc w:val="right"/>
              <w:rPr>
                <w:rFonts w:cs="Arial"/>
                <w:sz w:val="20"/>
                <w:szCs w:val="20"/>
              </w:rPr>
            </w:pPr>
            <w:r>
              <w:rPr>
                <w:sz w:val="20"/>
              </w:rPr>
              <w:t>…</w:t>
            </w:r>
          </w:p>
        </w:tc>
        <w:tc>
          <w:tcPr>
            <w:tcW w:w="1268" w:type="dxa"/>
            <w:shd w:val="clear" w:color="auto" w:fill="auto"/>
            <w:vAlign w:val="center"/>
          </w:tcPr>
          <w:p w:rsidR="00642FB4" w:rsidRDefault="00642FB4">
            <w:pPr>
              <w:jc w:val="right"/>
              <w:rPr>
                <w:rFonts w:cs="Arial"/>
                <w:sz w:val="20"/>
                <w:szCs w:val="20"/>
              </w:rPr>
            </w:pPr>
            <w:r>
              <w:rPr>
                <w:sz w:val="20"/>
              </w:rPr>
              <w:t>…</w:t>
            </w:r>
          </w:p>
        </w:tc>
        <w:tc>
          <w:tcPr>
            <w:tcW w:w="1136" w:type="dxa"/>
            <w:shd w:val="clear" w:color="auto" w:fill="auto"/>
            <w:vAlign w:val="center"/>
          </w:tcPr>
          <w:p w:rsidR="00642FB4" w:rsidRDefault="00642FB4">
            <w:pPr>
              <w:jc w:val="right"/>
              <w:rPr>
                <w:rFonts w:cs="Arial"/>
                <w:sz w:val="20"/>
                <w:szCs w:val="20"/>
              </w:rPr>
            </w:pPr>
            <w:r>
              <w:rPr>
                <w:sz w:val="20"/>
              </w:rPr>
              <w:t>…</w:t>
            </w:r>
          </w:p>
        </w:tc>
      </w:tr>
      <w:tr w:rsidR="00642FB4">
        <w:trPr>
          <w:trHeight w:val="282"/>
          <w:jc w:val="center"/>
        </w:trPr>
        <w:tc>
          <w:tcPr>
            <w:tcW w:w="720" w:type="dxa"/>
            <w:shd w:val="clear" w:color="auto" w:fill="auto"/>
            <w:vAlign w:val="center"/>
          </w:tcPr>
          <w:p w:rsidR="00642FB4" w:rsidRDefault="00642FB4">
            <w:pPr>
              <w:jc w:val="both"/>
              <w:rPr>
                <w:rFonts w:cs="Arial"/>
                <w:sz w:val="20"/>
                <w:szCs w:val="20"/>
              </w:rPr>
            </w:pPr>
            <w:r>
              <w:rPr>
                <w:sz w:val="20"/>
              </w:rPr>
              <w:t>2004</w:t>
            </w:r>
          </w:p>
        </w:tc>
        <w:tc>
          <w:tcPr>
            <w:tcW w:w="1403" w:type="dxa"/>
            <w:shd w:val="clear" w:color="auto" w:fill="auto"/>
            <w:vAlign w:val="center"/>
          </w:tcPr>
          <w:p w:rsidR="00642FB4" w:rsidRDefault="00642FB4">
            <w:pPr>
              <w:jc w:val="right"/>
              <w:rPr>
                <w:rFonts w:cs="Arial"/>
                <w:sz w:val="20"/>
                <w:szCs w:val="20"/>
              </w:rPr>
            </w:pPr>
            <w:r>
              <w:rPr>
                <w:sz w:val="20"/>
              </w:rPr>
              <w:t>6 325,9</w:t>
            </w:r>
          </w:p>
        </w:tc>
        <w:tc>
          <w:tcPr>
            <w:tcW w:w="1800" w:type="dxa"/>
            <w:shd w:val="clear" w:color="auto" w:fill="auto"/>
            <w:vAlign w:val="center"/>
          </w:tcPr>
          <w:p w:rsidR="00642FB4" w:rsidRDefault="00642FB4">
            <w:pPr>
              <w:jc w:val="right"/>
              <w:rPr>
                <w:rFonts w:cs="Arial"/>
                <w:sz w:val="20"/>
                <w:szCs w:val="20"/>
              </w:rPr>
            </w:pPr>
            <w:r>
              <w:rPr>
                <w:sz w:val="20"/>
              </w:rPr>
              <w:t>4 151,9</w:t>
            </w:r>
          </w:p>
        </w:tc>
        <w:tc>
          <w:tcPr>
            <w:tcW w:w="1490" w:type="dxa"/>
            <w:shd w:val="clear" w:color="auto" w:fill="auto"/>
            <w:vAlign w:val="center"/>
          </w:tcPr>
          <w:p w:rsidR="00642FB4" w:rsidRDefault="00642FB4">
            <w:pPr>
              <w:jc w:val="right"/>
              <w:rPr>
                <w:rFonts w:cs="Arial"/>
                <w:sz w:val="20"/>
                <w:szCs w:val="20"/>
              </w:rPr>
            </w:pPr>
            <w:r>
              <w:rPr>
                <w:sz w:val="20"/>
              </w:rPr>
              <w:t>2 174,0</w:t>
            </w:r>
          </w:p>
        </w:tc>
        <w:tc>
          <w:tcPr>
            <w:tcW w:w="1170" w:type="dxa"/>
            <w:shd w:val="clear" w:color="auto" w:fill="auto"/>
            <w:vAlign w:val="center"/>
          </w:tcPr>
          <w:p w:rsidR="00642FB4" w:rsidRDefault="00642FB4">
            <w:pPr>
              <w:jc w:val="right"/>
              <w:rPr>
                <w:rFonts w:cs="Arial"/>
                <w:sz w:val="20"/>
                <w:szCs w:val="20"/>
              </w:rPr>
            </w:pPr>
            <w:r>
              <w:rPr>
                <w:sz w:val="20"/>
              </w:rPr>
              <w:t>126,9</w:t>
            </w:r>
          </w:p>
        </w:tc>
        <w:tc>
          <w:tcPr>
            <w:tcW w:w="1268" w:type="dxa"/>
            <w:shd w:val="clear" w:color="auto" w:fill="auto"/>
            <w:vAlign w:val="center"/>
          </w:tcPr>
          <w:p w:rsidR="00642FB4" w:rsidRDefault="00642FB4">
            <w:pPr>
              <w:jc w:val="right"/>
              <w:rPr>
                <w:rFonts w:cs="Arial"/>
                <w:sz w:val="20"/>
                <w:szCs w:val="20"/>
              </w:rPr>
            </w:pPr>
            <w:r>
              <w:rPr>
                <w:sz w:val="20"/>
              </w:rPr>
              <w:t>126,9</w:t>
            </w:r>
          </w:p>
        </w:tc>
        <w:tc>
          <w:tcPr>
            <w:tcW w:w="1136" w:type="dxa"/>
            <w:shd w:val="clear" w:color="auto" w:fill="auto"/>
            <w:vAlign w:val="center"/>
          </w:tcPr>
          <w:p w:rsidR="00642FB4" w:rsidRDefault="00642FB4">
            <w:pPr>
              <w:jc w:val="right"/>
              <w:rPr>
                <w:rFonts w:cs="Arial"/>
                <w:sz w:val="20"/>
                <w:szCs w:val="20"/>
              </w:rPr>
            </w:pPr>
            <w:r>
              <w:rPr>
                <w:sz w:val="20"/>
              </w:rPr>
              <w:t>…</w:t>
            </w:r>
          </w:p>
        </w:tc>
      </w:tr>
      <w:tr w:rsidR="00642FB4">
        <w:trPr>
          <w:trHeight w:val="282"/>
          <w:jc w:val="center"/>
        </w:trPr>
        <w:tc>
          <w:tcPr>
            <w:tcW w:w="720" w:type="dxa"/>
            <w:shd w:val="clear" w:color="auto" w:fill="auto"/>
            <w:vAlign w:val="center"/>
          </w:tcPr>
          <w:p w:rsidR="00642FB4" w:rsidRDefault="00642FB4">
            <w:pPr>
              <w:jc w:val="both"/>
              <w:rPr>
                <w:rFonts w:cs="Arial"/>
                <w:sz w:val="20"/>
                <w:szCs w:val="20"/>
              </w:rPr>
            </w:pPr>
            <w:r>
              <w:rPr>
                <w:sz w:val="20"/>
              </w:rPr>
              <w:t>2005</w:t>
            </w:r>
          </w:p>
        </w:tc>
        <w:tc>
          <w:tcPr>
            <w:tcW w:w="1403" w:type="dxa"/>
            <w:shd w:val="clear" w:color="auto" w:fill="auto"/>
            <w:vAlign w:val="center"/>
          </w:tcPr>
          <w:p w:rsidR="00642FB4" w:rsidRDefault="00642FB4">
            <w:pPr>
              <w:jc w:val="right"/>
              <w:rPr>
                <w:rFonts w:cs="Arial"/>
                <w:sz w:val="20"/>
                <w:szCs w:val="20"/>
              </w:rPr>
            </w:pPr>
            <w:r>
              <w:rPr>
                <w:sz w:val="20"/>
              </w:rPr>
              <w:t>6 615,6</w:t>
            </w:r>
          </w:p>
        </w:tc>
        <w:tc>
          <w:tcPr>
            <w:tcW w:w="1800" w:type="dxa"/>
            <w:shd w:val="clear" w:color="auto" w:fill="auto"/>
            <w:vAlign w:val="center"/>
          </w:tcPr>
          <w:p w:rsidR="00642FB4" w:rsidRDefault="00642FB4">
            <w:pPr>
              <w:jc w:val="right"/>
              <w:rPr>
                <w:rFonts w:cs="Arial"/>
                <w:sz w:val="20"/>
                <w:szCs w:val="20"/>
              </w:rPr>
            </w:pPr>
            <w:r>
              <w:rPr>
                <w:sz w:val="20"/>
              </w:rPr>
              <w:t>4 464,1</w:t>
            </w:r>
          </w:p>
        </w:tc>
        <w:tc>
          <w:tcPr>
            <w:tcW w:w="1490" w:type="dxa"/>
            <w:shd w:val="clear" w:color="auto" w:fill="auto"/>
            <w:vAlign w:val="center"/>
          </w:tcPr>
          <w:p w:rsidR="00642FB4" w:rsidRDefault="00642FB4">
            <w:pPr>
              <w:jc w:val="right"/>
              <w:rPr>
                <w:rFonts w:cs="Arial"/>
                <w:sz w:val="20"/>
                <w:szCs w:val="20"/>
              </w:rPr>
            </w:pPr>
            <w:r>
              <w:rPr>
                <w:sz w:val="20"/>
              </w:rPr>
              <w:t>2 151,5</w:t>
            </w:r>
          </w:p>
        </w:tc>
        <w:tc>
          <w:tcPr>
            <w:tcW w:w="1170" w:type="dxa"/>
            <w:shd w:val="clear" w:color="auto" w:fill="auto"/>
            <w:vAlign w:val="center"/>
          </w:tcPr>
          <w:p w:rsidR="00642FB4" w:rsidRDefault="00642FB4">
            <w:pPr>
              <w:jc w:val="right"/>
              <w:rPr>
                <w:rFonts w:cs="Arial"/>
                <w:sz w:val="20"/>
                <w:szCs w:val="20"/>
              </w:rPr>
            </w:pPr>
            <w:r>
              <w:rPr>
                <w:sz w:val="20"/>
              </w:rPr>
              <w:t>152,0</w:t>
            </w:r>
          </w:p>
        </w:tc>
        <w:tc>
          <w:tcPr>
            <w:tcW w:w="1268" w:type="dxa"/>
            <w:shd w:val="clear" w:color="auto" w:fill="auto"/>
            <w:vAlign w:val="center"/>
          </w:tcPr>
          <w:p w:rsidR="00642FB4" w:rsidRDefault="00642FB4">
            <w:pPr>
              <w:jc w:val="right"/>
              <w:rPr>
                <w:rFonts w:cs="Arial"/>
                <w:sz w:val="20"/>
                <w:szCs w:val="20"/>
              </w:rPr>
            </w:pPr>
            <w:r>
              <w:rPr>
                <w:sz w:val="20"/>
              </w:rPr>
              <w:t>152,0</w:t>
            </w:r>
          </w:p>
        </w:tc>
        <w:tc>
          <w:tcPr>
            <w:tcW w:w="1136" w:type="dxa"/>
            <w:shd w:val="clear" w:color="auto" w:fill="auto"/>
            <w:vAlign w:val="center"/>
          </w:tcPr>
          <w:p w:rsidR="00642FB4" w:rsidRDefault="00642FB4">
            <w:pPr>
              <w:jc w:val="right"/>
              <w:rPr>
                <w:rFonts w:cs="Arial"/>
                <w:sz w:val="20"/>
                <w:szCs w:val="20"/>
              </w:rPr>
            </w:pPr>
            <w:r>
              <w:rPr>
                <w:sz w:val="20"/>
              </w:rPr>
              <w:t>…</w:t>
            </w:r>
          </w:p>
        </w:tc>
      </w:tr>
      <w:tr w:rsidR="00642FB4">
        <w:trPr>
          <w:trHeight w:val="282"/>
          <w:jc w:val="center"/>
        </w:trPr>
        <w:tc>
          <w:tcPr>
            <w:tcW w:w="720" w:type="dxa"/>
            <w:shd w:val="clear" w:color="auto" w:fill="auto"/>
            <w:vAlign w:val="center"/>
          </w:tcPr>
          <w:p w:rsidR="00642FB4" w:rsidRDefault="00642FB4">
            <w:pPr>
              <w:jc w:val="both"/>
              <w:rPr>
                <w:rFonts w:cs="Arial"/>
                <w:sz w:val="20"/>
                <w:szCs w:val="20"/>
              </w:rPr>
            </w:pPr>
            <w:r>
              <w:rPr>
                <w:sz w:val="20"/>
              </w:rPr>
              <w:t>2006</w:t>
            </w:r>
          </w:p>
        </w:tc>
        <w:tc>
          <w:tcPr>
            <w:tcW w:w="1403" w:type="dxa"/>
            <w:shd w:val="clear" w:color="auto" w:fill="auto"/>
            <w:vAlign w:val="center"/>
          </w:tcPr>
          <w:p w:rsidR="00642FB4" w:rsidRDefault="00642FB4">
            <w:pPr>
              <w:jc w:val="right"/>
              <w:rPr>
                <w:rFonts w:cs="Arial"/>
                <w:sz w:val="20"/>
                <w:szCs w:val="20"/>
              </w:rPr>
            </w:pPr>
            <w:r>
              <w:rPr>
                <w:sz w:val="20"/>
              </w:rPr>
              <w:t>7 027,6</w:t>
            </w:r>
          </w:p>
        </w:tc>
        <w:tc>
          <w:tcPr>
            <w:tcW w:w="1800" w:type="dxa"/>
            <w:shd w:val="clear" w:color="auto" w:fill="auto"/>
            <w:vAlign w:val="center"/>
          </w:tcPr>
          <w:p w:rsidR="00642FB4" w:rsidRDefault="00642FB4">
            <w:pPr>
              <w:jc w:val="right"/>
              <w:rPr>
                <w:rFonts w:cs="Arial"/>
                <w:sz w:val="20"/>
                <w:szCs w:val="20"/>
              </w:rPr>
            </w:pPr>
            <w:r>
              <w:rPr>
                <w:sz w:val="20"/>
              </w:rPr>
              <w:t>4 822,2</w:t>
            </w:r>
          </w:p>
        </w:tc>
        <w:tc>
          <w:tcPr>
            <w:tcW w:w="1490" w:type="dxa"/>
            <w:shd w:val="clear" w:color="auto" w:fill="auto"/>
            <w:vAlign w:val="center"/>
          </w:tcPr>
          <w:p w:rsidR="00642FB4" w:rsidRDefault="00642FB4">
            <w:pPr>
              <w:jc w:val="right"/>
              <w:rPr>
                <w:rFonts w:cs="Arial"/>
                <w:sz w:val="20"/>
                <w:szCs w:val="20"/>
              </w:rPr>
            </w:pPr>
            <w:r>
              <w:rPr>
                <w:sz w:val="20"/>
              </w:rPr>
              <w:t>2 205,4</w:t>
            </w:r>
          </w:p>
        </w:tc>
        <w:tc>
          <w:tcPr>
            <w:tcW w:w="1170" w:type="dxa"/>
            <w:shd w:val="clear" w:color="auto" w:fill="auto"/>
            <w:vAlign w:val="center"/>
          </w:tcPr>
          <w:p w:rsidR="00642FB4" w:rsidRDefault="00642FB4">
            <w:pPr>
              <w:jc w:val="right"/>
              <w:rPr>
                <w:rFonts w:cs="Arial"/>
                <w:sz w:val="20"/>
                <w:szCs w:val="20"/>
              </w:rPr>
            </w:pPr>
            <w:r>
              <w:rPr>
                <w:sz w:val="20"/>
              </w:rPr>
              <w:t>178,8</w:t>
            </w:r>
          </w:p>
        </w:tc>
        <w:tc>
          <w:tcPr>
            <w:tcW w:w="1268" w:type="dxa"/>
            <w:shd w:val="clear" w:color="auto" w:fill="auto"/>
            <w:vAlign w:val="center"/>
          </w:tcPr>
          <w:p w:rsidR="00642FB4" w:rsidRDefault="00642FB4">
            <w:pPr>
              <w:jc w:val="right"/>
              <w:rPr>
                <w:rFonts w:cs="Arial"/>
                <w:sz w:val="20"/>
                <w:szCs w:val="20"/>
              </w:rPr>
            </w:pPr>
            <w:r>
              <w:rPr>
                <w:sz w:val="20"/>
              </w:rPr>
              <w:t>178,8</w:t>
            </w:r>
          </w:p>
        </w:tc>
        <w:tc>
          <w:tcPr>
            <w:tcW w:w="1136" w:type="dxa"/>
            <w:shd w:val="clear" w:color="auto" w:fill="auto"/>
            <w:vAlign w:val="center"/>
          </w:tcPr>
          <w:p w:rsidR="00642FB4" w:rsidRDefault="00642FB4">
            <w:pPr>
              <w:jc w:val="right"/>
              <w:rPr>
                <w:rFonts w:cs="Arial"/>
                <w:sz w:val="20"/>
                <w:szCs w:val="20"/>
              </w:rPr>
            </w:pPr>
            <w:r>
              <w:rPr>
                <w:sz w:val="20"/>
              </w:rPr>
              <w:t>…</w:t>
            </w:r>
          </w:p>
        </w:tc>
      </w:tr>
      <w:tr w:rsidR="00642FB4">
        <w:trPr>
          <w:trHeight w:val="282"/>
          <w:jc w:val="center"/>
        </w:trPr>
        <w:tc>
          <w:tcPr>
            <w:tcW w:w="720" w:type="dxa"/>
            <w:shd w:val="clear" w:color="auto" w:fill="auto"/>
            <w:vAlign w:val="center"/>
          </w:tcPr>
          <w:p w:rsidR="00642FB4" w:rsidRDefault="00642FB4">
            <w:pPr>
              <w:jc w:val="both"/>
              <w:rPr>
                <w:rFonts w:cs="Arial"/>
                <w:sz w:val="20"/>
                <w:szCs w:val="20"/>
              </w:rPr>
            </w:pPr>
            <w:r>
              <w:rPr>
                <w:sz w:val="20"/>
              </w:rPr>
              <w:t>2007</w:t>
            </w:r>
          </w:p>
        </w:tc>
        <w:tc>
          <w:tcPr>
            <w:tcW w:w="1403" w:type="dxa"/>
            <w:shd w:val="clear" w:color="auto" w:fill="auto"/>
            <w:vAlign w:val="center"/>
          </w:tcPr>
          <w:p w:rsidR="00642FB4" w:rsidRDefault="00642FB4">
            <w:pPr>
              <w:jc w:val="right"/>
              <w:rPr>
                <w:rFonts w:cs="Arial"/>
                <w:sz w:val="20"/>
                <w:szCs w:val="20"/>
              </w:rPr>
            </w:pPr>
            <w:r>
              <w:rPr>
                <w:sz w:val="20"/>
              </w:rPr>
              <w:t>7 380,0</w:t>
            </w:r>
          </w:p>
        </w:tc>
        <w:tc>
          <w:tcPr>
            <w:tcW w:w="1800" w:type="dxa"/>
            <w:shd w:val="clear" w:color="auto" w:fill="auto"/>
            <w:vAlign w:val="center"/>
          </w:tcPr>
          <w:p w:rsidR="00642FB4" w:rsidRDefault="00642FB4">
            <w:pPr>
              <w:jc w:val="right"/>
              <w:rPr>
                <w:rFonts w:cs="Arial"/>
                <w:sz w:val="20"/>
                <w:szCs w:val="20"/>
              </w:rPr>
            </w:pPr>
            <w:r>
              <w:rPr>
                <w:sz w:val="20"/>
              </w:rPr>
              <w:t>4 813,3</w:t>
            </w:r>
          </w:p>
        </w:tc>
        <w:tc>
          <w:tcPr>
            <w:tcW w:w="1490" w:type="dxa"/>
            <w:shd w:val="clear" w:color="auto" w:fill="auto"/>
            <w:vAlign w:val="center"/>
          </w:tcPr>
          <w:p w:rsidR="00642FB4" w:rsidRDefault="00642FB4">
            <w:pPr>
              <w:jc w:val="right"/>
              <w:rPr>
                <w:rFonts w:cs="Arial"/>
                <w:sz w:val="20"/>
                <w:szCs w:val="20"/>
              </w:rPr>
            </w:pPr>
            <w:r>
              <w:rPr>
                <w:sz w:val="20"/>
              </w:rPr>
              <w:t>2 566,7</w:t>
            </w:r>
          </w:p>
        </w:tc>
        <w:tc>
          <w:tcPr>
            <w:tcW w:w="1170" w:type="dxa"/>
            <w:shd w:val="clear" w:color="auto" w:fill="auto"/>
            <w:vAlign w:val="center"/>
          </w:tcPr>
          <w:p w:rsidR="00642FB4" w:rsidRDefault="00642FB4">
            <w:pPr>
              <w:jc w:val="right"/>
              <w:rPr>
                <w:rFonts w:cs="Arial"/>
                <w:sz w:val="20"/>
                <w:szCs w:val="20"/>
              </w:rPr>
            </w:pPr>
            <w:r>
              <w:rPr>
                <w:sz w:val="20"/>
              </w:rPr>
              <w:t>218,1</w:t>
            </w:r>
          </w:p>
        </w:tc>
        <w:tc>
          <w:tcPr>
            <w:tcW w:w="1268" w:type="dxa"/>
            <w:shd w:val="clear" w:color="auto" w:fill="auto"/>
            <w:vAlign w:val="center"/>
          </w:tcPr>
          <w:p w:rsidR="00642FB4" w:rsidRDefault="00642FB4">
            <w:pPr>
              <w:jc w:val="right"/>
              <w:rPr>
                <w:rFonts w:cs="Arial"/>
                <w:sz w:val="20"/>
                <w:szCs w:val="20"/>
              </w:rPr>
            </w:pPr>
            <w:r>
              <w:rPr>
                <w:sz w:val="20"/>
              </w:rPr>
              <w:t>184,0</w:t>
            </w:r>
          </w:p>
        </w:tc>
        <w:tc>
          <w:tcPr>
            <w:tcW w:w="1136" w:type="dxa"/>
            <w:shd w:val="clear" w:color="auto" w:fill="auto"/>
            <w:vAlign w:val="center"/>
          </w:tcPr>
          <w:p w:rsidR="00642FB4" w:rsidRDefault="00642FB4">
            <w:pPr>
              <w:jc w:val="right"/>
              <w:rPr>
                <w:rFonts w:cs="Arial"/>
                <w:sz w:val="20"/>
                <w:szCs w:val="20"/>
              </w:rPr>
            </w:pPr>
            <w:r>
              <w:rPr>
                <w:sz w:val="20"/>
              </w:rPr>
              <w:t>34,1</w:t>
            </w:r>
          </w:p>
        </w:tc>
      </w:tr>
      <w:tr w:rsidR="00642FB4">
        <w:trPr>
          <w:trHeight w:val="282"/>
          <w:jc w:val="center"/>
        </w:trPr>
        <w:tc>
          <w:tcPr>
            <w:tcW w:w="720" w:type="dxa"/>
            <w:shd w:val="clear" w:color="auto" w:fill="auto"/>
            <w:vAlign w:val="center"/>
          </w:tcPr>
          <w:p w:rsidR="00642FB4" w:rsidRDefault="00642FB4">
            <w:pPr>
              <w:jc w:val="both"/>
              <w:rPr>
                <w:rFonts w:cs="Arial"/>
                <w:sz w:val="20"/>
                <w:szCs w:val="20"/>
              </w:rPr>
            </w:pPr>
            <w:r>
              <w:rPr>
                <w:sz w:val="20"/>
              </w:rPr>
              <w:t>2008</w:t>
            </w:r>
          </w:p>
        </w:tc>
        <w:tc>
          <w:tcPr>
            <w:tcW w:w="1403" w:type="dxa"/>
            <w:shd w:val="clear" w:color="auto" w:fill="auto"/>
            <w:vAlign w:val="center"/>
          </w:tcPr>
          <w:p w:rsidR="00642FB4" w:rsidRDefault="00642FB4">
            <w:pPr>
              <w:jc w:val="right"/>
              <w:rPr>
                <w:rFonts w:cs="Arial"/>
                <w:sz w:val="20"/>
                <w:szCs w:val="20"/>
              </w:rPr>
            </w:pPr>
            <w:r>
              <w:rPr>
                <w:sz w:val="20"/>
              </w:rPr>
              <w:t>7 210,3</w:t>
            </w:r>
          </w:p>
        </w:tc>
        <w:tc>
          <w:tcPr>
            <w:tcW w:w="1800" w:type="dxa"/>
            <w:shd w:val="clear" w:color="auto" w:fill="auto"/>
            <w:vAlign w:val="center"/>
          </w:tcPr>
          <w:p w:rsidR="00642FB4" w:rsidRDefault="00642FB4">
            <w:pPr>
              <w:jc w:val="right"/>
              <w:rPr>
                <w:rFonts w:cs="Arial"/>
                <w:sz w:val="20"/>
                <w:szCs w:val="20"/>
              </w:rPr>
            </w:pPr>
            <w:r>
              <w:rPr>
                <w:sz w:val="20"/>
              </w:rPr>
              <w:t>4 524,9</w:t>
            </w:r>
          </w:p>
        </w:tc>
        <w:tc>
          <w:tcPr>
            <w:tcW w:w="1490" w:type="dxa"/>
            <w:shd w:val="clear" w:color="auto" w:fill="auto"/>
            <w:vAlign w:val="center"/>
          </w:tcPr>
          <w:p w:rsidR="00642FB4" w:rsidRDefault="00642FB4">
            <w:pPr>
              <w:jc w:val="right"/>
              <w:rPr>
                <w:rFonts w:cs="Arial"/>
                <w:sz w:val="20"/>
                <w:szCs w:val="20"/>
              </w:rPr>
            </w:pPr>
            <w:r>
              <w:rPr>
                <w:sz w:val="20"/>
              </w:rPr>
              <w:t>2 685,4</w:t>
            </w:r>
          </w:p>
        </w:tc>
        <w:tc>
          <w:tcPr>
            <w:tcW w:w="1170" w:type="dxa"/>
            <w:shd w:val="clear" w:color="auto" w:fill="auto"/>
            <w:vAlign w:val="center"/>
          </w:tcPr>
          <w:p w:rsidR="00642FB4" w:rsidRDefault="00642FB4">
            <w:pPr>
              <w:jc w:val="right"/>
              <w:rPr>
                <w:rFonts w:cs="Arial"/>
                <w:sz w:val="20"/>
                <w:szCs w:val="20"/>
              </w:rPr>
            </w:pPr>
            <w:r>
              <w:rPr>
                <w:sz w:val="20"/>
              </w:rPr>
              <w:t>209,4</w:t>
            </w:r>
          </w:p>
        </w:tc>
        <w:tc>
          <w:tcPr>
            <w:tcW w:w="1268" w:type="dxa"/>
            <w:shd w:val="clear" w:color="auto" w:fill="auto"/>
            <w:vAlign w:val="center"/>
          </w:tcPr>
          <w:p w:rsidR="00642FB4" w:rsidRDefault="00642FB4">
            <w:pPr>
              <w:jc w:val="right"/>
              <w:rPr>
                <w:rFonts w:cs="Arial"/>
                <w:sz w:val="20"/>
                <w:szCs w:val="20"/>
              </w:rPr>
            </w:pPr>
            <w:r>
              <w:rPr>
                <w:sz w:val="20"/>
              </w:rPr>
              <w:t>174,2</w:t>
            </w:r>
          </w:p>
        </w:tc>
        <w:tc>
          <w:tcPr>
            <w:tcW w:w="1136" w:type="dxa"/>
            <w:shd w:val="clear" w:color="auto" w:fill="auto"/>
            <w:vAlign w:val="center"/>
          </w:tcPr>
          <w:p w:rsidR="00642FB4" w:rsidRDefault="00642FB4">
            <w:pPr>
              <w:jc w:val="right"/>
              <w:rPr>
                <w:rFonts w:cs="Arial"/>
                <w:sz w:val="20"/>
                <w:szCs w:val="20"/>
              </w:rPr>
            </w:pPr>
            <w:r>
              <w:rPr>
                <w:sz w:val="20"/>
              </w:rPr>
              <w:t>35,2</w:t>
            </w:r>
          </w:p>
        </w:tc>
      </w:tr>
      <w:tr w:rsidR="00642FB4">
        <w:trPr>
          <w:trHeight w:val="282"/>
          <w:jc w:val="center"/>
        </w:trPr>
        <w:tc>
          <w:tcPr>
            <w:tcW w:w="720" w:type="dxa"/>
            <w:shd w:val="clear" w:color="auto" w:fill="auto"/>
            <w:vAlign w:val="center"/>
          </w:tcPr>
          <w:p w:rsidR="00642FB4" w:rsidRDefault="00642FB4">
            <w:pPr>
              <w:jc w:val="both"/>
              <w:rPr>
                <w:rFonts w:cs="Arial"/>
                <w:sz w:val="20"/>
                <w:szCs w:val="20"/>
              </w:rPr>
            </w:pPr>
            <w:r>
              <w:rPr>
                <w:sz w:val="20"/>
              </w:rPr>
              <w:t>2009</w:t>
            </w:r>
          </w:p>
        </w:tc>
        <w:tc>
          <w:tcPr>
            <w:tcW w:w="1403" w:type="dxa"/>
            <w:shd w:val="clear" w:color="auto" w:fill="auto"/>
            <w:vAlign w:val="center"/>
          </w:tcPr>
          <w:p w:rsidR="00642FB4" w:rsidRDefault="00642FB4">
            <w:pPr>
              <w:jc w:val="right"/>
              <w:rPr>
                <w:rFonts w:cs="Arial"/>
                <w:sz w:val="20"/>
                <w:szCs w:val="20"/>
              </w:rPr>
            </w:pPr>
            <w:r>
              <w:rPr>
                <w:sz w:val="20"/>
              </w:rPr>
              <w:t>6 442,9</w:t>
            </w:r>
          </w:p>
        </w:tc>
        <w:tc>
          <w:tcPr>
            <w:tcW w:w="1800" w:type="dxa"/>
            <w:shd w:val="clear" w:color="auto" w:fill="auto"/>
            <w:vAlign w:val="center"/>
          </w:tcPr>
          <w:p w:rsidR="00642FB4" w:rsidRDefault="00642FB4">
            <w:pPr>
              <w:jc w:val="right"/>
              <w:rPr>
                <w:rFonts w:cs="Arial"/>
                <w:sz w:val="20"/>
                <w:szCs w:val="20"/>
              </w:rPr>
            </w:pPr>
            <w:r>
              <w:rPr>
                <w:sz w:val="20"/>
              </w:rPr>
              <w:t>3 928,1</w:t>
            </w:r>
          </w:p>
        </w:tc>
        <w:tc>
          <w:tcPr>
            <w:tcW w:w="1490" w:type="dxa"/>
            <w:shd w:val="clear" w:color="auto" w:fill="auto"/>
            <w:vAlign w:val="center"/>
          </w:tcPr>
          <w:p w:rsidR="00642FB4" w:rsidRDefault="00642FB4">
            <w:pPr>
              <w:jc w:val="right"/>
              <w:rPr>
                <w:rFonts w:cs="Arial"/>
                <w:sz w:val="20"/>
                <w:szCs w:val="20"/>
              </w:rPr>
            </w:pPr>
            <w:r>
              <w:rPr>
                <w:sz w:val="20"/>
              </w:rPr>
              <w:t>2 514,8</w:t>
            </w:r>
          </w:p>
        </w:tc>
        <w:tc>
          <w:tcPr>
            <w:tcW w:w="1170" w:type="dxa"/>
            <w:shd w:val="clear" w:color="auto" w:fill="auto"/>
            <w:vAlign w:val="center"/>
          </w:tcPr>
          <w:p w:rsidR="00642FB4" w:rsidRDefault="00642FB4">
            <w:pPr>
              <w:jc w:val="right"/>
              <w:rPr>
                <w:rFonts w:cs="Arial"/>
                <w:sz w:val="20"/>
                <w:szCs w:val="20"/>
              </w:rPr>
            </w:pPr>
            <w:r>
              <w:rPr>
                <w:sz w:val="20"/>
              </w:rPr>
              <w:t>185,2</w:t>
            </w:r>
          </w:p>
        </w:tc>
        <w:tc>
          <w:tcPr>
            <w:tcW w:w="1268" w:type="dxa"/>
            <w:shd w:val="clear" w:color="auto" w:fill="auto"/>
            <w:vAlign w:val="center"/>
          </w:tcPr>
          <w:p w:rsidR="00642FB4" w:rsidRDefault="00642FB4">
            <w:pPr>
              <w:jc w:val="right"/>
              <w:rPr>
                <w:rFonts w:cs="Arial"/>
                <w:sz w:val="20"/>
                <w:szCs w:val="20"/>
              </w:rPr>
            </w:pPr>
            <w:r>
              <w:rPr>
                <w:sz w:val="20"/>
              </w:rPr>
              <w:t>152,8</w:t>
            </w:r>
          </w:p>
        </w:tc>
        <w:tc>
          <w:tcPr>
            <w:tcW w:w="1136" w:type="dxa"/>
            <w:shd w:val="clear" w:color="auto" w:fill="auto"/>
            <w:vAlign w:val="center"/>
          </w:tcPr>
          <w:p w:rsidR="00642FB4" w:rsidRDefault="00642FB4">
            <w:pPr>
              <w:jc w:val="right"/>
              <w:rPr>
                <w:rFonts w:cs="Arial"/>
                <w:sz w:val="20"/>
                <w:szCs w:val="20"/>
              </w:rPr>
            </w:pPr>
            <w:r>
              <w:rPr>
                <w:sz w:val="20"/>
              </w:rPr>
              <w:t>32,4</w:t>
            </w:r>
          </w:p>
        </w:tc>
      </w:tr>
      <w:tr w:rsidR="00642FB4">
        <w:trPr>
          <w:trHeight w:val="282"/>
          <w:jc w:val="center"/>
        </w:trPr>
        <w:tc>
          <w:tcPr>
            <w:tcW w:w="720" w:type="dxa"/>
            <w:shd w:val="clear" w:color="auto" w:fill="auto"/>
            <w:vAlign w:val="center"/>
          </w:tcPr>
          <w:p w:rsidR="00642FB4" w:rsidRDefault="00642FB4">
            <w:pPr>
              <w:jc w:val="both"/>
              <w:rPr>
                <w:rFonts w:cs="Arial"/>
                <w:sz w:val="20"/>
                <w:szCs w:val="20"/>
              </w:rPr>
            </w:pPr>
            <w:r>
              <w:rPr>
                <w:sz w:val="20"/>
              </w:rPr>
              <w:t>2010</w:t>
            </w:r>
          </w:p>
        </w:tc>
        <w:tc>
          <w:tcPr>
            <w:tcW w:w="1403" w:type="dxa"/>
            <w:shd w:val="clear" w:color="auto" w:fill="auto"/>
            <w:vAlign w:val="center"/>
          </w:tcPr>
          <w:p w:rsidR="00642FB4" w:rsidRDefault="00642FB4">
            <w:pPr>
              <w:jc w:val="right"/>
              <w:rPr>
                <w:rFonts w:cs="Arial"/>
                <w:sz w:val="20"/>
                <w:szCs w:val="20"/>
              </w:rPr>
            </w:pPr>
            <w:r>
              <w:rPr>
                <w:sz w:val="20"/>
              </w:rPr>
              <w:t>6 678,0</w:t>
            </w:r>
          </w:p>
        </w:tc>
        <w:tc>
          <w:tcPr>
            <w:tcW w:w="1800" w:type="dxa"/>
            <w:shd w:val="clear" w:color="auto" w:fill="auto"/>
            <w:vAlign w:val="center"/>
          </w:tcPr>
          <w:p w:rsidR="00642FB4" w:rsidRDefault="00642FB4">
            <w:pPr>
              <w:jc w:val="right"/>
              <w:rPr>
                <w:rFonts w:cs="Arial"/>
                <w:sz w:val="20"/>
                <w:szCs w:val="20"/>
              </w:rPr>
            </w:pPr>
            <w:r>
              <w:rPr>
                <w:sz w:val="20"/>
              </w:rPr>
              <w:t>4 131,6</w:t>
            </w:r>
          </w:p>
        </w:tc>
        <w:tc>
          <w:tcPr>
            <w:tcW w:w="1490" w:type="dxa"/>
            <w:shd w:val="clear" w:color="auto" w:fill="auto"/>
            <w:vAlign w:val="center"/>
          </w:tcPr>
          <w:p w:rsidR="00642FB4" w:rsidRDefault="00642FB4">
            <w:pPr>
              <w:jc w:val="right"/>
              <w:rPr>
                <w:rFonts w:cs="Arial"/>
                <w:sz w:val="20"/>
                <w:szCs w:val="20"/>
              </w:rPr>
            </w:pPr>
            <w:r>
              <w:rPr>
                <w:sz w:val="20"/>
              </w:rPr>
              <w:t>2 546,4</w:t>
            </w:r>
          </w:p>
        </w:tc>
        <w:tc>
          <w:tcPr>
            <w:tcW w:w="1170" w:type="dxa"/>
            <w:shd w:val="clear" w:color="auto" w:fill="auto"/>
            <w:vAlign w:val="center"/>
          </w:tcPr>
          <w:p w:rsidR="00642FB4" w:rsidRDefault="00642FB4">
            <w:pPr>
              <w:jc w:val="right"/>
              <w:rPr>
                <w:rFonts w:cs="Arial"/>
                <w:sz w:val="20"/>
                <w:szCs w:val="20"/>
              </w:rPr>
            </w:pPr>
            <w:r>
              <w:rPr>
                <w:sz w:val="20"/>
              </w:rPr>
              <w:t>198,2</w:t>
            </w:r>
          </w:p>
        </w:tc>
        <w:tc>
          <w:tcPr>
            <w:tcW w:w="1268" w:type="dxa"/>
            <w:shd w:val="clear" w:color="auto" w:fill="auto"/>
            <w:vAlign w:val="center"/>
          </w:tcPr>
          <w:p w:rsidR="00642FB4" w:rsidRDefault="00642FB4">
            <w:pPr>
              <w:jc w:val="right"/>
              <w:rPr>
                <w:rFonts w:cs="Arial"/>
                <w:sz w:val="20"/>
                <w:szCs w:val="20"/>
              </w:rPr>
            </w:pPr>
            <w:r>
              <w:rPr>
                <w:sz w:val="20"/>
              </w:rPr>
              <w:t>165,0</w:t>
            </w:r>
          </w:p>
        </w:tc>
        <w:tc>
          <w:tcPr>
            <w:tcW w:w="1136" w:type="dxa"/>
            <w:shd w:val="clear" w:color="auto" w:fill="auto"/>
            <w:vAlign w:val="center"/>
          </w:tcPr>
          <w:p w:rsidR="00642FB4" w:rsidRDefault="00642FB4">
            <w:pPr>
              <w:jc w:val="right"/>
              <w:rPr>
                <w:rFonts w:cs="Arial"/>
                <w:sz w:val="20"/>
                <w:szCs w:val="20"/>
              </w:rPr>
            </w:pPr>
            <w:r>
              <w:rPr>
                <w:sz w:val="20"/>
              </w:rPr>
              <w:t>33,2</w:t>
            </w:r>
          </w:p>
        </w:tc>
      </w:tr>
      <w:tr w:rsidR="00642FB4">
        <w:trPr>
          <w:trHeight w:val="282"/>
          <w:jc w:val="center"/>
        </w:trPr>
        <w:tc>
          <w:tcPr>
            <w:tcW w:w="720" w:type="dxa"/>
            <w:shd w:val="clear" w:color="auto" w:fill="auto"/>
            <w:vAlign w:val="center"/>
          </w:tcPr>
          <w:p w:rsidR="00642FB4" w:rsidRDefault="00642FB4">
            <w:pPr>
              <w:jc w:val="both"/>
              <w:rPr>
                <w:rFonts w:cs="Arial"/>
                <w:sz w:val="20"/>
                <w:szCs w:val="20"/>
              </w:rPr>
            </w:pPr>
            <w:r>
              <w:rPr>
                <w:sz w:val="20"/>
              </w:rPr>
              <w:t>2011</w:t>
            </w:r>
          </w:p>
        </w:tc>
        <w:tc>
          <w:tcPr>
            <w:tcW w:w="1403" w:type="dxa"/>
            <w:shd w:val="clear" w:color="auto" w:fill="auto"/>
            <w:vAlign w:val="center"/>
          </w:tcPr>
          <w:p w:rsidR="00642FB4" w:rsidRDefault="00642FB4">
            <w:pPr>
              <w:jc w:val="right"/>
              <w:rPr>
                <w:rFonts w:cs="Arial"/>
                <w:sz w:val="20"/>
                <w:szCs w:val="20"/>
              </w:rPr>
            </w:pPr>
            <w:r>
              <w:rPr>
                <w:sz w:val="20"/>
              </w:rPr>
              <w:t>6 877,3</w:t>
            </w:r>
          </w:p>
        </w:tc>
        <w:tc>
          <w:tcPr>
            <w:tcW w:w="1800" w:type="dxa"/>
            <w:shd w:val="clear" w:color="auto" w:fill="auto"/>
            <w:vAlign w:val="center"/>
          </w:tcPr>
          <w:p w:rsidR="00642FB4" w:rsidRDefault="00642FB4">
            <w:pPr>
              <w:jc w:val="right"/>
              <w:rPr>
                <w:rFonts w:cs="Arial"/>
                <w:sz w:val="20"/>
                <w:szCs w:val="20"/>
              </w:rPr>
            </w:pPr>
            <w:r>
              <w:rPr>
                <w:sz w:val="20"/>
              </w:rPr>
              <w:t>4 374,6</w:t>
            </w:r>
          </w:p>
        </w:tc>
        <w:tc>
          <w:tcPr>
            <w:tcW w:w="1490" w:type="dxa"/>
            <w:shd w:val="clear" w:color="auto" w:fill="auto"/>
            <w:vAlign w:val="center"/>
          </w:tcPr>
          <w:p w:rsidR="00642FB4" w:rsidRDefault="00642FB4">
            <w:pPr>
              <w:jc w:val="right"/>
              <w:rPr>
                <w:rFonts w:cs="Arial"/>
                <w:sz w:val="20"/>
                <w:szCs w:val="20"/>
              </w:rPr>
            </w:pPr>
            <w:r>
              <w:rPr>
                <w:sz w:val="20"/>
              </w:rPr>
              <w:t>2 502,7</w:t>
            </w:r>
          </w:p>
        </w:tc>
        <w:tc>
          <w:tcPr>
            <w:tcW w:w="1170" w:type="dxa"/>
            <w:shd w:val="clear" w:color="auto" w:fill="auto"/>
            <w:vAlign w:val="center"/>
          </w:tcPr>
          <w:p w:rsidR="00642FB4" w:rsidRDefault="00642FB4">
            <w:pPr>
              <w:jc w:val="right"/>
              <w:rPr>
                <w:rFonts w:cs="Arial"/>
                <w:sz w:val="20"/>
                <w:szCs w:val="20"/>
              </w:rPr>
            </w:pPr>
            <w:r>
              <w:rPr>
                <w:sz w:val="20"/>
              </w:rPr>
              <w:t>227,7</w:t>
            </w:r>
          </w:p>
        </w:tc>
        <w:tc>
          <w:tcPr>
            <w:tcW w:w="1268" w:type="dxa"/>
            <w:shd w:val="clear" w:color="auto" w:fill="auto"/>
            <w:vAlign w:val="center"/>
          </w:tcPr>
          <w:p w:rsidR="00642FB4" w:rsidRDefault="00642FB4">
            <w:pPr>
              <w:jc w:val="right"/>
              <w:rPr>
                <w:rFonts w:cs="Arial"/>
                <w:sz w:val="20"/>
                <w:szCs w:val="20"/>
              </w:rPr>
            </w:pPr>
            <w:r>
              <w:rPr>
                <w:sz w:val="20"/>
              </w:rPr>
              <w:t>202,2</w:t>
            </w:r>
          </w:p>
        </w:tc>
        <w:tc>
          <w:tcPr>
            <w:tcW w:w="1136" w:type="dxa"/>
            <w:shd w:val="clear" w:color="auto" w:fill="auto"/>
            <w:vAlign w:val="center"/>
          </w:tcPr>
          <w:p w:rsidR="00642FB4" w:rsidRDefault="00642FB4">
            <w:pPr>
              <w:jc w:val="right"/>
              <w:rPr>
                <w:rFonts w:cs="Arial"/>
                <w:sz w:val="20"/>
                <w:szCs w:val="20"/>
              </w:rPr>
            </w:pPr>
            <w:r>
              <w:rPr>
                <w:sz w:val="20"/>
              </w:rPr>
              <w:t>25,5</w:t>
            </w:r>
          </w:p>
        </w:tc>
      </w:tr>
    </w:tbl>
    <w:p w:rsidR="00642FB4" w:rsidRDefault="00642FB4">
      <w:pPr>
        <w:jc w:val="both"/>
        <w:rPr>
          <w:rFonts w:cs="Arial"/>
          <w:u w:val="single"/>
        </w:rPr>
      </w:pPr>
    </w:p>
    <w:p w:rsidR="00642FB4" w:rsidRDefault="00642FB4">
      <w:pPr>
        <w:pStyle w:val="HTMLPreformatted"/>
        <w:spacing w:before="60" w:after="60" w:line="288" w:lineRule="auto"/>
        <w:ind w:firstLine="851"/>
        <w:jc w:val="both"/>
        <w:rPr>
          <w:rFonts w:ascii="Arial" w:eastAsia="Calibri" w:hAnsi="Arial" w:cs="Arial"/>
          <w:sz w:val="24"/>
          <w:szCs w:val="24"/>
          <w:lang w:val="ro-RO"/>
        </w:rPr>
      </w:pPr>
      <w:r>
        <w:rPr>
          <w:rFonts w:ascii="Arial" w:hAnsi="Arial"/>
          <w:sz w:val="24"/>
          <w:lang w:val="ro-RO"/>
        </w:rPr>
        <w:t xml:space="preserve">Найбільшими забруднювачами в Україні, чиї викиди забруднюючих речовин перевищують 100 тисяч тонн є 14 міст. Загальна кількість викидів забруднюючих речовин в атмосферу в цих містах складає 54,2% від загального обсягу викидів. </w:t>
      </w:r>
    </w:p>
    <w:p w:rsidR="00642FB4" w:rsidRDefault="00642FB4">
      <w:pPr>
        <w:pStyle w:val="HTMLPreformatted"/>
        <w:jc w:val="both"/>
        <w:rPr>
          <w:lang w:val="ro-RO"/>
        </w:rPr>
      </w:pPr>
    </w:p>
    <w:p w:rsidR="00642FB4" w:rsidRDefault="00642FB4">
      <w:pPr>
        <w:autoSpaceDE w:val="0"/>
        <w:autoSpaceDN w:val="0"/>
        <w:adjustRightInd w:val="0"/>
        <w:spacing w:before="60" w:after="60" w:line="288" w:lineRule="auto"/>
        <w:ind w:left="360"/>
        <w:jc w:val="center"/>
        <w:rPr>
          <w:rFonts w:eastAsia="Calibri" w:cs="Arial"/>
          <w:b/>
          <w:bCs/>
          <w:i/>
          <w:sz w:val="22"/>
          <w:szCs w:val="22"/>
        </w:rPr>
      </w:pPr>
      <w:r>
        <w:rPr>
          <w:b/>
          <w:i/>
          <w:sz w:val="22"/>
        </w:rPr>
        <w:t xml:space="preserve">Таблиця 4.6.2 </w:t>
      </w:r>
      <w:r>
        <w:t>Зміни викидів забруднюючих речовин в атмосферу, у містах України (тисяч тон)</w:t>
      </w:r>
    </w:p>
    <w:tbl>
      <w:tblPr>
        <w:tblW w:w="104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8"/>
        <w:gridCol w:w="1666"/>
        <w:gridCol w:w="923"/>
        <w:gridCol w:w="1040"/>
        <w:gridCol w:w="1000"/>
        <w:gridCol w:w="983"/>
        <w:gridCol w:w="966"/>
        <w:gridCol w:w="976"/>
        <w:gridCol w:w="936"/>
        <w:gridCol w:w="1318"/>
      </w:tblGrid>
      <w:tr w:rsidR="00642FB4">
        <w:trPr>
          <w:jc w:val="center"/>
        </w:trPr>
        <w:tc>
          <w:tcPr>
            <w:tcW w:w="668" w:type="dxa"/>
            <w:shd w:val="clear" w:color="auto" w:fill="auto"/>
          </w:tcPr>
          <w:p w:rsidR="00642FB4" w:rsidRDefault="00642FB4">
            <w:pPr>
              <w:jc w:val="both"/>
              <w:rPr>
                <w:rFonts w:cs="Arial"/>
                <w:b/>
                <w:sz w:val="20"/>
                <w:szCs w:val="20"/>
              </w:rPr>
            </w:pPr>
            <w:r>
              <w:rPr>
                <w:b/>
                <w:sz w:val="20"/>
              </w:rPr>
              <w:t>Порядк. №</w:t>
            </w:r>
          </w:p>
        </w:tc>
        <w:tc>
          <w:tcPr>
            <w:tcW w:w="1666" w:type="dxa"/>
            <w:shd w:val="clear" w:color="auto" w:fill="auto"/>
          </w:tcPr>
          <w:p w:rsidR="00642FB4" w:rsidRDefault="00642FB4">
            <w:pPr>
              <w:jc w:val="both"/>
              <w:rPr>
                <w:rFonts w:cs="Arial"/>
                <w:b/>
                <w:sz w:val="20"/>
                <w:szCs w:val="20"/>
              </w:rPr>
            </w:pPr>
            <w:r>
              <w:rPr>
                <w:b/>
                <w:sz w:val="20"/>
              </w:rPr>
              <w:t>Міста</w:t>
            </w:r>
          </w:p>
        </w:tc>
        <w:tc>
          <w:tcPr>
            <w:tcW w:w="923" w:type="dxa"/>
            <w:shd w:val="clear" w:color="auto" w:fill="auto"/>
          </w:tcPr>
          <w:p w:rsidR="00642FB4" w:rsidRDefault="00642FB4">
            <w:pPr>
              <w:jc w:val="both"/>
              <w:rPr>
                <w:rFonts w:cs="Arial"/>
                <w:b/>
                <w:sz w:val="20"/>
                <w:szCs w:val="20"/>
              </w:rPr>
            </w:pPr>
            <w:r>
              <w:rPr>
                <w:b/>
                <w:sz w:val="20"/>
              </w:rPr>
              <w:t>2000</w:t>
            </w:r>
          </w:p>
        </w:tc>
        <w:tc>
          <w:tcPr>
            <w:tcW w:w="1040" w:type="dxa"/>
            <w:shd w:val="clear" w:color="auto" w:fill="auto"/>
          </w:tcPr>
          <w:p w:rsidR="00642FB4" w:rsidRDefault="00642FB4">
            <w:pPr>
              <w:jc w:val="both"/>
              <w:rPr>
                <w:rFonts w:cs="Arial"/>
                <w:b/>
                <w:sz w:val="20"/>
                <w:szCs w:val="20"/>
              </w:rPr>
            </w:pPr>
            <w:r>
              <w:rPr>
                <w:b/>
                <w:sz w:val="20"/>
              </w:rPr>
              <w:t>2005</w:t>
            </w:r>
          </w:p>
        </w:tc>
        <w:tc>
          <w:tcPr>
            <w:tcW w:w="1000" w:type="dxa"/>
            <w:shd w:val="clear" w:color="auto" w:fill="auto"/>
          </w:tcPr>
          <w:p w:rsidR="00642FB4" w:rsidRDefault="00642FB4">
            <w:pPr>
              <w:jc w:val="both"/>
              <w:rPr>
                <w:rFonts w:cs="Arial"/>
                <w:b/>
                <w:sz w:val="20"/>
                <w:szCs w:val="20"/>
              </w:rPr>
            </w:pPr>
            <w:r>
              <w:rPr>
                <w:b/>
                <w:sz w:val="20"/>
              </w:rPr>
              <w:t>2007</w:t>
            </w:r>
          </w:p>
        </w:tc>
        <w:tc>
          <w:tcPr>
            <w:tcW w:w="983" w:type="dxa"/>
            <w:shd w:val="clear" w:color="auto" w:fill="auto"/>
          </w:tcPr>
          <w:p w:rsidR="00642FB4" w:rsidRDefault="00642FB4">
            <w:pPr>
              <w:jc w:val="both"/>
              <w:rPr>
                <w:rFonts w:cs="Arial"/>
                <w:b/>
                <w:sz w:val="20"/>
                <w:szCs w:val="20"/>
              </w:rPr>
            </w:pPr>
            <w:r>
              <w:rPr>
                <w:b/>
                <w:sz w:val="20"/>
              </w:rPr>
              <w:t>2008</w:t>
            </w:r>
          </w:p>
        </w:tc>
        <w:tc>
          <w:tcPr>
            <w:tcW w:w="966" w:type="dxa"/>
            <w:shd w:val="clear" w:color="auto" w:fill="auto"/>
          </w:tcPr>
          <w:p w:rsidR="00642FB4" w:rsidRDefault="00642FB4">
            <w:pPr>
              <w:jc w:val="both"/>
              <w:rPr>
                <w:rFonts w:cs="Arial"/>
                <w:b/>
                <w:sz w:val="20"/>
                <w:szCs w:val="20"/>
              </w:rPr>
            </w:pPr>
            <w:r>
              <w:rPr>
                <w:b/>
                <w:sz w:val="20"/>
              </w:rPr>
              <w:t>2009</w:t>
            </w:r>
          </w:p>
        </w:tc>
        <w:tc>
          <w:tcPr>
            <w:tcW w:w="976" w:type="dxa"/>
            <w:shd w:val="clear" w:color="auto" w:fill="auto"/>
          </w:tcPr>
          <w:p w:rsidR="00642FB4" w:rsidRDefault="00642FB4">
            <w:pPr>
              <w:jc w:val="both"/>
              <w:rPr>
                <w:rFonts w:cs="Arial"/>
                <w:b/>
                <w:sz w:val="20"/>
                <w:szCs w:val="20"/>
              </w:rPr>
            </w:pPr>
            <w:r>
              <w:rPr>
                <w:b/>
                <w:sz w:val="20"/>
              </w:rPr>
              <w:t>2010</w:t>
            </w:r>
          </w:p>
        </w:tc>
        <w:tc>
          <w:tcPr>
            <w:tcW w:w="936" w:type="dxa"/>
          </w:tcPr>
          <w:p w:rsidR="00642FB4" w:rsidRDefault="00642FB4">
            <w:pPr>
              <w:jc w:val="both"/>
              <w:rPr>
                <w:rFonts w:cs="Arial"/>
                <w:b/>
                <w:sz w:val="20"/>
                <w:szCs w:val="20"/>
              </w:rPr>
            </w:pPr>
            <w:r>
              <w:rPr>
                <w:b/>
                <w:sz w:val="20"/>
              </w:rPr>
              <w:t>2011</w:t>
            </w:r>
          </w:p>
        </w:tc>
        <w:tc>
          <w:tcPr>
            <w:tcW w:w="1318" w:type="dxa"/>
            <w:shd w:val="clear" w:color="auto" w:fill="auto"/>
          </w:tcPr>
          <w:p w:rsidR="00642FB4" w:rsidRDefault="00642FB4">
            <w:pPr>
              <w:jc w:val="both"/>
              <w:rPr>
                <w:rFonts w:cs="Arial"/>
                <w:b/>
                <w:sz w:val="20"/>
                <w:szCs w:val="20"/>
              </w:rPr>
            </w:pPr>
            <w:r>
              <w:rPr>
                <w:b/>
                <w:sz w:val="20"/>
              </w:rPr>
              <w:t>Відсоток від загальної площі</w:t>
            </w:r>
          </w:p>
        </w:tc>
      </w:tr>
      <w:tr w:rsidR="00642FB4">
        <w:trPr>
          <w:jc w:val="center"/>
        </w:trPr>
        <w:tc>
          <w:tcPr>
            <w:tcW w:w="668" w:type="dxa"/>
            <w:shd w:val="clear" w:color="auto" w:fill="auto"/>
          </w:tcPr>
          <w:p w:rsidR="00642FB4" w:rsidRDefault="00642FB4">
            <w:pPr>
              <w:jc w:val="both"/>
              <w:rPr>
                <w:rFonts w:cs="Arial"/>
                <w:sz w:val="20"/>
                <w:szCs w:val="20"/>
              </w:rPr>
            </w:pPr>
            <w:r>
              <w:rPr>
                <w:sz w:val="20"/>
              </w:rPr>
              <w:t>1.</w:t>
            </w:r>
          </w:p>
        </w:tc>
        <w:tc>
          <w:tcPr>
            <w:tcW w:w="1666" w:type="dxa"/>
            <w:shd w:val="clear" w:color="auto" w:fill="auto"/>
          </w:tcPr>
          <w:p w:rsidR="00642FB4" w:rsidRDefault="00642FB4">
            <w:pPr>
              <w:jc w:val="both"/>
              <w:rPr>
                <w:rFonts w:cs="Arial"/>
                <w:sz w:val="20"/>
                <w:szCs w:val="20"/>
              </w:rPr>
            </w:pPr>
            <w:r>
              <w:rPr>
                <w:sz w:val="20"/>
              </w:rPr>
              <w:t>Бурстин</w:t>
            </w:r>
          </w:p>
        </w:tc>
        <w:tc>
          <w:tcPr>
            <w:tcW w:w="923" w:type="dxa"/>
            <w:shd w:val="clear" w:color="auto" w:fill="auto"/>
            <w:vAlign w:val="center"/>
          </w:tcPr>
          <w:p w:rsidR="00642FB4" w:rsidRDefault="00642FB4">
            <w:pPr>
              <w:jc w:val="right"/>
              <w:rPr>
                <w:rFonts w:cs="Arial"/>
                <w:sz w:val="20"/>
                <w:szCs w:val="20"/>
              </w:rPr>
            </w:pPr>
            <w:r>
              <w:rPr>
                <w:sz w:val="20"/>
              </w:rPr>
              <w:t>118,9</w:t>
            </w:r>
          </w:p>
        </w:tc>
        <w:tc>
          <w:tcPr>
            <w:tcW w:w="1040" w:type="dxa"/>
            <w:shd w:val="clear" w:color="auto" w:fill="auto"/>
            <w:vAlign w:val="center"/>
          </w:tcPr>
          <w:p w:rsidR="00642FB4" w:rsidRDefault="00642FB4">
            <w:pPr>
              <w:jc w:val="right"/>
              <w:rPr>
                <w:rFonts w:cs="Arial"/>
                <w:sz w:val="20"/>
                <w:szCs w:val="20"/>
              </w:rPr>
            </w:pPr>
            <w:r>
              <w:rPr>
                <w:sz w:val="20"/>
              </w:rPr>
              <w:t>176,5</w:t>
            </w:r>
          </w:p>
        </w:tc>
        <w:tc>
          <w:tcPr>
            <w:tcW w:w="1000" w:type="dxa"/>
            <w:shd w:val="clear" w:color="auto" w:fill="auto"/>
            <w:vAlign w:val="center"/>
          </w:tcPr>
          <w:p w:rsidR="00642FB4" w:rsidRDefault="00642FB4">
            <w:pPr>
              <w:jc w:val="right"/>
              <w:rPr>
                <w:rFonts w:cs="Arial"/>
                <w:sz w:val="20"/>
                <w:szCs w:val="20"/>
              </w:rPr>
            </w:pPr>
            <w:r>
              <w:rPr>
                <w:sz w:val="20"/>
              </w:rPr>
              <w:t>246,1</w:t>
            </w:r>
          </w:p>
        </w:tc>
        <w:tc>
          <w:tcPr>
            <w:tcW w:w="983" w:type="dxa"/>
            <w:shd w:val="clear" w:color="auto" w:fill="auto"/>
            <w:vAlign w:val="center"/>
          </w:tcPr>
          <w:p w:rsidR="00642FB4" w:rsidRDefault="00642FB4">
            <w:pPr>
              <w:jc w:val="right"/>
              <w:rPr>
                <w:rFonts w:cs="Arial"/>
                <w:sz w:val="20"/>
                <w:szCs w:val="20"/>
              </w:rPr>
            </w:pPr>
            <w:r>
              <w:rPr>
                <w:sz w:val="20"/>
              </w:rPr>
              <w:t>218,3</w:t>
            </w:r>
          </w:p>
        </w:tc>
        <w:tc>
          <w:tcPr>
            <w:tcW w:w="966" w:type="dxa"/>
            <w:shd w:val="clear" w:color="auto" w:fill="auto"/>
            <w:vAlign w:val="center"/>
          </w:tcPr>
          <w:p w:rsidR="00642FB4" w:rsidRDefault="00642FB4">
            <w:pPr>
              <w:jc w:val="right"/>
              <w:rPr>
                <w:rFonts w:cs="Arial"/>
                <w:sz w:val="20"/>
                <w:szCs w:val="20"/>
              </w:rPr>
            </w:pPr>
            <w:r>
              <w:rPr>
                <w:sz w:val="20"/>
              </w:rPr>
              <w:t>191,2</w:t>
            </w:r>
          </w:p>
        </w:tc>
        <w:tc>
          <w:tcPr>
            <w:tcW w:w="976" w:type="dxa"/>
            <w:shd w:val="clear" w:color="auto" w:fill="auto"/>
            <w:vAlign w:val="center"/>
          </w:tcPr>
          <w:p w:rsidR="00642FB4" w:rsidRDefault="00642FB4">
            <w:pPr>
              <w:jc w:val="right"/>
              <w:rPr>
                <w:rFonts w:cs="Arial"/>
                <w:sz w:val="20"/>
                <w:szCs w:val="20"/>
              </w:rPr>
            </w:pPr>
            <w:r>
              <w:rPr>
                <w:sz w:val="20"/>
              </w:rPr>
              <w:t>146,8</w:t>
            </w:r>
          </w:p>
        </w:tc>
        <w:tc>
          <w:tcPr>
            <w:tcW w:w="936" w:type="dxa"/>
            <w:vAlign w:val="center"/>
          </w:tcPr>
          <w:p w:rsidR="00642FB4" w:rsidRDefault="00642FB4">
            <w:pPr>
              <w:jc w:val="right"/>
              <w:rPr>
                <w:rFonts w:cs="Arial"/>
                <w:sz w:val="20"/>
                <w:szCs w:val="20"/>
              </w:rPr>
            </w:pPr>
            <w:r>
              <w:rPr>
                <w:sz w:val="20"/>
              </w:rPr>
              <w:t>198,7</w:t>
            </w:r>
          </w:p>
        </w:tc>
        <w:tc>
          <w:tcPr>
            <w:tcW w:w="1318" w:type="dxa"/>
            <w:shd w:val="clear" w:color="auto" w:fill="auto"/>
            <w:vAlign w:val="center"/>
          </w:tcPr>
          <w:p w:rsidR="00642FB4" w:rsidRDefault="00642FB4">
            <w:pPr>
              <w:jc w:val="right"/>
              <w:rPr>
                <w:rFonts w:cs="Arial"/>
                <w:sz w:val="20"/>
                <w:szCs w:val="20"/>
              </w:rPr>
            </w:pPr>
            <w:r>
              <w:rPr>
                <w:sz w:val="20"/>
              </w:rPr>
              <w:t>4,5</w:t>
            </w:r>
          </w:p>
        </w:tc>
      </w:tr>
      <w:tr w:rsidR="00642FB4">
        <w:trPr>
          <w:trHeight w:val="296"/>
          <w:jc w:val="center"/>
        </w:trPr>
        <w:tc>
          <w:tcPr>
            <w:tcW w:w="668" w:type="dxa"/>
            <w:shd w:val="clear" w:color="auto" w:fill="auto"/>
          </w:tcPr>
          <w:p w:rsidR="00642FB4" w:rsidRDefault="00642FB4">
            <w:pPr>
              <w:jc w:val="both"/>
              <w:rPr>
                <w:rFonts w:cs="Arial"/>
                <w:sz w:val="20"/>
                <w:szCs w:val="20"/>
              </w:rPr>
            </w:pPr>
            <w:r>
              <w:rPr>
                <w:sz w:val="20"/>
              </w:rPr>
              <w:t>2.</w:t>
            </w:r>
          </w:p>
        </w:tc>
        <w:tc>
          <w:tcPr>
            <w:tcW w:w="1666" w:type="dxa"/>
            <w:shd w:val="clear" w:color="auto" w:fill="auto"/>
          </w:tcPr>
          <w:p w:rsidR="00642FB4" w:rsidRDefault="00642FB4">
            <w:pPr>
              <w:jc w:val="both"/>
              <w:rPr>
                <w:rFonts w:cs="Arial"/>
                <w:sz w:val="20"/>
                <w:szCs w:val="20"/>
              </w:rPr>
            </w:pPr>
            <w:r>
              <w:rPr>
                <w:sz w:val="20"/>
              </w:rPr>
              <w:t>Дебальцеве</w:t>
            </w:r>
          </w:p>
        </w:tc>
        <w:tc>
          <w:tcPr>
            <w:tcW w:w="923" w:type="dxa"/>
            <w:shd w:val="clear" w:color="auto" w:fill="auto"/>
            <w:vAlign w:val="center"/>
          </w:tcPr>
          <w:p w:rsidR="00642FB4" w:rsidRDefault="00642FB4">
            <w:pPr>
              <w:jc w:val="right"/>
              <w:rPr>
                <w:rFonts w:cs="Arial"/>
                <w:sz w:val="20"/>
                <w:szCs w:val="20"/>
              </w:rPr>
            </w:pPr>
            <w:r>
              <w:rPr>
                <w:sz w:val="20"/>
              </w:rPr>
              <w:t>108,6</w:t>
            </w:r>
          </w:p>
        </w:tc>
        <w:tc>
          <w:tcPr>
            <w:tcW w:w="1040" w:type="dxa"/>
            <w:shd w:val="clear" w:color="auto" w:fill="auto"/>
            <w:vAlign w:val="center"/>
          </w:tcPr>
          <w:p w:rsidR="00642FB4" w:rsidRDefault="00642FB4">
            <w:pPr>
              <w:jc w:val="right"/>
              <w:rPr>
                <w:rFonts w:cs="Arial"/>
                <w:sz w:val="20"/>
                <w:szCs w:val="20"/>
              </w:rPr>
            </w:pPr>
            <w:r>
              <w:rPr>
                <w:sz w:val="20"/>
              </w:rPr>
              <w:t>95,5</w:t>
            </w:r>
          </w:p>
        </w:tc>
        <w:tc>
          <w:tcPr>
            <w:tcW w:w="1000" w:type="dxa"/>
            <w:shd w:val="clear" w:color="auto" w:fill="auto"/>
            <w:vAlign w:val="center"/>
          </w:tcPr>
          <w:p w:rsidR="00642FB4" w:rsidRDefault="00642FB4">
            <w:pPr>
              <w:jc w:val="right"/>
              <w:rPr>
                <w:rFonts w:cs="Arial"/>
                <w:sz w:val="20"/>
                <w:szCs w:val="20"/>
              </w:rPr>
            </w:pPr>
            <w:r>
              <w:rPr>
                <w:sz w:val="20"/>
              </w:rPr>
              <w:t>101,9</w:t>
            </w:r>
          </w:p>
        </w:tc>
        <w:tc>
          <w:tcPr>
            <w:tcW w:w="983" w:type="dxa"/>
            <w:shd w:val="clear" w:color="auto" w:fill="auto"/>
            <w:vAlign w:val="center"/>
          </w:tcPr>
          <w:p w:rsidR="00642FB4" w:rsidRDefault="00642FB4">
            <w:pPr>
              <w:jc w:val="right"/>
              <w:rPr>
                <w:rFonts w:cs="Arial"/>
                <w:sz w:val="20"/>
                <w:szCs w:val="20"/>
              </w:rPr>
            </w:pPr>
            <w:r>
              <w:rPr>
                <w:sz w:val="20"/>
              </w:rPr>
              <w:t>114,9</w:t>
            </w:r>
          </w:p>
        </w:tc>
        <w:tc>
          <w:tcPr>
            <w:tcW w:w="966" w:type="dxa"/>
            <w:shd w:val="clear" w:color="auto" w:fill="auto"/>
            <w:vAlign w:val="center"/>
          </w:tcPr>
          <w:p w:rsidR="00642FB4" w:rsidRDefault="00642FB4">
            <w:pPr>
              <w:jc w:val="right"/>
              <w:rPr>
                <w:rFonts w:cs="Arial"/>
                <w:sz w:val="20"/>
                <w:szCs w:val="20"/>
              </w:rPr>
            </w:pPr>
            <w:r>
              <w:rPr>
                <w:sz w:val="20"/>
              </w:rPr>
              <w:t>119,2</w:t>
            </w:r>
          </w:p>
        </w:tc>
        <w:tc>
          <w:tcPr>
            <w:tcW w:w="976" w:type="dxa"/>
            <w:shd w:val="clear" w:color="auto" w:fill="auto"/>
            <w:vAlign w:val="center"/>
          </w:tcPr>
          <w:p w:rsidR="00642FB4" w:rsidRDefault="00642FB4">
            <w:pPr>
              <w:jc w:val="right"/>
              <w:rPr>
                <w:rFonts w:cs="Arial"/>
                <w:sz w:val="20"/>
                <w:szCs w:val="20"/>
              </w:rPr>
            </w:pPr>
            <w:r>
              <w:rPr>
                <w:sz w:val="20"/>
              </w:rPr>
              <w:t>112,8</w:t>
            </w:r>
          </w:p>
        </w:tc>
        <w:tc>
          <w:tcPr>
            <w:tcW w:w="936" w:type="dxa"/>
            <w:vAlign w:val="center"/>
          </w:tcPr>
          <w:p w:rsidR="00642FB4" w:rsidRDefault="00642FB4">
            <w:pPr>
              <w:jc w:val="right"/>
              <w:rPr>
                <w:rFonts w:cs="Arial"/>
                <w:sz w:val="20"/>
                <w:szCs w:val="20"/>
              </w:rPr>
            </w:pPr>
            <w:r>
              <w:rPr>
                <w:sz w:val="20"/>
              </w:rPr>
              <w:t>127,0</w:t>
            </w:r>
          </w:p>
        </w:tc>
        <w:tc>
          <w:tcPr>
            <w:tcW w:w="1318" w:type="dxa"/>
            <w:shd w:val="clear" w:color="auto" w:fill="auto"/>
            <w:vAlign w:val="center"/>
          </w:tcPr>
          <w:p w:rsidR="00642FB4" w:rsidRDefault="00642FB4">
            <w:pPr>
              <w:jc w:val="right"/>
              <w:rPr>
                <w:rFonts w:cs="Arial"/>
                <w:sz w:val="20"/>
                <w:szCs w:val="20"/>
              </w:rPr>
            </w:pPr>
            <w:r>
              <w:rPr>
                <w:sz w:val="20"/>
              </w:rPr>
              <w:t>2,9</w:t>
            </w:r>
          </w:p>
        </w:tc>
      </w:tr>
      <w:tr w:rsidR="00642FB4">
        <w:trPr>
          <w:jc w:val="center"/>
        </w:trPr>
        <w:tc>
          <w:tcPr>
            <w:tcW w:w="668" w:type="dxa"/>
            <w:shd w:val="clear" w:color="auto" w:fill="auto"/>
          </w:tcPr>
          <w:p w:rsidR="00642FB4" w:rsidRDefault="00642FB4">
            <w:pPr>
              <w:jc w:val="both"/>
              <w:rPr>
                <w:rFonts w:cs="Arial"/>
                <w:sz w:val="20"/>
                <w:szCs w:val="20"/>
              </w:rPr>
            </w:pPr>
            <w:r>
              <w:rPr>
                <w:sz w:val="20"/>
              </w:rPr>
              <w:t>3.</w:t>
            </w:r>
          </w:p>
        </w:tc>
        <w:tc>
          <w:tcPr>
            <w:tcW w:w="1666" w:type="dxa"/>
            <w:shd w:val="clear" w:color="auto" w:fill="auto"/>
          </w:tcPr>
          <w:p w:rsidR="00642FB4" w:rsidRDefault="00642FB4">
            <w:pPr>
              <w:jc w:val="both"/>
              <w:rPr>
                <w:rFonts w:cs="Arial"/>
                <w:sz w:val="20"/>
                <w:szCs w:val="20"/>
              </w:rPr>
            </w:pPr>
            <w:r>
              <w:rPr>
                <w:sz w:val="20"/>
              </w:rPr>
              <w:t xml:space="preserve">Дніпропетровськ </w:t>
            </w:r>
          </w:p>
        </w:tc>
        <w:tc>
          <w:tcPr>
            <w:tcW w:w="923" w:type="dxa"/>
            <w:shd w:val="clear" w:color="auto" w:fill="auto"/>
            <w:vAlign w:val="center"/>
          </w:tcPr>
          <w:p w:rsidR="00642FB4" w:rsidRDefault="00642FB4">
            <w:pPr>
              <w:jc w:val="right"/>
              <w:rPr>
                <w:rFonts w:cs="Arial"/>
                <w:sz w:val="20"/>
                <w:szCs w:val="20"/>
              </w:rPr>
            </w:pPr>
            <w:r>
              <w:rPr>
                <w:sz w:val="20"/>
              </w:rPr>
              <w:t>97,3</w:t>
            </w:r>
          </w:p>
        </w:tc>
        <w:tc>
          <w:tcPr>
            <w:tcW w:w="1040" w:type="dxa"/>
            <w:shd w:val="clear" w:color="auto" w:fill="auto"/>
            <w:vAlign w:val="center"/>
          </w:tcPr>
          <w:p w:rsidR="00642FB4" w:rsidRDefault="00642FB4">
            <w:pPr>
              <w:jc w:val="right"/>
              <w:rPr>
                <w:rFonts w:cs="Arial"/>
                <w:sz w:val="20"/>
                <w:szCs w:val="20"/>
              </w:rPr>
            </w:pPr>
            <w:r>
              <w:rPr>
                <w:sz w:val="20"/>
              </w:rPr>
              <w:t>128,8</w:t>
            </w:r>
          </w:p>
        </w:tc>
        <w:tc>
          <w:tcPr>
            <w:tcW w:w="1000" w:type="dxa"/>
            <w:shd w:val="clear" w:color="auto" w:fill="auto"/>
            <w:vAlign w:val="center"/>
          </w:tcPr>
          <w:p w:rsidR="00642FB4" w:rsidRDefault="00642FB4">
            <w:pPr>
              <w:jc w:val="right"/>
              <w:rPr>
                <w:rFonts w:cs="Arial"/>
                <w:sz w:val="20"/>
                <w:szCs w:val="20"/>
              </w:rPr>
            </w:pPr>
            <w:r>
              <w:rPr>
                <w:sz w:val="20"/>
              </w:rPr>
              <w:t>122,8</w:t>
            </w:r>
          </w:p>
        </w:tc>
        <w:tc>
          <w:tcPr>
            <w:tcW w:w="983" w:type="dxa"/>
            <w:shd w:val="clear" w:color="auto" w:fill="auto"/>
            <w:vAlign w:val="center"/>
          </w:tcPr>
          <w:p w:rsidR="00642FB4" w:rsidRDefault="00642FB4">
            <w:pPr>
              <w:jc w:val="right"/>
              <w:rPr>
                <w:rFonts w:cs="Arial"/>
                <w:sz w:val="20"/>
                <w:szCs w:val="20"/>
              </w:rPr>
            </w:pPr>
            <w:r>
              <w:rPr>
                <w:sz w:val="20"/>
              </w:rPr>
              <w:t>120,3</w:t>
            </w:r>
          </w:p>
        </w:tc>
        <w:tc>
          <w:tcPr>
            <w:tcW w:w="966" w:type="dxa"/>
            <w:shd w:val="clear" w:color="auto" w:fill="auto"/>
            <w:vAlign w:val="center"/>
          </w:tcPr>
          <w:p w:rsidR="00642FB4" w:rsidRDefault="00642FB4">
            <w:pPr>
              <w:jc w:val="right"/>
              <w:rPr>
                <w:rFonts w:cs="Arial"/>
                <w:sz w:val="20"/>
                <w:szCs w:val="20"/>
              </w:rPr>
            </w:pPr>
            <w:r>
              <w:rPr>
                <w:sz w:val="20"/>
              </w:rPr>
              <w:t>105,6</w:t>
            </w:r>
          </w:p>
        </w:tc>
        <w:tc>
          <w:tcPr>
            <w:tcW w:w="976" w:type="dxa"/>
            <w:shd w:val="clear" w:color="auto" w:fill="auto"/>
            <w:vAlign w:val="center"/>
          </w:tcPr>
          <w:p w:rsidR="00642FB4" w:rsidRDefault="00642FB4">
            <w:pPr>
              <w:jc w:val="right"/>
              <w:rPr>
                <w:rFonts w:cs="Arial"/>
                <w:sz w:val="20"/>
                <w:szCs w:val="20"/>
              </w:rPr>
            </w:pPr>
            <w:r>
              <w:rPr>
                <w:sz w:val="20"/>
              </w:rPr>
              <w:t>110,0</w:t>
            </w:r>
          </w:p>
        </w:tc>
        <w:tc>
          <w:tcPr>
            <w:tcW w:w="936" w:type="dxa"/>
            <w:vAlign w:val="center"/>
          </w:tcPr>
          <w:p w:rsidR="00642FB4" w:rsidRDefault="00642FB4">
            <w:pPr>
              <w:jc w:val="right"/>
              <w:rPr>
                <w:rFonts w:cs="Arial"/>
                <w:sz w:val="20"/>
                <w:szCs w:val="20"/>
              </w:rPr>
            </w:pPr>
            <w:r>
              <w:rPr>
                <w:sz w:val="20"/>
              </w:rPr>
              <w:t>110,0</w:t>
            </w:r>
          </w:p>
        </w:tc>
        <w:tc>
          <w:tcPr>
            <w:tcW w:w="1318" w:type="dxa"/>
            <w:shd w:val="clear" w:color="auto" w:fill="auto"/>
            <w:vAlign w:val="center"/>
          </w:tcPr>
          <w:p w:rsidR="00642FB4" w:rsidRDefault="00642FB4">
            <w:pPr>
              <w:jc w:val="right"/>
              <w:rPr>
                <w:rFonts w:cs="Arial"/>
                <w:sz w:val="20"/>
                <w:szCs w:val="20"/>
              </w:rPr>
            </w:pPr>
            <w:r>
              <w:rPr>
                <w:sz w:val="20"/>
              </w:rPr>
              <w:t>2,5</w:t>
            </w:r>
          </w:p>
        </w:tc>
      </w:tr>
      <w:tr w:rsidR="00642FB4">
        <w:trPr>
          <w:jc w:val="center"/>
        </w:trPr>
        <w:tc>
          <w:tcPr>
            <w:tcW w:w="668" w:type="dxa"/>
            <w:shd w:val="clear" w:color="auto" w:fill="auto"/>
          </w:tcPr>
          <w:p w:rsidR="00642FB4" w:rsidRDefault="00642FB4">
            <w:pPr>
              <w:jc w:val="both"/>
              <w:rPr>
                <w:rFonts w:cs="Arial"/>
                <w:sz w:val="20"/>
                <w:szCs w:val="20"/>
              </w:rPr>
            </w:pPr>
            <w:r>
              <w:rPr>
                <w:sz w:val="20"/>
              </w:rPr>
              <w:t>4.</w:t>
            </w:r>
          </w:p>
        </w:tc>
        <w:tc>
          <w:tcPr>
            <w:tcW w:w="1666" w:type="dxa"/>
            <w:shd w:val="clear" w:color="auto" w:fill="auto"/>
          </w:tcPr>
          <w:p w:rsidR="00642FB4" w:rsidRDefault="00642FB4">
            <w:pPr>
              <w:jc w:val="both"/>
              <w:rPr>
                <w:rFonts w:cs="Arial"/>
                <w:sz w:val="20"/>
                <w:szCs w:val="20"/>
              </w:rPr>
            </w:pPr>
            <w:r>
              <w:rPr>
                <w:sz w:val="20"/>
              </w:rPr>
              <w:t xml:space="preserve">Дніпродзержинськ </w:t>
            </w:r>
          </w:p>
        </w:tc>
        <w:tc>
          <w:tcPr>
            <w:tcW w:w="923" w:type="dxa"/>
            <w:shd w:val="clear" w:color="auto" w:fill="auto"/>
            <w:vAlign w:val="center"/>
          </w:tcPr>
          <w:p w:rsidR="00642FB4" w:rsidRDefault="00642FB4">
            <w:pPr>
              <w:jc w:val="right"/>
              <w:rPr>
                <w:rFonts w:cs="Arial"/>
                <w:sz w:val="20"/>
                <w:szCs w:val="20"/>
              </w:rPr>
            </w:pPr>
            <w:r>
              <w:rPr>
                <w:sz w:val="20"/>
              </w:rPr>
              <w:t>105,0</w:t>
            </w:r>
          </w:p>
        </w:tc>
        <w:tc>
          <w:tcPr>
            <w:tcW w:w="1040" w:type="dxa"/>
            <w:shd w:val="clear" w:color="auto" w:fill="auto"/>
            <w:vAlign w:val="center"/>
          </w:tcPr>
          <w:p w:rsidR="00642FB4" w:rsidRDefault="00642FB4">
            <w:pPr>
              <w:jc w:val="right"/>
              <w:rPr>
                <w:rFonts w:cs="Arial"/>
                <w:sz w:val="20"/>
                <w:szCs w:val="20"/>
              </w:rPr>
            </w:pPr>
            <w:r>
              <w:rPr>
                <w:sz w:val="20"/>
              </w:rPr>
              <w:t>126,1</w:t>
            </w:r>
          </w:p>
        </w:tc>
        <w:tc>
          <w:tcPr>
            <w:tcW w:w="1000" w:type="dxa"/>
            <w:shd w:val="clear" w:color="auto" w:fill="auto"/>
            <w:vAlign w:val="center"/>
          </w:tcPr>
          <w:p w:rsidR="00642FB4" w:rsidRDefault="00642FB4">
            <w:pPr>
              <w:jc w:val="right"/>
              <w:rPr>
                <w:rFonts w:cs="Arial"/>
                <w:sz w:val="20"/>
                <w:szCs w:val="20"/>
              </w:rPr>
            </w:pPr>
            <w:r>
              <w:rPr>
                <w:sz w:val="20"/>
              </w:rPr>
              <w:t>120,7</w:t>
            </w:r>
          </w:p>
        </w:tc>
        <w:tc>
          <w:tcPr>
            <w:tcW w:w="983" w:type="dxa"/>
            <w:shd w:val="clear" w:color="auto" w:fill="auto"/>
            <w:vAlign w:val="center"/>
          </w:tcPr>
          <w:p w:rsidR="00642FB4" w:rsidRDefault="00642FB4">
            <w:pPr>
              <w:jc w:val="right"/>
              <w:rPr>
                <w:rFonts w:cs="Arial"/>
                <w:sz w:val="20"/>
                <w:szCs w:val="20"/>
              </w:rPr>
            </w:pPr>
            <w:r>
              <w:rPr>
                <w:sz w:val="20"/>
              </w:rPr>
              <w:t>110,3</w:t>
            </w:r>
          </w:p>
        </w:tc>
        <w:tc>
          <w:tcPr>
            <w:tcW w:w="966" w:type="dxa"/>
            <w:shd w:val="clear" w:color="auto" w:fill="auto"/>
            <w:vAlign w:val="center"/>
          </w:tcPr>
          <w:p w:rsidR="00642FB4" w:rsidRDefault="00642FB4">
            <w:pPr>
              <w:jc w:val="right"/>
              <w:rPr>
                <w:rFonts w:cs="Arial"/>
                <w:sz w:val="20"/>
                <w:szCs w:val="20"/>
              </w:rPr>
            </w:pPr>
            <w:r>
              <w:rPr>
                <w:sz w:val="20"/>
              </w:rPr>
              <w:t>110,8</w:t>
            </w:r>
          </w:p>
        </w:tc>
        <w:tc>
          <w:tcPr>
            <w:tcW w:w="976" w:type="dxa"/>
            <w:shd w:val="clear" w:color="auto" w:fill="auto"/>
            <w:vAlign w:val="center"/>
          </w:tcPr>
          <w:p w:rsidR="00642FB4" w:rsidRDefault="00642FB4">
            <w:pPr>
              <w:jc w:val="right"/>
              <w:rPr>
                <w:rFonts w:cs="Arial"/>
                <w:sz w:val="20"/>
                <w:szCs w:val="20"/>
              </w:rPr>
            </w:pPr>
            <w:r>
              <w:rPr>
                <w:sz w:val="20"/>
              </w:rPr>
              <w:t>108,5</w:t>
            </w:r>
          </w:p>
        </w:tc>
        <w:tc>
          <w:tcPr>
            <w:tcW w:w="936" w:type="dxa"/>
            <w:vAlign w:val="center"/>
          </w:tcPr>
          <w:p w:rsidR="00642FB4" w:rsidRDefault="00642FB4">
            <w:pPr>
              <w:jc w:val="right"/>
              <w:rPr>
                <w:rFonts w:cs="Arial"/>
                <w:sz w:val="20"/>
                <w:szCs w:val="20"/>
              </w:rPr>
            </w:pPr>
            <w:r>
              <w:rPr>
                <w:sz w:val="20"/>
              </w:rPr>
              <w:t>124,7</w:t>
            </w:r>
          </w:p>
        </w:tc>
        <w:tc>
          <w:tcPr>
            <w:tcW w:w="1318" w:type="dxa"/>
            <w:shd w:val="clear" w:color="auto" w:fill="auto"/>
            <w:vAlign w:val="center"/>
          </w:tcPr>
          <w:p w:rsidR="00642FB4" w:rsidRDefault="00642FB4">
            <w:pPr>
              <w:jc w:val="right"/>
              <w:rPr>
                <w:rFonts w:cs="Arial"/>
                <w:sz w:val="20"/>
                <w:szCs w:val="20"/>
              </w:rPr>
            </w:pPr>
            <w:r>
              <w:rPr>
                <w:sz w:val="20"/>
              </w:rPr>
              <w:t>2,8</w:t>
            </w:r>
          </w:p>
        </w:tc>
      </w:tr>
      <w:tr w:rsidR="00642FB4">
        <w:trPr>
          <w:jc w:val="center"/>
        </w:trPr>
        <w:tc>
          <w:tcPr>
            <w:tcW w:w="668" w:type="dxa"/>
            <w:shd w:val="clear" w:color="auto" w:fill="auto"/>
          </w:tcPr>
          <w:p w:rsidR="00642FB4" w:rsidRDefault="00642FB4">
            <w:pPr>
              <w:jc w:val="both"/>
              <w:rPr>
                <w:rFonts w:cs="Arial"/>
                <w:sz w:val="20"/>
                <w:szCs w:val="20"/>
              </w:rPr>
            </w:pPr>
            <w:r>
              <w:rPr>
                <w:sz w:val="20"/>
              </w:rPr>
              <w:t>5.</w:t>
            </w:r>
          </w:p>
        </w:tc>
        <w:tc>
          <w:tcPr>
            <w:tcW w:w="1666" w:type="dxa"/>
            <w:shd w:val="clear" w:color="auto" w:fill="auto"/>
          </w:tcPr>
          <w:p w:rsidR="00642FB4" w:rsidRDefault="00642FB4">
            <w:pPr>
              <w:jc w:val="both"/>
              <w:rPr>
                <w:rFonts w:cs="Arial"/>
                <w:sz w:val="20"/>
                <w:szCs w:val="20"/>
              </w:rPr>
            </w:pPr>
            <w:r>
              <w:rPr>
                <w:sz w:val="20"/>
              </w:rPr>
              <w:t>Запоріжжя</w:t>
            </w:r>
          </w:p>
        </w:tc>
        <w:tc>
          <w:tcPr>
            <w:tcW w:w="923" w:type="dxa"/>
            <w:shd w:val="clear" w:color="auto" w:fill="auto"/>
            <w:vAlign w:val="center"/>
          </w:tcPr>
          <w:p w:rsidR="00642FB4" w:rsidRDefault="00642FB4">
            <w:pPr>
              <w:jc w:val="right"/>
              <w:rPr>
                <w:rFonts w:cs="Arial"/>
                <w:sz w:val="20"/>
                <w:szCs w:val="20"/>
              </w:rPr>
            </w:pPr>
            <w:r>
              <w:rPr>
                <w:sz w:val="20"/>
              </w:rPr>
              <w:t>135,5</w:t>
            </w:r>
          </w:p>
        </w:tc>
        <w:tc>
          <w:tcPr>
            <w:tcW w:w="1040" w:type="dxa"/>
            <w:shd w:val="clear" w:color="auto" w:fill="auto"/>
            <w:vAlign w:val="center"/>
          </w:tcPr>
          <w:p w:rsidR="00642FB4" w:rsidRDefault="00642FB4">
            <w:pPr>
              <w:jc w:val="right"/>
              <w:rPr>
                <w:rFonts w:cs="Arial"/>
                <w:sz w:val="20"/>
                <w:szCs w:val="20"/>
              </w:rPr>
            </w:pPr>
            <w:r>
              <w:rPr>
                <w:sz w:val="20"/>
              </w:rPr>
              <w:t>153,9</w:t>
            </w:r>
          </w:p>
        </w:tc>
        <w:tc>
          <w:tcPr>
            <w:tcW w:w="1000" w:type="dxa"/>
            <w:shd w:val="clear" w:color="auto" w:fill="auto"/>
            <w:vAlign w:val="center"/>
          </w:tcPr>
          <w:p w:rsidR="00642FB4" w:rsidRDefault="00642FB4">
            <w:pPr>
              <w:jc w:val="right"/>
              <w:rPr>
                <w:rFonts w:cs="Arial"/>
                <w:sz w:val="20"/>
                <w:szCs w:val="20"/>
              </w:rPr>
            </w:pPr>
            <w:r>
              <w:rPr>
                <w:sz w:val="20"/>
              </w:rPr>
              <w:t>147,5</w:t>
            </w:r>
          </w:p>
        </w:tc>
        <w:tc>
          <w:tcPr>
            <w:tcW w:w="983" w:type="dxa"/>
            <w:shd w:val="clear" w:color="auto" w:fill="auto"/>
            <w:vAlign w:val="center"/>
          </w:tcPr>
          <w:p w:rsidR="00642FB4" w:rsidRDefault="00642FB4">
            <w:pPr>
              <w:jc w:val="right"/>
              <w:rPr>
                <w:rFonts w:cs="Arial"/>
                <w:sz w:val="20"/>
                <w:szCs w:val="20"/>
              </w:rPr>
            </w:pPr>
            <w:r>
              <w:rPr>
                <w:sz w:val="20"/>
              </w:rPr>
              <w:t>130,4</w:t>
            </w:r>
          </w:p>
        </w:tc>
        <w:tc>
          <w:tcPr>
            <w:tcW w:w="966" w:type="dxa"/>
            <w:shd w:val="clear" w:color="auto" w:fill="auto"/>
            <w:vAlign w:val="center"/>
          </w:tcPr>
          <w:p w:rsidR="00642FB4" w:rsidRDefault="00642FB4">
            <w:pPr>
              <w:jc w:val="right"/>
              <w:rPr>
                <w:rFonts w:cs="Arial"/>
                <w:sz w:val="20"/>
                <w:szCs w:val="20"/>
              </w:rPr>
            </w:pPr>
            <w:r>
              <w:rPr>
                <w:sz w:val="20"/>
              </w:rPr>
              <w:t>94,3</w:t>
            </w:r>
          </w:p>
        </w:tc>
        <w:tc>
          <w:tcPr>
            <w:tcW w:w="976" w:type="dxa"/>
            <w:shd w:val="clear" w:color="auto" w:fill="auto"/>
            <w:vAlign w:val="center"/>
          </w:tcPr>
          <w:p w:rsidR="00642FB4" w:rsidRDefault="00642FB4">
            <w:pPr>
              <w:jc w:val="right"/>
              <w:rPr>
                <w:rFonts w:cs="Arial"/>
                <w:sz w:val="20"/>
                <w:szCs w:val="20"/>
              </w:rPr>
            </w:pPr>
            <w:r>
              <w:rPr>
                <w:sz w:val="20"/>
              </w:rPr>
              <w:t>109,6</w:t>
            </w:r>
          </w:p>
        </w:tc>
        <w:tc>
          <w:tcPr>
            <w:tcW w:w="936" w:type="dxa"/>
            <w:vAlign w:val="center"/>
          </w:tcPr>
          <w:p w:rsidR="00642FB4" w:rsidRDefault="00642FB4">
            <w:pPr>
              <w:jc w:val="right"/>
              <w:rPr>
                <w:rFonts w:cs="Arial"/>
                <w:sz w:val="20"/>
                <w:szCs w:val="20"/>
              </w:rPr>
            </w:pPr>
            <w:r>
              <w:rPr>
                <w:sz w:val="20"/>
              </w:rPr>
              <w:t>117,1</w:t>
            </w:r>
          </w:p>
        </w:tc>
        <w:tc>
          <w:tcPr>
            <w:tcW w:w="1318" w:type="dxa"/>
            <w:shd w:val="clear" w:color="auto" w:fill="auto"/>
            <w:vAlign w:val="center"/>
          </w:tcPr>
          <w:p w:rsidR="00642FB4" w:rsidRDefault="00642FB4">
            <w:pPr>
              <w:jc w:val="right"/>
              <w:rPr>
                <w:rFonts w:cs="Arial"/>
                <w:sz w:val="20"/>
                <w:szCs w:val="20"/>
              </w:rPr>
            </w:pPr>
            <w:r>
              <w:rPr>
                <w:sz w:val="20"/>
              </w:rPr>
              <w:t>2,7</w:t>
            </w:r>
          </w:p>
        </w:tc>
      </w:tr>
      <w:tr w:rsidR="00642FB4">
        <w:trPr>
          <w:jc w:val="center"/>
        </w:trPr>
        <w:tc>
          <w:tcPr>
            <w:tcW w:w="668" w:type="dxa"/>
            <w:shd w:val="clear" w:color="auto" w:fill="auto"/>
          </w:tcPr>
          <w:p w:rsidR="00642FB4" w:rsidRDefault="00642FB4">
            <w:pPr>
              <w:jc w:val="both"/>
              <w:rPr>
                <w:rFonts w:cs="Arial"/>
                <w:sz w:val="20"/>
                <w:szCs w:val="20"/>
              </w:rPr>
            </w:pPr>
            <w:r>
              <w:rPr>
                <w:sz w:val="20"/>
              </w:rPr>
              <w:t>6.</w:t>
            </w:r>
          </w:p>
        </w:tc>
        <w:tc>
          <w:tcPr>
            <w:tcW w:w="1666" w:type="dxa"/>
            <w:shd w:val="clear" w:color="auto" w:fill="auto"/>
          </w:tcPr>
          <w:p w:rsidR="00642FB4" w:rsidRDefault="00642FB4">
            <w:pPr>
              <w:jc w:val="both"/>
              <w:rPr>
                <w:rFonts w:cs="Arial"/>
                <w:sz w:val="20"/>
                <w:szCs w:val="20"/>
              </w:rPr>
            </w:pPr>
            <w:r>
              <w:rPr>
                <w:sz w:val="20"/>
              </w:rPr>
              <w:t>Зеленодольськ</w:t>
            </w:r>
          </w:p>
        </w:tc>
        <w:tc>
          <w:tcPr>
            <w:tcW w:w="923" w:type="dxa"/>
            <w:shd w:val="clear" w:color="auto" w:fill="auto"/>
            <w:vAlign w:val="center"/>
          </w:tcPr>
          <w:p w:rsidR="00642FB4" w:rsidRDefault="00642FB4">
            <w:pPr>
              <w:jc w:val="right"/>
              <w:rPr>
                <w:rFonts w:cs="Arial"/>
                <w:sz w:val="20"/>
                <w:szCs w:val="20"/>
              </w:rPr>
            </w:pPr>
            <w:r>
              <w:rPr>
                <w:sz w:val="20"/>
              </w:rPr>
              <w:t>79,4</w:t>
            </w:r>
          </w:p>
        </w:tc>
        <w:tc>
          <w:tcPr>
            <w:tcW w:w="1040" w:type="dxa"/>
            <w:shd w:val="clear" w:color="auto" w:fill="auto"/>
            <w:vAlign w:val="center"/>
          </w:tcPr>
          <w:p w:rsidR="00642FB4" w:rsidRDefault="00642FB4">
            <w:pPr>
              <w:jc w:val="right"/>
              <w:rPr>
                <w:rFonts w:cs="Arial"/>
                <w:sz w:val="20"/>
                <w:szCs w:val="20"/>
              </w:rPr>
            </w:pPr>
            <w:r>
              <w:rPr>
                <w:sz w:val="20"/>
              </w:rPr>
              <w:t>108,6</w:t>
            </w:r>
          </w:p>
        </w:tc>
        <w:tc>
          <w:tcPr>
            <w:tcW w:w="1000" w:type="dxa"/>
            <w:shd w:val="clear" w:color="auto" w:fill="auto"/>
            <w:vAlign w:val="center"/>
          </w:tcPr>
          <w:p w:rsidR="00642FB4" w:rsidRDefault="00642FB4">
            <w:pPr>
              <w:jc w:val="right"/>
              <w:rPr>
                <w:rFonts w:cs="Arial"/>
                <w:sz w:val="20"/>
                <w:szCs w:val="20"/>
              </w:rPr>
            </w:pPr>
            <w:r>
              <w:rPr>
                <w:sz w:val="20"/>
              </w:rPr>
              <w:t>142,6</w:t>
            </w:r>
          </w:p>
        </w:tc>
        <w:tc>
          <w:tcPr>
            <w:tcW w:w="983" w:type="dxa"/>
            <w:shd w:val="clear" w:color="auto" w:fill="auto"/>
            <w:vAlign w:val="center"/>
          </w:tcPr>
          <w:p w:rsidR="00642FB4" w:rsidRDefault="00642FB4">
            <w:pPr>
              <w:jc w:val="right"/>
              <w:rPr>
                <w:rFonts w:cs="Arial"/>
                <w:sz w:val="20"/>
                <w:szCs w:val="20"/>
              </w:rPr>
            </w:pPr>
            <w:r>
              <w:rPr>
                <w:sz w:val="20"/>
              </w:rPr>
              <w:t>146,0</w:t>
            </w:r>
          </w:p>
        </w:tc>
        <w:tc>
          <w:tcPr>
            <w:tcW w:w="966" w:type="dxa"/>
            <w:shd w:val="clear" w:color="auto" w:fill="auto"/>
            <w:vAlign w:val="center"/>
          </w:tcPr>
          <w:p w:rsidR="00642FB4" w:rsidRDefault="00642FB4">
            <w:pPr>
              <w:jc w:val="right"/>
              <w:rPr>
                <w:rFonts w:cs="Arial"/>
                <w:sz w:val="20"/>
                <w:szCs w:val="20"/>
              </w:rPr>
            </w:pPr>
            <w:r>
              <w:rPr>
                <w:sz w:val="20"/>
              </w:rPr>
              <w:t>133,6</w:t>
            </w:r>
          </w:p>
        </w:tc>
        <w:tc>
          <w:tcPr>
            <w:tcW w:w="976" w:type="dxa"/>
            <w:shd w:val="clear" w:color="auto" w:fill="auto"/>
            <w:vAlign w:val="center"/>
          </w:tcPr>
          <w:p w:rsidR="00642FB4" w:rsidRDefault="00642FB4">
            <w:pPr>
              <w:jc w:val="right"/>
              <w:rPr>
                <w:rFonts w:cs="Arial"/>
                <w:sz w:val="20"/>
                <w:szCs w:val="20"/>
              </w:rPr>
            </w:pPr>
            <w:r>
              <w:rPr>
                <w:sz w:val="20"/>
              </w:rPr>
              <w:t>173,4</w:t>
            </w:r>
          </w:p>
        </w:tc>
        <w:tc>
          <w:tcPr>
            <w:tcW w:w="936" w:type="dxa"/>
            <w:vAlign w:val="center"/>
          </w:tcPr>
          <w:p w:rsidR="00642FB4" w:rsidRDefault="00642FB4">
            <w:pPr>
              <w:jc w:val="right"/>
              <w:rPr>
                <w:rFonts w:cs="Arial"/>
                <w:sz w:val="20"/>
                <w:szCs w:val="20"/>
              </w:rPr>
            </w:pPr>
            <w:r>
              <w:rPr>
                <w:sz w:val="20"/>
              </w:rPr>
              <w:t>205,3</w:t>
            </w:r>
          </w:p>
        </w:tc>
        <w:tc>
          <w:tcPr>
            <w:tcW w:w="1318" w:type="dxa"/>
            <w:shd w:val="clear" w:color="auto" w:fill="auto"/>
            <w:vAlign w:val="center"/>
          </w:tcPr>
          <w:p w:rsidR="00642FB4" w:rsidRDefault="00642FB4">
            <w:pPr>
              <w:jc w:val="right"/>
              <w:rPr>
                <w:rFonts w:cs="Arial"/>
                <w:sz w:val="20"/>
                <w:szCs w:val="20"/>
              </w:rPr>
            </w:pPr>
            <w:r>
              <w:rPr>
                <w:sz w:val="20"/>
              </w:rPr>
              <w:t>4,7</w:t>
            </w:r>
          </w:p>
        </w:tc>
      </w:tr>
      <w:tr w:rsidR="00642FB4">
        <w:trPr>
          <w:jc w:val="center"/>
        </w:trPr>
        <w:tc>
          <w:tcPr>
            <w:tcW w:w="668" w:type="dxa"/>
            <w:shd w:val="clear" w:color="auto" w:fill="auto"/>
          </w:tcPr>
          <w:p w:rsidR="00642FB4" w:rsidRDefault="00642FB4">
            <w:pPr>
              <w:jc w:val="both"/>
              <w:rPr>
                <w:rFonts w:cs="Arial"/>
                <w:sz w:val="20"/>
                <w:szCs w:val="20"/>
              </w:rPr>
            </w:pPr>
            <w:r>
              <w:rPr>
                <w:sz w:val="20"/>
              </w:rPr>
              <w:t>7.</w:t>
            </w:r>
          </w:p>
        </w:tc>
        <w:tc>
          <w:tcPr>
            <w:tcW w:w="1666" w:type="dxa"/>
            <w:shd w:val="clear" w:color="auto" w:fill="auto"/>
          </w:tcPr>
          <w:p w:rsidR="00642FB4" w:rsidRDefault="00642FB4">
            <w:pPr>
              <w:jc w:val="both"/>
              <w:rPr>
                <w:rFonts w:cs="Arial"/>
                <w:sz w:val="20"/>
                <w:szCs w:val="20"/>
              </w:rPr>
            </w:pPr>
            <w:r>
              <w:rPr>
                <w:sz w:val="20"/>
              </w:rPr>
              <w:t>Енергодар</w:t>
            </w:r>
          </w:p>
        </w:tc>
        <w:tc>
          <w:tcPr>
            <w:tcW w:w="923" w:type="dxa"/>
            <w:shd w:val="clear" w:color="auto" w:fill="auto"/>
            <w:vAlign w:val="center"/>
          </w:tcPr>
          <w:p w:rsidR="00642FB4" w:rsidRDefault="00642FB4">
            <w:pPr>
              <w:jc w:val="right"/>
              <w:rPr>
                <w:rFonts w:cs="Arial"/>
                <w:sz w:val="20"/>
                <w:szCs w:val="20"/>
              </w:rPr>
            </w:pPr>
            <w:r>
              <w:rPr>
                <w:sz w:val="20"/>
              </w:rPr>
              <w:t>80,8</w:t>
            </w:r>
          </w:p>
        </w:tc>
        <w:tc>
          <w:tcPr>
            <w:tcW w:w="1040" w:type="dxa"/>
            <w:shd w:val="clear" w:color="auto" w:fill="auto"/>
            <w:vAlign w:val="center"/>
          </w:tcPr>
          <w:p w:rsidR="00642FB4" w:rsidRDefault="00642FB4">
            <w:pPr>
              <w:jc w:val="right"/>
              <w:rPr>
                <w:rFonts w:cs="Arial"/>
                <w:sz w:val="20"/>
                <w:szCs w:val="20"/>
              </w:rPr>
            </w:pPr>
            <w:r>
              <w:rPr>
                <w:sz w:val="20"/>
              </w:rPr>
              <w:t>98,4</w:t>
            </w:r>
          </w:p>
        </w:tc>
        <w:tc>
          <w:tcPr>
            <w:tcW w:w="1000" w:type="dxa"/>
            <w:shd w:val="clear" w:color="auto" w:fill="auto"/>
            <w:vAlign w:val="center"/>
          </w:tcPr>
          <w:p w:rsidR="00642FB4" w:rsidRDefault="00642FB4">
            <w:pPr>
              <w:jc w:val="right"/>
              <w:rPr>
                <w:rFonts w:cs="Arial"/>
                <w:sz w:val="20"/>
                <w:szCs w:val="20"/>
              </w:rPr>
            </w:pPr>
            <w:r>
              <w:rPr>
                <w:sz w:val="20"/>
              </w:rPr>
              <w:t>75,5</w:t>
            </w:r>
          </w:p>
        </w:tc>
        <w:tc>
          <w:tcPr>
            <w:tcW w:w="983" w:type="dxa"/>
            <w:shd w:val="clear" w:color="auto" w:fill="auto"/>
            <w:vAlign w:val="center"/>
          </w:tcPr>
          <w:p w:rsidR="00642FB4" w:rsidRDefault="00642FB4">
            <w:pPr>
              <w:jc w:val="right"/>
              <w:rPr>
                <w:rFonts w:cs="Arial"/>
                <w:sz w:val="20"/>
                <w:szCs w:val="20"/>
              </w:rPr>
            </w:pPr>
            <w:r>
              <w:rPr>
                <w:sz w:val="20"/>
              </w:rPr>
              <w:t>80,6</w:t>
            </w:r>
          </w:p>
        </w:tc>
        <w:tc>
          <w:tcPr>
            <w:tcW w:w="966" w:type="dxa"/>
            <w:shd w:val="clear" w:color="auto" w:fill="auto"/>
            <w:vAlign w:val="center"/>
          </w:tcPr>
          <w:p w:rsidR="00642FB4" w:rsidRDefault="00642FB4">
            <w:pPr>
              <w:jc w:val="right"/>
              <w:rPr>
                <w:rFonts w:cs="Arial"/>
                <w:sz w:val="20"/>
                <w:szCs w:val="20"/>
              </w:rPr>
            </w:pPr>
            <w:r>
              <w:rPr>
                <w:sz w:val="20"/>
              </w:rPr>
              <w:t>79,2</w:t>
            </w:r>
          </w:p>
        </w:tc>
        <w:tc>
          <w:tcPr>
            <w:tcW w:w="976" w:type="dxa"/>
            <w:shd w:val="clear" w:color="auto" w:fill="auto"/>
            <w:vAlign w:val="center"/>
          </w:tcPr>
          <w:p w:rsidR="00642FB4" w:rsidRDefault="00642FB4">
            <w:pPr>
              <w:jc w:val="right"/>
              <w:rPr>
                <w:rFonts w:cs="Arial"/>
                <w:sz w:val="20"/>
                <w:szCs w:val="20"/>
              </w:rPr>
            </w:pPr>
            <w:r>
              <w:rPr>
                <w:sz w:val="20"/>
              </w:rPr>
              <w:t>100,3</w:t>
            </w:r>
          </w:p>
        </w:tc>
        <w:tc>
          <w:tcPr>
            <w:tcW w:w="936" w:type="dxa"/>
            <w:vAlign w:val="center"/>
          </w:tcPr>
          <w:p w:rsidR="00642FB4" w:rsidRDefault="00642FB4">
            <w:pPr>
              <w:jc w:val="right"/>
              <w:rPr>
                <w:rFonts w:cs="Arial"/>
                <w:sz w:val="20"/>
                <w:szCs w:val="20"/>
              </w:rPr>
            </w:pPr>
            <w:r>
              <w:rPr>
                <w:sz w:val="20"/>
              </w:rPr>
              <w:t>104,9</w:t>
            </w:r>
          </w:p>
        </w:tc>
        <w:tc>
          <w:tcPr>
            <w:tcW w:w="1318" w:type="dxa"/>
            <w:shd w:val="clear" w:color="auto" w:fill="auto"/>
            <w:vAlign w:val="center"/>
          </w:tcPr>
          <w:p w:rsidR="00642FB4" w:rsidRDefault="00642FB4">
            <w:pPr>
              <w:jc w:val="right"/>
              <w:rPr>
                <w:rFonts w:cs="Arial"/>
                <w:sz w:val="20"/>
                <w:szCs w:val="20"/>
              </w:rPr>
            </w:pPr>
            <w:r>
              <w:rPr>
                <w:sz w:val="20"/>
              </w:rPr>
              <w:t>2,4</w:t>
            </w:r>
          </w:p>
        </w:tc>
      </w:tr>
      <w:tr w:rsidR="00642FB4">
        <w:trPr>
          <w:jc w:val="center"/>
        </w:trPr>
        <w:tc>
          <w:tcPr>
            <w:tcW w:w="668" w:type="dxa"/>
            <w:shd w:val="clear" w:color="auto" w:fill="auto"/>
          </w:tcPr>
          <w:p w:rsidR="00642FB4" w:rsidRDefault="00642FB4">
            <w:pPr>
              <w:jc w:val="both"/>
              <w:rPr>
                <w:rFonts w:cs="Arial"/>
                <w:sz w:val="20"/>
                <w:szCs w:val="20"/>
              </w:rPr>
            </w:pPr>
            <w:r>
              <w:rPr>
                <w:sz w:val="20"/>
              </w:rPr>
              <w:t>8.</w:t>
            </w:r>
          </w:p>
        </w:tc>
        <w:tc>
          <w:tcPr>
            <w:tcW w:w="1666" w:type="dxa"/>
            <w:shd w:val="clear" w:color="auto" w:fill="auto"/>
          </w:tcPr>
          <w:p w:rsidR="00642FB4" w:rsidRDefault="00642FB4">
            <w:pPr>
              <w:jc w:val="both"/>
              <w:rPr>
                <w:rFonts w:cs="Arial"/>
                <w:sz w:val="20"/>
                <w:szCs w:val="20"/>
              </w:rPr>
            </w:pPr>
            <w:r>
              <w:rPr>
                <w:sz w:val="20"/>
              </w:rPr>
              <w:t>Комсомольське</w:t>
            </w:r>
          </w:p>
        </w:tc>
        <w:tc>
          <w:tcPr>
            <w:tcW w:w="923" w:type="dxa"/>
            <w:shd w:val="clear" w:color="auto" w:fill="auto"/>
            <w:vAlign w:val="center"/>
          </w:tcPr>
          <w:p w:rsidR="00642FB4" w:rsidRDefault="00642FB4">
            <w:pPr>
              <w:jc w:val="right"/>
              <w:rPr>
                <w:rFonts w:cs="Arial"/>
                <w:sz w:val="20"/>
                <w:szCs w:val="20"/>
              </w:rPr>
            </w:pPr>
            <w:r>
              <w:rPr>
                <w:sz w:val="20"/>
              </w:rPr>
              <w:t>95,2</w:t>
            </w:r>
          </w:p>
        </w:tc>
        <w:tc>
          <w:tcPr>
            <w:tcW w:w="1040" w:type="dxa"/>
            <w:shd w:val="clear" w:color="auto" w:fill="auto"/>
            <w:vAlign w:val="center"/>
          </w:tcPr>
          <w:p w:rsidR="00642FB4" w:rsidRDefault="00642FB4">
            <w:pPr>
              <w:jc w:val="right"/>
              <w:rPr>
                <w:rFonts w:cs="Arial"/>
                <w:sz w:val="20"/>
                <w:szCs w:val="20"/>
              </w:rPr>
            </w:pPr>
            <w:r>
              <w:rPr>
                <w:sz w:val="20"/>
              </w:rPr>
              <w:t>104,4</w:t>
            </w:r>
          </w:p>
        </w:tc>
        <w:tc>
          <w:tcPr>
            <w:tcW w:w="1000" w:type="dxa"/>
            <w:shd w:val="clear" w:color="auto" w:fill="auto"/>
            <w:vAlign w:val="center"/>
          </w:tcPr>
          <w:p w:rsidR="00642FB4" w:rsidRDefault="00642FB4">
            <w:pPr>
              <w:jc w:val="right"/>
              <w:rPr>
                <w:rFonts w:cs="Arial"/>
                <w:sz w:val="20"/>
                <w:szCs w:val="20"/>
              </w:rPr>
            </w:pPr>
            <w:r>
              <w:rPr>
                <w:sz w:val="20"/>
              </w:rPr>
              <w:t>98,8</w:t>
            </w:r>
          </w:p>
        </w:tc>
        <w:tc>
          <w:tcPr>
            <w:tcW w:w="983" w:type="dxa"/>
            <w:shd w:val="clear" w:color="auto" w:fill="auto"/>
            <w:vAlign w:val="center"/>
          </w:tcPr>
          <w:p w:rsidR="00642FB4" w:rsidRDefault="00642FB4">
            <w:pPr>
              <w:jc w:val="right"/>
              <w:rPr>
                <w:rFonts w:cs="Arial"/>
                <w:sz w:val="20"/>
                <w:szCs w:val="20"/>
              </w:rPr>
            </w:pPr>
            <w:r>
              <w:rPr>
                <w:sz w:val="20"/>
              </w:rPr>
              <w:t>115,5</w:t>
            </w:r>
          </w:p>
        </w:tc>
        <w:tc>
          <w:tcPr>
            <w:tcW w:w="966" w:type="dxa"/>
            <w:shd w:val="clear" w:color="auto" w:fill="auto"/>
            <w:vAlign w:val="center"/>
          </w:tcPr>
          <w:p w:rsidR="00642FB4" w:rsidRDefault="00642FB4">
            <w:pPr>
              <w:jc w:val="right"/>
              <w:rPr>
                <w:rFonts w:cs="Arial"/>
                <w:sz w:val="20"/>
                <w:szCs w:val="20"/>
              </w:rPr>
            </w:pPr>
            <w:r>
              <w:rPr>
                <w:sz w:val="20"/>
              </w:rPr>
              <w:t>95,1</w:t>
            </w:r>
          </w:p>
        </w:tc>
        <w:tc>
          <w:tcPr>
            <w:tcW w:w="976" w:type="dxa"/>
            <w:shd w:val="clear" w:color="auto" w:fill="auto"/>
            <w:vAlign w:val="center"/>
          </w:tcPr>
          <w:p w:rsidR="00642FB4" w:rsidRDefault="00642FB4">
            <w:pPr>
              <w:jc w:val="right"/>
              <w:rPr>
                <w:rFonts w:cs="Arial"/>
                <w:sz w:val="20"/>
                <w:szCs w:val="20"/>
              </w:rPr>
            </w:pPr>
            <w:r>
              <w:rPr>
                <w:sz w:val="20"/>
              </w:rPr>
              <w:t>108,1</w:t>
            </w:r>
          </w:p>
        </w:tc>
        <w:tc>
          <w:tcPr>
            <w:tcW w:w="936" w:type="dxa"/>
            <w:vAlign w:val="center"/>
          </w:tcPr>
          <w:p w:rsidR="00642FB4" w:rsidRDefault="00642FB4">
            <w:pPr>
              <w:jc w:val="right"/>
              <w:rPr>
                <w:rFonts w:cs="Arial"/>
                <w:sz w:val="20"/>
                <w:szCs w:val="20"/>
              </w:rPr>
            </w:pPr>
            <w:r>
              <w:rPr>
                <w:sz w:val="20"/>
              </w:rPr>
              <w:t>126,2</w:t>
            </w:r>
          </w:p>
        </w:tc>
        <w:tc>
          <w:tcPr>
            <w:tcW w:w="1318" w:type="dxa"/>
            <w:shd w:val="clear" w:color="auto" w:fill="auto"/>
            <w:vAlign w:val="center"/>
          </w:tcPr>
          <w:p w:rsidR="00642FB4" w:rsidRDefault="00642FB4">
            <w:pPr>
              <w:jc w:val="right"/>
              <w:rPr>
                <w:rFonts w:cs="Arial"/>
                <w:sz w:val="20"/>
                <w:szCs w:val="20"/>
              </w:rPr>
            </w:pPr>
            <w:r>
              <w:rPr>
                <w:sz w:val="20"/>
              </w:rPr>
              <w:t>2,9</w:t>
            </w:r>
          </w:p>
        </w:tc>
      </w:tr>
      <w:tr w:rsidR="00642FB4">
        <w:trPr>
          <w:jc w:val="center"/>
        </w:trPr>
        <w:tc>
          <w:tcPr>
            <w:tcW w:w="668" w:type="dxa"/>
            <w:shd w:val="clear" w:color="auto" w:fill="auto"/>
          </w:tcPr>
          <w:p w:rsidR="00642FB4" w:rsidRDefault="00642FB4">
            <w:pPr>
              <w:jc w:val="both"/>
              <w:rPr>
                <w:rFonts w:cs="Arial"/>
                <w:sz w:val="20"/>
                <w:szCs w:val="20"/>
              </w:rPr>
            </w:pPr>
            <w:r>
              <w:rPr>
                <w:sz w:val="20"/>
              </w:rPr>
              <w:t>9.</w:t>
            </w:r>
          </w:p>
        </w:tc>
        <w:tc>
          <w:tcPr>
            <w:tcW w:w="1666" w:type="dxa"/>
            <w:shd w:val="clear" w:color="auto" w:fill="auto"/>
          </w:tcPr>
          <w:p w:rsidR="00642FB4" w:rsidRDefault="00642FB4">
            <w:pPr>
              <w:jc w:val="both"/>
              <w:rPr>
                <w:rFonts w:cs="Arial"/>
                <w:sz w:val="20"/>
                <w:szCs w:val="20"/>
              </w:rPr>
            </w:pPr>
            <w:r>
              <w:rPr>
                <w:sz w:val="20"/>
              </w:rPr>
              <w:t>Кривий Ріг</w:t>
            </w:r>
          </w:p>
        </w:tc>
        <w:tc>
          <w:tcPr>
            <w:tcW w:w="923" w:type="dxa"/>
            <w:shd w:val="clear" w:color="auto" w:fill="auto"/>
            <w:vAlign w:val="center"/>
          </w:tcPr>
          <w:p w:rsidR="00642FB4" w:rsidRDefault="00642FB4">
            <w:pPr>
              <w:jc w:val="right"/>
              <w:rPr>
                <w:rFonts w:cs="Arial"/>
                <w:sz w:val="20"/>
                <w:szCs w:val="20"/>
              </w:rPr>
            </w:pPr>
            <w:r>
              <w:rPr>
                <w:sz w:val="20"/>
              </w:rPr>
              <w:t>443,4</w:t>
            </w:r>
          </w:p>
        </w:tc>
        <w:tc>
          <w:tcPr>
            <w:tcW w:w="1040" w:type="dxa"/>
            <w:shd w:val="clear" w:color="auto" w:fill="auto"/>
            <w:vAlign w:val="center"/>
          </w:tcPr>
          <w:p w:rsidR="00642FB4" w:rsidRDefault="00642FB4">
            <w:pPr>
              <w:jc w:val="right"/>
              <w:rPr>
                <w:rFonts w:cs="Arial"/>
                <w:sz w:val="20"/>
                <w:szCs w:val="20"/>
              </w:rPr>
            </w:pPr>
            <w:r>
              <w:rPr>
                <w:sz w:val="20"/>
              </w:rPr>
              <w:t>523,9</w:t>
            </w:r>
          </w:p>
        </w:tc>
        <w:tc>
          <w:tcPr>
            <w:tcW w:w="1000" w:type="dxa"/>
            <w:shd w:val="clear" w:color="auto" w:fill="auto"/>
            <w:vAlign w:val="center"/>
          </w:tcPr>
          <w:p w:rsidR="00642FB4" w:rsidRDefault="00642FB4">
            <w:pPr>
              <w:jc w:val="right"/>
              <w:rPr>
                <w:rFonts w:cs="Arial"/>
                <w:sz w:val="20"/>
                <w:szCs w:val="20"/>
              </w:rPr>
            </w:pPr>
            <w:r>
              <w:rPr>
                <w:sz w:val="20"/>
              </w:rPr>
              <w:t>608,5</w:t>
            </w:r>
          </w:p>
        </w:tc>
        <w:tc>
          <w:tcPr>
            <w:tcW w:w="983" w:type="dxa"/>
            <w:shd w:val="clear" w:color="auto" w:fill="auto"/>
            <w:vAlign w:val="center"/>
          </w:tcPr>
          <w:p w:rsidR="00642FB4" w:rsidRDefault="00642FB4">
            <w:pPr>
              <w:jc w:val="right"/>
              <w:rPr>
                <w:rFonts w:cs="Arial"/>
                <w:sz w:val="20"/>
                <w:szCs w:val="20"/>
              </w:rPr>
            </w:pPr>
            <w:r>
              <w:rPr>
                <w:sz w:val="20"/>
              </w:rPr>
              <w:t>449,4</w:t>
            </w:r>
          </w:p>
        </w:tc>
        <w:tc>
          <w:tcPr>
            <w:tcW w:w="966" w:type="dxa"/>
            <w:shd w:val="clear" w:color="auto" w:fill="auto"/>
            <w:vAlign w:val="center"/>
          </w:tcPr>
          <w:p w:rsidR="00642FB4" w:rsidRDefault="00642FB4">
            <w:pPr>
              <w:jc w:val="right"/>
              <w:rPr>
                <w:rFonts w:cs="Arial"/>
                <w:sz w:val="20"/>
                <w:szCs w:val="20"/>
              </w:rPr>
            </w:pPr>
            <w:r>
              <w:rPr>
                <w:sz w:val="20"/>
              </w:rPr>
              <w:t>321,6</w:t>
            </w:r>
          </w:p>
        </w:tc>
        <w:tc>
          <w:tcPr>
            <w:tcW w:w="976" w:type="dxa"/>
            <w:shd w:val="clear" w:color="auto" w:fill="auto"/>
            <w:vAlign w:val="center"/>
          </w:tcPr>
          <w:p w:rsidR="00642FB4" w:rsidRDefault="00642FB4">
            <w:pPr>
              <w:jc w:val="right"/>
              <w:rPr>
                <w:rFonts w:cs="Arial"/>
                <w:sz w:val="20"/>
                <w:szCs w:val="20"/>
              </w:rPr>
            </w:pPr>
            <w:r>
              <w:rPr>
                <w:sz w:val="20"/>
              </w:rPr>
              <w:t>395,0</w:t>
            </w:r>
          </w:p>
        </w:tc>
        <w:tc>
          <w:tcPr>
            <w:tcW w:w="936" w:type="dxa"/>
            <w:vAlign w:val="center"/>
          </w:tcPr>
          <w:p w:rsidR="00642FB4" w:rsidRDefault="00642FB4">
            <w:pPr>
              <w:jc w:val="right"/>
              <w:rPr>
                <w:rFonts w:cs="Arial"/>
                <w:sz w:val="20"/>
                <w:szCs w:val="20"/>
              </w:rPr>
            </w:pPr>
            <w:r>
              <w:rPr>
                <w:sz w:val="20"/>
              </w:rPr>
              <w:t>358,6</w:t>
            </w:r>
          </w:p>
        </w:tc>
        <w:tc>
          <w:tcPr>
            <w:tcW w:w="1318" w:type="dxa"/>
            <w:shd w:val="clear" w:color="auto" w:fill="auto"/>
            <w:vAlign w:val="center"/>
          </w:tcPr>
          <w:p w:rsidR="00642FB4" w:rsidRDefault="00642FB4">
            <w:pPr>
              <w:jc w:val="right"/>
              <w:rPr>
                <w:rFonts w:cs="Arial"/>
                <w:sz w:val="20"/>
                <w:szCs w:val="20"/>
              </w:rPr>
            </w:pPr>
            <w:r>
              <w:rPr>
                <w:sz w:val="20"/>
              </w:rPr>
              <w:t>8,2</w:t>
            </w:r>
          </w:p>
        </w:tc>
      </w:tr>
      <w:tr w:rsidR="00642FB4">
        <w:trPr>
          <w:jc w:val="center"/>
        </w:trPr>
        <w:tc>
          <w:tcPr>
            <w:tcW w:w="668" w:type="dxa"/>
            <w:shd w:val="clear" w:color="auto" w:fill="auto"/>
          </w:tcPr>
          <w:p w:rsidR="00642FB4" w:rsidRDefault="00642FB4">
            <w:pPr>
              <w:jc w:val="both"/>
              <w:rPr>
                <w:rFonts w:cs="Arial"/>
                <w:sz w:val="20"/>
                <w:szCs w:val="20"/>
              </w:rPr>
            </w:pPr>
            <w:r>
              <w:rPr>
                <w:sz w:val="20"/>
              </w:rPr>
              <w:t>10.</w:t>
            </w:r>
          </w:p>
        </w:tc>
        <w:tc>
          <w:tcPr>
            <w:tcW w:w="1666" w:type="dxa"/>
            <w:shd w:val="clear" w:color="auto" w:fill="auto"/>
          </w:tcPr>
          <w:p w:rsidR="00642FB4" w:rsidRDefault="00642FB4">
            <w:pPr>
              <w:jc w:val="both"/>
              <w:rPr>
                <w:rFonts w:cs="Arial"/>
                <w:sz w:val="20"/>
                <w:szCs w:val="20"/>
              </w:rPr>
            </w:pPr>
            <w:r>
              <w:rPr>
                <w:sz w:val="20"/>
              </w:rPr>
              <w:t>Курагове</w:t>
            </w:r>
          </w:p>
        </w:tc>
        <w:tc>
          <w:tcPr>
            <w:tcW w:w="923" w:type="dxa"/>
            <w:shd w:val="clear" w:color="auto" w:fill="auto"/>
            <w:vAlign w:val="center"/>
          </w:tcPr>
          <w:p w:rsidR="00642FB4" w:rsidRDefault="00642FB4">
            <w:pPr>
              <w:jc w:val="right"/>
              <w:rPr>
                <w:rFonts w:cs="Arial"/>
                <w:sz w:val="20"/>
                <w:szCs w:val="20"/>
              </w:rPr>
            </w:pPr>
            <w:r>
              <w:rPr>
                <w:sz w:val="20"/>
              </w:rPr>
              <w:t>117,2</w:t>
            </w:r>
          </w:p>
        </w:tc>
        <w:tc>
          <w:tcPr>
            <w:tcW w:w="1040" w:type="dxa"/>
            <w:shd w:val="clear" w:color="auto" w:fill="auto"/>
            <w:vAlign w:val="center"/>
          </w:tcPr>
          <w:p w:rsidR="00642FB4" w:rsidRDefault="00642FB4">
            <w:pPr>
              <w:jc w:val="right"/>
              <w:rPr>
                <w:rFonts w:cs="Arial"/>
                <w:sz w:val="20"/>
                <w:szCs w:val="20"/>
              </w:rPr>
            </w:pPr>
            <w:r>
              <w:rPr>
                <w:sz w:val="20"/>
              </w:rPr>
              <w:t>103,4</w:t>
            </w:r>
          </w:p>
        </w:tc>
        <w:tc>
          <w:tcPr>
            <w:tcW w:w="1000" w:type="dxa"/>
            <w:shd w:val="clear" w:color="auto" w:fill="auto"/>
            <w:vAlign w:val="center"/>
          </w:tcPr>
          <w:p w:rsidR="00642FB4" w:rsidRDefault="00642FB4">
            <w:pPr>
              <w:jc w:val="right"/>
              <w:rPr>
                <w:rFonts w:cs="Arial"/>
                <w:sz w:val="20"/>
                <w:szCs w:val="20"/>
              </w:rPr>
            </w:pPr>
            <w:r>
              <w:rPr>
                <w:sz w:val="20"/>
              </w:rPr>
              <w:t>160,2</w:t>
            </w:r>
          </w:p>
        </w:tc>
        <w:tc>
          <w:tcPr>
            <w:tcW w:w="983" w:type="dxa"/>
            <w:shd w:val="clear" w:color="auto" w:fill="auto"/>
            <w:vAlign w:val="center"/>
          </w:tcPr>
          <w:p w:rsidR="00642FB4" w:rsidRDefault="00642FB4">
            <w:pPr>
              <w:jc w:val="right"/>
              <w:rPr>
                <w:rFonts w:cs="Arial"/>
                <w:sz w:val="20"/>
                <w:szCs w:val="20"/>
              </w:rPr>
            </w:pPr>
            <w:r>
              <w:rPr>
                <w:sz w:val="20"/>
              </w:rPr>
              <w:t>162,8</w:t>
            </w:r>
          </w:p>
        </w:tc>
        <w:tc>
          <w:tcPr>
            <w:tcW w:w="966" w:type="dxa"/>
            <w:shd w:val="clear" w:color="auto" w:fill="auto"/>
            <w:vAlign w:val="center"/>
          </w:tcPr>
          <w:p w:rsidR="00642FB4" w:rsidRDefault="00642FB4">
            <w:pPr>
              <w:jc w:val="right"/>
              <w:rPr>
                <w:rFonts w:cs="Arial"/>
                <w:sz w:val="20"/>
                <w:szCs w:val="20"/>
              </w:rPr>
            </w:pPr>
            <w:r>
              <w:rPr>
                <w:sz w:val="20"/>
              </w:rPr>
              <w:t>121,9</w:t>
            </w:r>
          </w:p>
        </w:tc>
        <w:tc>
          <w:tcPr>
            <w:tcW w:w="976" w:type="dxa"/>
            <w:shd w:val="clear" w:color="auto" w:fill="auto"/>
            <w:vAlign w:val="center"/>
          </w:tcPr>
          <w:p w:rsidR="00642FB4" w:rsidRDefault="00642FB4">
            <w:pPr>
              <w:jc w:val="right"/>
              <w:rPr>
                <w:rFonts w:cs="Arial"/>
                <w:sz w:val="20"/>
                <w:szCs w:val="20"/>
              </w:rPr>
            </w:pPr>
            <w:r>
              <w:rPr>
                <w:sz w:val="20"/>
              </w:rPr>
              <w:t>123,9</w:t>
            </w:r>
          </w:p>
        </w:tc>
        <w:tc>
          <w:tcPr>
            <w:tcW w:w="936" w:type="dxa"/>
            <w:vAlign w:val="center"/>
          </w:tcPr>
          <w:p w:rsidR="00642FB4" w:rsidRDefault="00642FB4">
            <w:pPr>
              <w:jc w:val="right"/>
              <w:rPr>
                <w:rFonts w:cs="Arial"/>
                <w:sz w:val="20"/>
                <w:szCs w:val="20"/>
              </w:rPr>
            </w:pPr>
            <w:r>
              <w:rPr>
                <w:sz w:val="20"/>
              </w:rPr>
              <w:t>166,2</w:t>
            </w:r>
          </w:p>
        </w:tc>
        <w:tc>
          <w:tcPr>
            <w:tcW w:w="1318" w:type="dxa"/>
            <w:shd w:val="clear" w:color="auto" w:fill="auto"/>
            <w:vAlign w:val="center"/>
          </w:tcPr>
          <w:p w:rsidR="00642FB4" w:rsidRDefault="00642FB4">
            <w:pPr>
              <w:jc w:val="right"/>
              <w:rPr>
                <w:rFonts w:cs="Arial"/>
                <w:sz w:val="20"/>
                <w:szCs w:val="20"/>
              </w:rPr>
            </w:pPr>
            <w:r>
              <w:rPr>
                <w:sz w:val="20"/>
              </w:rPr>
              <w:t>3,8</w:t>
            </w:r>
          </w:p>
        </w:tc>
      </w:tr>
      <w:tr w:rsidR="00642FB4">
        <w:trPr>
          <w:jc w:val="center"/>
        </w:trPr>
        <w:tc>
          <w:tcPr>
            <w:tcW w:w="668" w:type="dxa"/>
            <w:shd w:val="clear" w:color="auto" w:fill="auto"/>
          </w:tcPr>
          <w:p w:rsidR="00642FB4" w:rsidRDefault="00642FB4">
            <w:pPr>
              <w:jc w:val="both"/>
              <w:rPr>
                <w:rFonts w:cs="Arial"/>
                <w:sz w:val="20"/>
                <w:szCs w:val="20"/>
              </w:rPr>
            </w:pPr>
            <w:r>
              <w:rPr>
                <w:sz w:val="20"/>
              </w:rPr>
              <w:t>11.</w:t>
            </w:r>
          </w:p>
        </w:tc>
        <w:tc>
          <w:tcPr>
            <w:tcW w:w="1666" w:type="dxa"/>
            <w:shd w:val="clear" w:color="auto" w:fill="auto"/>
          </w:tcPr>
          <w:p w:rsidR="00642FB4" w:rsidRDefault="00642FB4">
            <w:pPr>
              <w:jc w:val="both"/>
              <w:rPr>
                <w:rFonts w:cs="Arial"/>
                <w:sz w:val="20"/>
                <w:szCs w:val="20"/>
              </w:rPr>
            </w:pPr>
            <w:r>
              <w:rPr>
                <w:sz w:val="20"/>
              </w:rPr>
              <w:t>Луганськ</w:t>
            </w:r>
          </w:p>
        </w:tc>
        <w:tc>
          <w:tcPr>
            <w:tcW w:w="923" w:type="dxa"/>
            <w:shd w:val="clear" w:color="auto" w:fill="auto"/>
            <w:vAlign w:val="center"/>
          </w:tcPr>
          <w:p w:rsidR="00642FB4" w:rsidRDefault="00642FB4">
            <w:pPr>
              <w:jc w:val="right"/>
              <w:rPr>
                <w:rFonts w:cs="Arial"/>
                <w:sz w:val="20"/>
                <w:szCs w:val="20"/>
              </w:rPr>
            </w:pPr>
            <w:r>
              <w:rPr>
                <w:sz w:val="20"/>
              </w:rPr>
              <w:t>144,2</w:t>
            </w:r>
          </w:p>
        </w:tc>
        <w:tc>
          <w:tcPr>
            <w:tcW w:w="1040" w:type="dxa"/>
            <w:shd w:val="clear" w:color="auto" w:fill="auto"/>
            <w:vAlign w:val="center"/>
          </w:tcPr>
          <w:p w:rsidR="00642FB4" w:rsidRDefault="00642FB4">
            <w:pPr>
              <w:jc w:val="right"/>
              <w:rPr>
                <w:rFonts w:cs="Arial"/>
                <w:sz w:val="20"/>
                <w:szCs w:val="20"/>
              </w:rPr>
            </w:pPr>
            <w:r>
              <w:rPr>
                <w:sz w:val="20"/>
              </w:rPr>
              <w:t>118,8</w:t>
            </w:r>
          </w:p>
        </w:tc>
        <w:tc>
          <w:tcPr>
            <w:tcW w:w="1000" w:type="dxa"/>
            <w:shd w:val="clear" w:color="auto" w:fill="auto"/>
            <w:vAlign w:val="center"/>
          </w:tcPr>
          <w:p w:rsidR="00642FB4" w:rsidRDefault="00642FB4">
            <w:pPr>
              <w:jc w:val="right"/>
              <w:rPr>
                <w:rFonts w:cs="Arial"/>
                <w:sz w:val="20"/>
                <w:szCs w:val="20"/>
              </w:rPr>
            </w:pPr>
            <w:r>
              <w:rPr>
                <w:sz w:val="20"/>
              </w:rPr>
              <w:t>150,6</w:t>
            </w:r>
          </w:p>
        </w:tc>
        <w:tc>
          <w:tcPr>
            <w:tcW w:w="983" w:type="dxa"/>
            <w:shd w:val="clear" w:color="auto" w:fill="auto"/>
            <w:vAlign w:val="center"/>
          </w:tcPr>
          <w:p w:rsidR="00642FB4" w:rsidRDefault="00642FB4">
            <w:pPr>
              <w:jc w:val="right"/>
              <w:rPr>
                <w:rFonts w:cs="Arial"/>
                <w:sz w:val="20"/>
                <w:szCs w:val="20"/>
              </w:rPr>
            </w:pPr>
            <w:r>
              <w:rPr>
                <w:sz w:val="20"/>
              </w:rPr>
              <w:t>175,8</w:t>
            </w:r>
          </w:p>
        </w:tc>
        <w:tc>
          <w:tcPr>
            <w:tcW w:w="966" w:type="dxa"/>
            <w:shd w:val="clear" w:color="auto" w:fill="auto"/>
            <w:vAlign w:val="center"/>
          </w:tcPr>
          <w:p w:rsidR="00642FB4" w:rsidRDefault="00642FB4">
            <w:pPr>
              <w:jc w:val="right"/>
              <w:rPr>
                <w:rFonts w:cs="Arial"/>
                <w:sz w:val="20"/>
                <w:szCs w:val="20"/>
              </w:rPr>
            </w:pPr>
            <w:r>
              <w:rPr>
                <w:sz w:val="20"/>
              </w:rPr>
              <w:t>150,4</w:t>
            </w:r>
          </w:p>
        </w:tc>
        <w:tc>
          <w:tcPr>
            <w:tcW w:w="976" w:type="dxa"/>
            <w:shd w:val="clear" w:color="auto" w:fill="auto"/>
            <w:vAlign w:val="center"/>
          </w:tcPr>
          <w:p w:rsidR="00642FB4" w:rsidRDefault="00642FB4">
            <w:pPr>
              <w:jc w:val="right"/>
              <w:rPr>
                <w:rFonts w:cs="Arial"/>
                <w:sz w:val="20"/>
                <w:szCs w:val="20"/>
              </w:rPr>
            </w:pPr>
            <w:r>
              <w:rPr>
                <w:sz w:val="20"/>
              </w:rPr>
              <w:t>160,7</w:t>
            </w:r>
          </w:p>
        </w:tc>
        <w:tc>
          <w:tcPr>
            <w:tcW w:w="936" w:type="dxa"/>
            <w:vAlign w:val="center"/>
          </w:tcPr>
          <w:p w:rsidR="00642FB4" w:rsidRDefault="00642FB4">
            <w:pPr>
              <w:jc w:val="right"/>
              <w:rPr>
                <w:rFonts w:cs="Arial"/>
                <w:sz w:val="20"/>
                <w:szCs w:val="20"/>
              </w:rPr>
            </w:pPr>
            <w:r>
              <w:rPr>
                <w:sz w:val="20"/>
              </w:rPr>
              <w:t>142,6</w:t>
            </w:r>
          </w:p>
        </w:tc>
        <w:tc>
          <w:tcPr>
            <w:tcW w:w="1318" w:type="dxa"/>
            <w:shd w:val="clear" w:color="auto" w:fill="auto"/>
            <w:vAlign w:val="center"/>
          </w:tcPr>
          <w:p w:rsidR="00642FB4" w:rsidRDefault="00642FB4">
            <w:pPr>
              <w:jc w:val="right"/>
              <w:rPr>
                <w:rFonts w:cs="Arial"/>
                <w:sz w:val="20"/>
                <w:szCs w:val="20"/>
              </w:rPr>
            </w:pPr>
            <w:r>
              <w:rPr>
                <w:sz w:val="20"/>
              </w:rPr>
              <w:t>3,3</w:t>
            </w:r>
          </w:p>
        </w:tc>
      </w:tr>
      <w:tr w:rsidR="00642FB4">
        <w:trPr>
          <w:jc w:val="center"/>
        </w:trPr>
        <w:tc>
          <w:tcPr>
            <w:tcW w:w="668" w:type="dxa"/>
            <w:shd w:val="clear" w:color="auto" w:fill="auto"/>
          </w:tcPr>
          <w:p w:rsidR="00642FB4" w:rsidRDefault="00642FB4">
            <w:pPr>
              <w:jc w:val="both"/>
              <w:rPr>
                <w:rFonts w:cs="Arial"/>
                <w:sz w:val="20"/>
                <w:szCs w:val="20"/>
              </w:rPr>
            </w:pPr>
            <w:r>
              <w:rPr>
                <w:sz w:val="20"/>
              </w:rPr>
              <w:t>12.</w:t>
            </w:r>
          </w:p>
        </w:tc>
        <w:tc>
          <w:tcPr>
            <w:tcW w:w="1666" w:type="dxa"/>
            <w:shd w:val="clear" w:color="auto" w:fill="auto"/>
          </w:tcPr>
          <w:p w:rsidR="00642FB4" w:rsidRDefault="00642FB4">
            <w:pPr>
              <w:jc w:val="both"/>
              <w:rPr>
                <w:rFonts w:cs="Arial"/>
                <w:sz w:val="20"/>
                <w:szCs w:val="20"/>
              </w:rPr>
            </w:pPr>
            <w:r>
              <w:rPr>
                <w:sz w:val="20"/>
              </w:rPr>
              <w:t>Маріуполь</w:t>
            </w:r>
          </w:p>
        </w:tc>
        <w:tc>
          <w:tcPr>
            <w:tcW w:w="923" w:type="dxa"/>
            <w:shd w:val="clear" w:color="auto" w:fill="auto"/>
            <w:vAlign w:val="center"/>
          </w:tcPr>
          <w:p w:rsidR="00642FB4" w:rsidRDefault="00642FB4">
            <w:pPr>
              <w:jc w:val="right"/>
              <w:rPr>
                <w:rFonts w:cs="Arial"/>
                <w:sz w:val="20"/>
                <w:szCs w:val="20"/>
              </w:rPr>
            </w:pPr>
            <w:r>
              <w:rPr>
                <w:sz w:val="20"/>
              </w:rPr>
              <w:t>340,4</w:t>
            </w:r>
          </w:p>
        </w:tc>
        <w:tc>
          <w:tcPr>
            <w:tcW w:w="1040" w:type="dxa"/>
            <w:shd w:val="clear" w:color="auto" w:fill="auto"/>
            <w:vAlign w:val="center"/>
          </w:tcPr>
          <w:p w:rsidR="00642FB4" w:rsidRDefault="00642FB4">
            <w:pPr>
              <w:jc w:val="right"/>
              <w:rPr>
                <w:rFonts w:cs="Arial"/>
                <w:sz w:val="20"/>
                <w:szCs w:val="20"/>
              </w:rPr>
            </w:pPr>
            <w:r>
              <w:rPr>
                <w:sz w:val="20"/>
              </w:rPr>
              <w:t>425,7</w:t>
            </w:r>
          </w:p>
        </w:tc>
        <w:tc>
          <w:tcPr>
            <w:tcW w:w="1000" w:type="dxa"/>
            <w:shd w:val="clear" w:color="auto" w:fill="auto"/>
            <w:vAlign w:val="center"/>
          </w:tcPr>
          <w:p w:rsidR="00642FB4" w:rsidRDefault="00642FB4">
            <w:pPr>
              <w:jc w:val="right"/>
              <w:rPr>
                <w:rFonts w:cs="Arial"/>
                <w:sz w:val="20"/>
                <w:szCs w:val="20"/>
              </w:rPr>
            </w:pPr>
            <w:r>
              <w:rPr>
                <w:sz w:val="20"/>
              </w:rPr>
              <w:t>421,1</w:t>
            </w:r>
          </w:p>
        </w:tc>
        <w:tc>
          <w:tcPr>
            <w:tcW w:w="983" w:type="dxa"/>
            <w:shd w:val="clear" w:color="auto" w:fill="auto"/>
            <w:vAlign w:val="center"/>
          </w:tcPr>
          <w:p w:rsidR="00642FB4" w:rsidRDefault="00642FB4">
            <w:pPr>
              <w:jc w:val="right"/>
              <w:rPr>
                <w:rFonts w:cs="Arial"/>
                <w:sz w:val="20"/>
                <w:szCs w:val="20"/>
              </w:rPr>
            </w:pPr>
            <w:r>
              <w:rPr>
                <w:sz w:val="20"/>
              </w:rPr>
              <w:t>359,3</w:t>
            </w:r>
          </w:p>
        </w:tc>
        <w:tc>
          <w:tcPr>
            <w:tcW w:w="966" w:type="dxa"/>
            <w:shd w:val="clear" w:color="auto" w:fill="auto"/>
            <w:vAlign w:val="center"/>
          </w:tcPr>
          <w:p w:rsidR="00642FB4" w:rsidRDefault="00642FB4">
            <w:pPr>
              <w:jc w:val="right"/>
              <w:rPr>
                <w:rFonts w:cs="Arial"/>
                <w:sz w:val="20"/>
                <w:szCs w:val="20"/>
              </w:rPr>
            </w:pPr>
            <w:r>
              <w:rPr>
                <w:sz w:val="20"/>
              </w:rPr>
              <w:t>283,9</w:t>
            </w:r>
          </w:p>
        </w:tc>
        <w:tc>
          <w:tcPr>
            <w:tcW w:w="976" w:type="dxa"/>
            <w:shd w:val="clear" w:color="auto" w:fill="auto"/>
            <w:vAlign w:val="center"/>
          </w:tcPr>
          <w:p w:rsidR="00642FB4" w:rsidRDefault="00642FB4">
            <w:pPr>
              <w:jc w:val="right"/>
              <w:rPr>
                <w:rFonts w:cs="Arial"/>
                <w:sz w:val="20"/>
                <w:szCs w:val="20"/>
              </w:rPr>
            </w:pPr>
            <w:r>
              <w:rPr>
                <w:sz w:val="20"/>
              </w:rPr>
              <w:t>364,3</w:t>
            </w:r>
          </w:p>
        </w:tc>
        <w:tc>
          <w:tcPr>
            <w:tcW w:w="936" w:type="dxa"/>
            <w:vAlign w:val="center"/>
          </w:tcPr>
          <w:p w:rsidR="00642FB4" w:rsidRDefault="00642FB4">
            <w:pPr>
              <w:jc w:val="right"/>
              <w:rPr>
                <w:rFonts w:cs="Arial"/>
                <w:sz w:val="20"/>
                <w:szCs w:val="20"/>
              </w:rPr>
            </w:pPr>
            <w:r>
              <w:rPr>
                <w:sz w:val="20"/>
              </w:rPr>
              <w:t>382,4</w:t>
            </w:r>
          </w:p>
        </w:tc>
        <w:tc>
          <w:tcPr>
            <w:tcW w:w="1318" w:type="dxa"/>
            <w:shd w:val="clear" w:color="auto" w:fill="auto"/>
            <w:vAlign w:val="center"/>
          </w:tcPr>
          <w:p w:rsidR="00642FB4" w:rsidRDefault="00642FB4">
            <w:pPr>
              <w:jc w:val="right"/>
              <w:rPr>
                <w:rFonts w:cs="Arial"/>
                <w:sz w:val="20"/>
                <w:szCs w:val="20"/>
              </w:rPr>
            </w:pPr>
            <w:r>
              <w:rPr>
                <w:sz w:val="20"/>
              </w:rPr>
              <w:t>8,7</w:t>
            </w:r>
          </w:p>
        </w:tc>
      </w:tr>
      <w:tr w:rsidR="00642FB4">
        <w:trPr>
          <w:jc w:val="center"/>
        </w:trPr>
        <w:tc>
          <w:tcPr>
            <w:tcW w:w="668" w:type="dxa"/>
            <w:shd w:val="clear" w:color="auto" w:fill="auto"/>
          </w:tcPr>
          <w:p w:rsidR="00642FB4" w:rsidRDefault="00642FB4">
            <w:pPr>
              <w:jc w:val="both"/>
              <w:rPr>
                <w:rFonts w:cs="Arial"/>
                <w:sz w:val="20"/>
                <w:szCs w:val="20"/>
              </w:rPr>
            </w:pPr>
            <w:r>
              <w:rPr>
                <w:sz w:val="20"/>
              </w:rPr>
              <w:t>13.</w:t>
            </w:r>
          </w:p>
        </w:tc>
        <w:tc>
          <w:tcPr>
            <w:tcW w:w="1666" w:type="dxa"/>
            <w:shd w:val="clear" w:color="auto" w:fill="auto"/>
          </w:tcPr>
          <w:p w:rsidR="00642FB4" w:rsidRDefault="00642FB4">
            <w:pPr>
              <w:jc w:val="both"/>
              <w:rPr>
                <w:rFonts w:cs="Arial"/>
                <w:sz w:val="20"/>
                <w:szCs w:val="20"/>
              </w:rPr>
            </w:pPr>
            <w:r>
              <w:rPr>
                <w:sz w:val="20"/>
              </w:rPr>
              <w:t>Новий Свет</w:t>
            </w:r>
          </w:p>
        </w:tc>
        <w:tc>
          <w:tcPr>
            <w:tcW w:w="923" w:type="dxa"/>
            <w:shd w:val="clear" w:color="auto" w:fill="auto"/>
            <w:vAlign w:val="center"/>
          </w:tcPr>
          <w:p w:rsidR="00642FB4" w:rsidRDefault="00642FB4">
            <w:pPr>
              <w:jc w:val="right"/>
              <w:rPr>
                <w:rFonts w:cs="Arial"/>
                <w:sz w:val="20"/>
                <w:szCs w:val="20"/>
              </w:rPr>
            </w:pPr>
            <w:r>
              <w:rPr>
                <w:sz w:val="20"/>
              </w:rPr>
              <w:t>121,8</w:t>
            </w:r>
          </w:p>
        </w:tc>
        <w:tc>
          <w:tcPr>
            <w:tcW w:w="1040" w:type="dxa"/>
            <w:shd w:val="clear" w:color="auto" w:fill="auto"/>
            <w:vAlign w:val="center"/>
          </w:tcPr>
          <w:p w:rsidR="00642FB4" w:rsidRDefault="00642FB4">
            <w:pPr>
              <w:jc w:val="right"/>
              <w:rPr>
                <w:rFonts w:cs="Arial"/>
                <w:sz w:val="20"/>
                <w:szCs w:val="20"/>
              </w:rPr>
            </w:pPr>
            <w:r>
              <w:rPr>
                <w:sz w:val="20"/>
              </w:rPr>
              <w:t>123,7</w:t>
            </w:r>
          </w:p>
        </w:tc>
        <w:tc>
          <w:tcPr>
            <w:tcW w:w="1000" w:type="dxa"/>
            <w:shd w:val="clear" w:color="auto" w:fill="auto"/>
            <w:vAlign w:val="center"/>
          </w:tcPr>
          <w:p w:rsidR="00642FB4" w:rsidRDefault="00642FB4">
            <w:pPr>
              <w:jc w:val="right"/>
              <w:rPr>
                <w:rFonts w:cs="Arial"/>
                <w:sz w:val="20"/>
                <w:szCs w:val="20"/>
              </w:rPr>
            </w:pPr>
            <w:r>
              <w:rPr>
                <w:sz w:val="20"/>
              </w:rPr>
              <w:t>108,6</w:t>
            </w:r>
          </w:p>
        </w:tc>
        <w:tc>
          <w:tcPr>
            <w:tcW w:w="983" w:type="dxa"/>
            <w:shd w:val="clear" w:color="auto" w:fill="auto"/>
            <w:vAlign w:val="center"/>
          </w:tcPr>
          <w:p w:rsidR="00642FB4" w:rsidRDefault="00642FB4">
            <w:pPr>
              <w:jc w:val="right"/>
              <w:rPr>
                <w:rFonts w:cs="Arial"/>
                <w:sz w:val="20"/>
                <w:szCs w:val="20"/>
              </w:rPr>
            </w:pPr>
            <w:r>
              <w:rPr>
                <w:sz w:val="20"/>
              </w:rPr>
              <w:t>98,1</w:t>
            </w:r>
          </w:p>
        </w:tc>
        <w:tc>
          <w:tcPr>
            <w:tcW w:w="966" w:type="dxa"/>
            <w:shd w:val="clear" w:color="auto" w:fill="auto"/>
            <w:vAlign w:val="center"/>
          </w:tcPr>
          <w:p w:rsidR="00642FB4" w:rsidRDefault="00642FB4">
            <w:pPr>
              <w:jc w:val="right"/>
              <w:rPr>
                <w:rFonts w:cs="Arial"/>
                <w:sz w:val="20"/>
                <w:szCs w:val="20"/>
              </w:rPr>
            </w:pPr>
            <w:r>
              <w:rPr>
                <w:sz w:val="20"/>
              </w:rPr>
              <w:t>104,8</w:t>
            </w:r>
          </w:p>
        </w:tc>
        <w:tc>
          <w:tcPr>
            <w:tcW w:w="976" w:type="dxa"/>
            <w:shd w:val="clear" w:color="auto" w:fill="auto"/>
            <w:vAlign w:val="center"/>
          </w:tcPr>
          <w:p w:rsidR="00642FB4" w:rsidRDefault="00642FB4">
            <w:pPr>
              <w:jc w:val="right"/>
              <w:rPr>
                <w:rFonts w:cs="Arial"/>
                <w:sz w:val="20"/>
                <w:szCs w:val="20"/>
              </w:rPr>
            </w:pPr>
            <w:r>
              <w:rPr>
                <w:sz w:val="20"/>
              </w:rPr>
              <w:t>109,9</w:t>
            </w:r>
          </w:p>
        </w:tc>
        <w:tc>
          <w:tcPr>
            <w:tcW w:w="936" w:type="dxa"/>
            <w:vAlign w:val="center"/>
          </w:tcPr>
          <w:p w:rsidR="00642FB4" w:rsidRDefault="00642FB4">
            <w:pPr>
              <w:jc w:val="right"/>
              <w:rPr>
                <w:rFonts w:cs="Arial"/>
                <w:sz w:val="20"/>
                <w:szCs w:val="20"/>
              </w:rPr>
            </w:pPr>
            <w:r>
              <w:rPr>
                <w:sz w:val="20"/>
              </w:rPr>
              <w:t>105,4</w:t>
            </w:r>
          </w:p>
        </w:tc>
        <w:tc>
          <w:tcPr>
            <w:tcW w:w="1318" w:type="dxa"/>
            <w:shd w:val="clear" w:color="auto" w:fill="auto"/>
            <w:vAlign w:val="center"/>
          </w:tcPr>
          <w:p w:rsidR="00642FB4" w:rsidRDefault="00642FB4">
            <w:pPr>
              <w:jc w:val="right"/>
              <w:rPr>
                <w:rFonts w:cs="Arial"/>
                <w:sz w:val="20"/>
                <w:szCs w:val="20"/>
              </w:rPr>
            </w:pPr>
            <w:r>
              <w:rPr>
                <w:sz w:val="20"/>
              </w:rPr>
              <w:t>2,4</w:t>
            </w:r>
          </w:p>
        </w:tc>
      </w:tr>
      <w:tr w:rsidR="00642FB4">
        <w:trPr>
          <w:jc w:val="center"/>
        </w:trPr>
        <w:tc>
          <w:tcPr>
            <w:tcW w:w="668" w:type="dxa"/>
            <w:shd w:val="clear" w:color="auto" w:fill="auto"/>
          </w:tcPr>
          <w:p w:rsidR="00642FB4" w:rsidRDefault="00642FB4">
            <w:pPr>
              <w:jc w:val="both"/>
              <w:rPr>
                <w:rFonts w:cs="Arial"/>
                <w:sz w:val="20"/>
                <w:szCs w:val="20"/>
              </w:rPr>
            </w:pPr>
            <w:r>
              <w:rPr>
                <w:sz w:val="20"/>
              </w:rPr>
              <w:t>14.</w:t>
            </w:r>
          </w:p>
        </w:tc>
        <w:tc>
          <w:tcPr>
            <w:tcW w:w="1666" w:type="dxa"/>
            <w:shd w:val="clear" w:color="auto" w:fill="auto"/>
          </w:tcPr>
          <w:p w:rsidR="00642FB4" w:rsidRDefault="00642FB4">
            <w:pPr>
              <w:widowControl w:val="0"/>
              <w:autoSpaceDE w:val="0"/>
              <w:autoSpaceDN w:val="0"/>
              <w:adjustRightInd w:val="0"/>
              <w:jc w:val="both"/>
              <w:rPr>
                <w:rFonts w:cs="Arial"/>
                <w:color w:val="000000"/>
                <w:sz w:val="20"/>
                <w:szCs w:val="20"/>
              </w:rPr>
            </w:pPr>
            <w:r>
              <w:rPr>
                <w:sz w:val="20"/>
              </w:rPr>
              <w:t>Харцизьк</w:t>
            </w:r>
          </w:p>
        </w:tc>
        <w:tc>
          <w:tcPr>
            <w:tcW w:w="923" w:type="dxa"/>
            <w:shd w:val="clear" w:color="auto" w:fill="auto"/>
            <w:vAlign w:val="center"/>
          </w:tcPr>
          <w:p w:rsidR="00642FB4" w:rsidRDefault="00642FB4">
            <w:pPr>
              <w:jc w:val="right"/>
              <w:rPr>
                <w:rFonts w:cs="Arial"/>
                <w:sz w:val="20"/>
                <w:szCs w:val="20"/>
              </w:rPr>
            </w:pPr>
            <w:r>
              <w:rPr>
                <w:sz w:val="20"/>
              </w:rPr>
              <w:t>88,4</w:t>
            </w:r>
          </w:p>
        </w:tc>
        <w:tc>
          <w:tcPr>
            <w:tcW w:w="1040" w:type="dxa"/>
            <w:shd w:val="clear" w:color="auto" w:fill="auto"/>
            <w:vAlign w:val="center"/>
          </w:tcPr>
          <w:p w:rsidR="00642FB4" w:rsidRDefault="00642FB4">
            <w:pPr>
              <w:jc w:val="right"/>
              <w:rPr>
                <w:rFonts w:cs="Arial"/>
                <w:sz w:val="20"/>
                <w:szCs w:val="20"/>
              </w:rPr>
            </w:pPr>
            <w:r>
              <w:rPr>
                <w:sz w:val="20"/>
              </w:rPr>
              <w:t>68,9</w:t>
            </w:r>
          </w:p>
        </w:tc>
        <w:tc>
          <w:tcPr>
            <w:tcW w:w="1000" w:type="dxa"/>
            <w:shd w:val="clear" w:color="auto" w:fill="auto"/>
            <w:vAlign w:val="center"/>
          </w:tcPr>
          <w:p w:rsidR="00642FB4" w:rsidRDefault="00642FB4">
            <w:pPr>
              <w:jc w:val="right"/>
              <w:rPr>
                <w:rFonts w:cs="Arial"/>
                <w:sz w:val="20"/>
                <w:szCs w:val="20"/>
              </w:rPr>
            </w:pPr>
            <w:r>
              <w:rPr>
                <w:sz w:val="20"/>
              </w:rPr>
              <w:t>91,4</w:t>
            </w:r>
          </w:p>
        </w:tc>
        <w:tc>
          <w:tcPr>
            <w:tcW w:w="983" w:type="dxa"/>
            <w:shd w:val="clear" w:color="auto" w:fill="auto"/>
            <w:vAlign w:val="center"/>
          </w:tcPr>
          <w:p w:rsidR="00642FB4" w:rsidRDefault="00642FB4">
            <w:pPr>
              <w:jc w:val="right"/>
              <w:rPr>
                <w:rFonts w:cs="Arial"/>
                <w:sz w:val="20"/>
                <w:szCs w:val="20"/>
              </w:rPr>
            </w:pPr>
            <w:r>
              <w:rPr>
                <w:sz w:val="20"/>
              </w:rPr>
              <w:t>73,3</w:t>
            </w:r>
          </w:p>
        </w:tc>
        <w:tc>
          <w:tcPr>
            <w:tcW w:w="966" w:type="dxa"/>
            <w:shd w:val="clear" w:color="auto" w:fill="auto"/>
            <w:vAlign w:val="center"/>
          </w:tcPr>
          <w:p w:rsidR="00642FB4" w:rsidRDefault="00642FB4">
            <w:pPr>
              <w:jc w:val="right"/>
              <w:rPr>
                <w:rFonts w:cs="Arial"/>
                <w:sz w:val="20"/>
                <w:szCs w:val="20"/>
              </w:rPr>
            </w:pPr>
            <w:r>
              <w:rPr>
                <w:sz w:val="20"/>
              </w:rPr>
              <w:t>73,0</w:t>
            </w:r>
          </w:p>
        </w:tc>
        <w:tc>
          <w:tcPr>
            <w:tcW w:w="976" w:type="dxa"/>
            <w:shd w:val="clear" w:color="auto" w:fill="auto"/>
            <w:vAlign w:val="center"/>
          </w:tcPr>
          <w:p w:rsidR="00642FB4" w:rsidRDefault="00642FB4">
            <w:pPr>
              <w:jc w:val="right"/>
              <w:rPr>
                <w:rFonts w:cs="Arial"/>
                <w:sz w:val="20"/>
                <w:szCs w:val="20"/>
              </w:rPr>
            </w:pPr>
            <w:r>
              <w:rPr>
                <w:sz w:val="20"/>
              </w:rPr>
              <w:t>75,4</w:t>
            </w:r>
          </w:p>
        </w:tc>
        <w:tc>
          <w:tcPr>
            <w:tcW w:w="936" w:type="dxa"/>
            <w:vAlign w:val="center"/>
          </w:tcPr>
          <w:p w:rsidR="00642FB4" w:rsidRDefault="00642FB4">
            <w:pPr>
              <w:jc w:val="right"/>
              <w:rPr>
                <w:rFonts w:cs="Arial"/>
                <w:sz w:val="20"/>
                <w:szCs w:val="20"/>
              </w:rPr>
            </w:pPr>
            <w:r>
              <w:rPr>
                <w:sz w:val="20"/>
              </w:rPr>
              <w:t>103,1</w:t>
            </w:r>
          </w:p>
        </w:tc>
        <w:tc>
          <w:tcPr>
            <w:tcW w:w="1318" w:type="dxa"/>
            <w:shd w:val="clear" w:color="auto" w:fill="auto"/>
            <w:vAlign w:val="center"/>
          </w:tcPr>
          <w:p w:rsidR="00642FB4" w:rsidRDefault="00642FB4">
            <w:pPr>
              <w:jc w:val="right"/>
              <w:rPr>
                <w:rFonts w:cs="Arial"/>
                <w:sz w:val="20"/>
                <w:szCs w:val="20"/>
              </w:rPr>
            </w:pPr>
            <w:r>
              <w:rPr>
                <w:sz w:val="20"/>
              </w:rPr>
              <w:t>2,4</w:t>
            </w:r>
          </w:p>
        </w:tc>
      </w:tr>
      <w:tr w:rsidR="00642FB4">
        <w:trPr>
          <w:trHeight w:val="161"/>
          <w:jc w:val="center"/>
        </w:trPr>
        <w:tc>
          <w:tcPr>
            <w:tcW w:w="668" w:type="dxa"/>
            <w:shd w:val="clear" w:color="auto" w:fill="auto"/>
          </w:tcPr>
          <w:p w:rsidR="00642FB4" w:rsidRDefault="00642FB4">
            <w:pPr>
              <w:jc w:val="both"/>
              <w:rPr>
                <w:rFonts w:ascii="Times New Roman" w:hAnsi="Times New Roman"/>
                <w:b/>
                <w:sz w:val="20"/>
                <w:szCs w:val="20"/>
              </w:rPr>
            </w:pPr>
          </w:p>
        </w:tc>
        <w:tc>
          <w:tcPr>
            <w:tcW w:w="1666" w:type="dxa"/>
            <w:shd w:val="clear" w:color="auto" w:fill="auto"/>
          </w:tcPr>
          <w:p w:rsidR="00642FB4" w:rsidRDefault="00642FB4">
            <w:pPr>
              <w:jc w:val="both"/>
              <w:rPr>
                <w:rFonts w:cs="Arial"/>
                <w:b/>
                <w:sz w:val="20"/>
                <w:szCs w:val="20"/>
              </w:rPr>
            </w:pPr>
            <w:r>
              <w:rPr>
                <w:b/>
                <w:sz w:val="20"/>
              </w:rPr>
              <w:t>Всього</w:t>
            </w:r>
          </w:p>
        </w:tc>
        <w:tc>
          <w:tcPr>
            <w:tcW w:w="923" w:type="dxa"/>
            <w:shd w:val="clear" w:color="auto" w:fill="auto"/>
            <w:vAlign w:val="center"/>
          </w:tcPr>
          <w:p w:rsidR="00642FB4" w:rsidRDefault="00642FB4">
            <w:pPr>
              <w:jc w:val="right"/>
              <w:rPr>
                <w:rFonts w:cs="Arial"/>
                <w:b/>
                <w:color w:val="000000"/>
                <w:sz w:val="20"/>
                <w:szCs w:val="20"/>
              </w:rPr>
            </w:pPr>
            <w:r>
              <w:rPr>
                <w:b/>
                <w:color w:val="000000"/>
                <w:sz w:val="20"/>
              </w:rPr>
              <w:t>2 076,1</w:t>
            </w:r>
          </w:p>
        </w:tc>
        <w:tc>
          <w:tcPr>
            <w:tcW w:w="1040" w:type="dxa"/>
            <w:shd w:val="clear" w:color="auto" w:fill="auto"/>
            <w:vAlign w:val="center"/>
          </w:tcPr>
          <w:p w:rsidR="00642FB4" w:rsidRDefault="00642FB4">
            <w:pPr>
              <w:jc w:val="right"/>
              <w:rPr>
                <w:rFonts w:cs="Arial"/>
                <w:b/>
                <w:color w:val="000000"/>
                <w:sz w:val="20"/>
                <w:szCs w:val="20"/>
              </w:rPr>
            </w:pPr>
            <w:r>
              <w:rPr>
                <w:b/>
                <w:color w:val="000000"/>
                <w:sz w:val="20"/>
              </w:rPr>
              <w:t>2 356,6</w:t>
            </w:r>
          </w:p>
        </w:tc>
        <w:tc>
          <w:tcPr>
            <w:tcW w:w="1000" w:type="dxa"/>
            <w:shd w:val="clear" w:color="auto" w:fill="auto"/>
            <w:vAlign w:val="center"/>
          </w:tcPr>
          <w:p w:rsidR="00642FB4" w:rsidRDefault="00642FB4">
            <w:pPr>
              <w:jc w:val="right"/>
              <w:rPr>
                <w:rFonts w:cs="Arial"/>
                <w:b/>
                <w:color w:val="000000"/>
                <w:sz w:val="20"/>
                <w:szCs w:val="20"/>
              </w:rPr>
            </w:pPr>
            <w:r>
              <w:rPr>
                <w:b/>
                <w:color w:val="000000"/>
                <w:sz w:val="20"/>
              </w:rPr>
              <w:t>2 596,3</w:t>
            </w:r>
          </w:p>
        </w:tc>
        <w:tc>
          <w:tcPr>
            <w:tcW w:w="983" w:type="dxa"/>
            <w:shd w:val="clear" w:color="auto" w:fill="auto"/>
            <w:vAlign w:val="center"/>
          </w:tcPr>
          <w:p w:rsidR="00642FB4" w:rsidRDefault="00642FB4">
            <w:pPr>
              <w:jc w:val="right"/>
              <w:rPr>
                <w:rFonts w:cs="Arial"/>
                <w:b/>
                <w:color w:val="000000"/>
                <w:sz w:val="20"/>
                <w:szCs w:val="20"/>
              </w:rPr>
            </w:pPr>
            <w:r>
              <w:rPr>
                <w:b/>
                <w:color w:val="000000"/>
                <w:sz w:val="20"/>
              </w:rPr>
              <w:t>2 555,0</w:t>
            </w:r>
          </w:p>
        </w:tc>
        <w:tc>
          <w:tcPr>
            <w:tcW w:w="966" w:type="dxa"/>
            <w:shd w:val="clear" w:color="auto" w:fill="auto"/>
            <w:vAlign w:val="center"/>
          </w:tcPr>
          <w:p w:rsidR="00642FB4" w:rsidRDefault="00642FB4">
            <w:pPr>
              <w:jc w:val="right"/>
              <w:rPr>
                <w:rFonts w:cs="Arial"/>
                <w:b/>
                <w:color w:val="000000"/>
                <w:sz w:val="20"/>
                <w:szCs w:val="20"/>
              </w:rPr>
            </w:pPr>
            <w:r>
              <w:rPr>
                <w:b/>
                <w:color w:val="000000"/>
                <w:sz w:val="20"/>
              </w:rPr>
              <w:t>1 984,6</w:t>
            </w:r>
          </w:p>
        </w:tc>
        <w:tc>
          <w:tcPr>
            <w:tcW w:w="976" w:type="dxa"/>
            <w:shd w:val="clear" w:color="auto" w:fill="auto"/>
            <w:vAlign w:val="center"/>
          </w:tcPr>
          <w:p w:rsidR="00642FB4" w:rsidRDefault="00642FB4">
            <w:pPr>
              <w:jc w:val="right"/>
              <w:rPr>
                <w:rFonts w:cs="Arial"/>
                <w:b/>
                <w:color w:val="000000"/>
                <w:sz w:val="20"/>
                <w:szCs w:val="20"/>
              </w:rPr>
            </w:pPr>
            <w:r>
              <w:rPr>
                <w:b/>
                <w:color w:val="000000"/>
                <w:sz w:val="20"/>
              </w:rPr>
              <w:t>2 198,7</w:t>
            </w:r>
          </w:p>
        </w:tc>
        <w:tc>
          <w:tcPr>
            <w:tcW w:w="936" w:type="dxa"/>
            <w:vAlign w:val="center"/>
          </w:tcPr>
          <w:p w:rsidR="00642FB4" w:rsidRDefault="00642FB4">
            <w:pPr>
              <w:jc w:val="right"/>
              <w:rPr>
                <w:rFonts w:cs="Arial"/>
                <w:b/>
                <w:color w:val="000000"/>
                <w:sz w:val="20"/>
                <w:szCs w:val="20"/>
              </w:rPr>
            </w:pPr>
            <w:r>
              <w:rPr>
                <w:b/>
                <w:color w:val="000000"/>
                <w:sz w:val="20"/>
              </w:rPr>
              <w:t>2 372,2</w:t>
            </w:r>
          </w:p>
        </w:tc>
        <w:tc>
          <w:tcPr>
            <w:tcW w:w="1318" w:type="dxa"/>
            <w:shd w:val="clear" w:color="auto" w:fill="auto"/>
            <w:vAlign w:val="center"/>
          </w:tcPr>
          <w:p w:rsidR="00642FB4" w:rsidRDefault="00642FB4">
            <w:pPr>
              <w:jc w:val="right"/>
              <w:rPr>
                <w:rFonts w:cs="Arial"/>
                <w:b/>
                <w:sz w:val="20"/>
                <w:szCs w:val="20"/>
              </w:rPr>
            </w:pPr>
            <w:r>
              <w:rPr>
                <w:b/>
                <w:sz w:val="20"/>
              </w:rPr>
              <w:t>54,2</w:t>
            </w:r>
          </w:p>
        </w:tc>
      </w:tr>
    </w:tbl>
    <w:p w:rsidR="00642FB4" w:rsidRDefault="00642FB4">
      <w:pPr>
        <w:jc w:val="both"/>
        <w:rPr>
          <w:rFonts w:cs="Arial"/>
        </w:rPr>
      </w:pPr>
      <w:r>
        <w:tab/>
      </w:r>
    </w:p>
    <w:p w:rsidR="00642FB4" w:rsidRDefault="00642FB4">
      <w:pPr>
        <w:pStyle w:val="HTMLPreformatted"/>
        <w:spacing w:before="60" w:after="60" w:line="288" w:lineRule="auto"/>
        <w:jc w:val="both"/>
        <w:rPr>
          <w:rFonts w:ascii="Arial" w:hAnsi="Arial" w:cs="Arial"/>
          <w:sz w:val="24"/>
          <w:szCs w:val="24"/>
          <w:lang w:val="ro-RO"/>
        </w:rPr>
      </w:pPr>
      <w:r>
        <w:rPr>
          <w:rFonts w:ascii="Arial" w:hAnsi="Arial"/>
          <w:sz w:val="24"/>
          <w:lang w:val="ro-RO"/>
        </w:rPr>
        <w:t xml:space="preserve">Викиди забруднюючих речовин від стаціонарних джерел за рік складають: </w:t>
      </w:r>
    </w:p>
    <w:p w:rsidR="00642FB4" w:rsidRDefault="00642FB4">
      <w:pPr>
        <w:numPr>
          <w:ilvl w:val="0"/>
          <w:numId w:val="30"/>
        </w:numPr>
        <w:spacing w:before="60" w:after="60" w:line="288" w:lineRule="auto"/>
        <w:ind w:left="993" w:hanging="284"/>
        <w:jc w:val="both"/>
        <w:rPr>
          <w:rFonts w:eastAsia="EUAlbertina-Regular-Identity-H"/>
          <w:bCs/>
        </w:rPr>
      </w:pPr>
      <w:r>
        <w:t xml:space="preserve">викиди діоксиду сірки 1.342.600 тонн / рік (що означає  30,7% від загального обсягу забруднювачів); </w:t>
      </w:r>
    </w:p>
    <w:p w:rsidR="00642FB4" w:rsidRDefault="00642FB4">
      <w:pPr>
        <w:numPr>
          <w:ilvl w:val="0"/>
          <w:numId w:val="30"/>
        </w:numPr>
        <w:spacing w:before="60" w:after="60" w:line="288" w:lineRule="auto"/>
        <w:ind w:left="993" w:hanging="284"/>
        <w:jc w:val="both"/>
        <w:rPr>
          <w:rFonts w:eastAsia="EUAlbertina-Regular-Identity-H"/>
          <w:bCs/>
        </w:rPr>
      </w:pPr>
      <w:r>
        <w:t>викиди монооксиду вуглецю 1.066.100 тонн / рік (що означає  24,4% від загального обсягу забруднювачів);</w:t>
      </w:r>
    </w:p>
    <w:p w:rsidR="00642FB4" w:rsidRDefault="00642FB4">
      <w:pPr>
        <w:numPr>
          <w:ilvl w:val="0"/>
          <w:numId w:val="30"/>
        </w:numPr>
        <w:spacing w:before="60" w:after="60" w:line="288" w:lineRule="auto"/>
        <w:ind w:left="993" w:hanging="284"/>
        <w:jc w:val="both"/>
        <w:rPr>
          <w:rFonts w:eastAsia="EUAlbertina-Regular-Identity-H"/>
          <w:bCs/>
        </w:rPr>
      </w:pPr>
      <w:r>
        <w:t>викиди метану 878.200 тонн / рік (що означає  20,1% від загального обсягу забруднювачів);</w:t>
      </w:r>
    </w:p>
    <w:p w:rsidR="00642FB4" w:rsidRDefault="00642FB4">
      <w:pPr>
        <w:numPr>
          <w:ilvl w:val="0"/>
          <w:numId w:val="30"/>
        </w:numPr>
        <w:spacing w:before="60" w:after="60" w:line="288" w:lineRule="auto"/>
        <w:ind w:left="993" w:hanging="284"/>
        <w:jc w:val="both"/>
        <w:rPr>
          <w:rFonts w:eastAsia="EUAlbertina-Regular-Identity-H"/>
          <w:bCs/>
        </w:rPr>
      </w:pPr>
      <w:r>
        <w:t>викиди твердих частинок 606.600 тонн / рік (що означає  13,9% від загального обсягу забруднювачів);</w:t>
      </w:r>
    </w:p>
    <w:p w:rsidR="00642FB4" w:rsidRDefault="00642FB4">
      <w:pPr>
        <w:numPr>
          <w:ilvl w:val="0"/>
          <w:numId w:val="30"/>
        </w:numPr>
        <w:spacing w:before="60" w:after="60" w:line="288" w:lineRule="auto"/>
        <w:ind w:left="993" w:hanging="284"/>
        <w:jc w:val="both"/>
        <w:rPr>
          <w:rFonts w:eastAsia="EUAlbertina-Regular-Identity-H"/>
          <w:bCs/>
        </w:rPr>
      </w:pPr>
      <w:r>
        <w:t>викиди оксидів азоту 381.900 тонн / рік (що означає  8,7% від загального обсягу забруднювачів);</w:t>
      </w:r>
    </w:p>
    <w:p w:rsidR="00642FB4" w:rsidRDefault="00642FB4">
      <w:pPr>
        <w:pStyle w:val="HTMLPreformatted"/>
        <w:tabs>
          <w:tab w:val="clear" w:pos="916"/>
          <w:tab w:val="clear" w:pos="1832"/>
          <w:tab w:val="left" w:pos="0"/>
          <w:tab w:val="left" w:pos="720"/>
        </w:tabs>
        <w:spacing w:before="60" w:after="60" w:line="288" w:lineRule="auto"/>
        <w:ind w:left="720"/>
        <w:jc w:val="both"/>
        <w:rPr>
          <w:rFonts w:ascii="Arial" w:hAnsi="Arial" w:cs="Arial"/>
          <w:sz w:val="24"/>
          <w:szCs w:val="24"/>
          <w:lang w:val="ro-RO"/>
        </w:rPr>
      </w:pPr>
    </w:p>
    <w:p w:rsidR="00642FB4" w:rsidRDefault="00642FB4">
      <w:pPr>
        <w:autoSpaceDE w:val="0"/>
        <w:autoSpaceDN w:val="0"/>
        <w:adjustRightInd w:val="0"/>
        <w:spacing w:before="60" w:after="60" w:line="288" w:lineRule="auto"/>
        <w:ind w:left="360"/>
        <w:jc w:val="both"/>
        <w:rPr>
          <w:rFonts w:eastAsia="Calibri" w:cs="Arial"/>
          <w:b/>
          <w:bCs/>
          <w:i/>
          <w:sz w:val="22"/>
          <w:szCs w:val="22"/>
        </w:rPr>
      </w:pPr>
      <w:r>
        <w:rPr>
          <w:b/>
          <w:i/>
          <w:sz w:val="22"/>
        </w:rPr>
        <w:t xml:space="preserve">Таблиця 4.6.3  </w:t>
      </w:r>
      <w:r>
        <w:t>представляє викиди забруднюючих речовин від стаціонарних джерел</w:t>
      </w:r>
    </w:p>
    <w:tbl>
      <w:tblPr>
        <w:tblW w:w="9276"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20"/>
        <w:gridCol w:w="900"/>
        <w:gridCol w:w="900"/>
        <w:gridCol w:w="1350"/>
        <w:gridCol w:w="900"/>
        <w:gridCol w:w="1710"/>
        <w:gridCol w:w="996"/>
      </w:tblGrid>
      <w:tr w:rsidR="00642FB4">
        <w:trPr>
          <w:trHeight w:val="593"/>
        </w:trPr>
        <w:tc>
          <w:tcPr>
            <w:tcW w:w="2520" w:type="dxa"/>
            <w:vMerge w:val="restart"/>
            <w:shd w:val="clear" w:color="auto" w:fill="auto"/>
            <w:vAlign w:val="center"/>
          </w:tcPr>
          <w:p w:rsidR="00642FB4" w:rsidRDefault="00642FB4">
            <w:pPr>
              <w:widowControl w:val="0"/>
              <w:autoSpaceDE w:val="0"/>
              <w:autoSpaceDN w:val="0"/>
              <w:adjustRightInd w:val="0"/>
              <w:contextualSpacing/>
              <w:jc w:val="both"/>
              <w:rPr>
                <w:rFonts w:cs="Arial"/>
                <w:b/>
                <w:color w:val="000000"/>
                <w:sz w:val="20"/>
                <w:szCs w:val="20"/>
              </w:rPr>
            </w:pPr>
            <w:r>
              <w:rPr>
                <w:b/>
                <w:color w:val="000000"/>
                <w:sz w:val="20"/>
              </w:rPr>
              <w:t>Забруднюючі речовини</w:t>
            </w:r>
          </w:p>
        </w:tc>
        <w:tc>
          <w:tcPr>
            <w:tcW w:w="1800" w:type="dxa"/>
            <w:gridSpan w:val="2"/>
            <w:shd w:val="clear" w:color="auto" w:fill="auto"/>
            <w:vAlign w:val="center"/>
          </w:tcPr>
          <w:p w:rsidR="00642FB4" w:rsidRDefault="00642FB4">
            <w:pPr>
              <w:widowControl w:val="0"/>
              <w:autoSpaceDE w:val="0"/>
              <w:autoSpaceDN w:val="0"/>
              <w:adjustRightInd w:val="0"/>
              <w:contextualSpacing/>
              <w:jc w:val="both"/>
              <w:rPr>
                <w:rFonts w:cs="Arial"/>
                <w:b/>
                <w:color w:val="000000"/>
                <w:sz w:val="20"/>
                <w:szCs w:val="20"/>
              </w:rPr>
            </w:pPr>
            <w:r>
              <w:rPr>
                <w:b/>
                <w:color w:val="000000"/>
                <w:sz w:val="20"/>
              </w:rPr>
              <w:t>Кількість одиниці з викидами</w:t>
            </w:r>
          </w:p>
        </w:tc>
        <w:tc>
          <w:tcPr>
            <w:tcW w:w="4956" w:type="dxa"/>
            <w:gridSpan w:val="4"/>
            <w:shd w:val="clear" w:color="auto" w:fill="auto"/>
            <w:vAlign w:val="center"/>
          </w:tcPr>
          <w:p w:rsidR="00642FB4" w:rsidRDefault="00642FB4">
            <w:pPr>
              <w:widowControl w:val="0"/>
              <w:autoSpaceDE w:val="0"/>
              <w:autoSpaceDN w:val="0"/>
              <w:adjustRightInd w:val="0"/>
              <w:contextualSpacing/>
              <w:jc w:val="center"/>
              <w:rPr>
                <w:rFonts w:cs="Arial"/>
                <w:b/>
                <w:color w:val="000000"/>
                <w:sz w:val="20"/>
                <w:szCs w:val="20"/>
              </w:rPr>
            </w:pPr>
            <w:r>
              <w:rPr>
                <w:b/>
                <w:color w:val="000000"/>
                <w:sz w:val="20"/>
              </w:rPr>
              <w:t>Обсяг викидів</w:t>
            </w:r>
          </w:p>
        </w:tc>
      </w:tr>
      <w:tr w:rsidR="00642FB4">
        <w:trPr>
          <w:trHeight w:val="454"/>
        </w:trPr>
        <w:tc>
          <w:tcPr>
            <w:tcW w:w="2520" w:type="dxa"/>
            <w:vMerge/>
            <w:shd w:val="clear" w:color="auto" w:fill="auto"/>
            <w:vAlign w:val="center"/>
          </w:tcPr>
          <w:p w:rsidR="00642FB4" w:rsidRDefault="00642FB4">
            <w:pPr>
              <w:widowControl w:val="0"/>
              <w:autoSpaceDE w:val="0"/>
              <w:autoSpaceDN w:val="0"/>
              <w:adjustRightInd w:val="0"/>
              <w:contextualSpacing/>
              <w:jc w:val="both"/>
              <w:rPr>
                <w:rFonts w:cs="Arial"/>
                <w:b/>
                <w:color w:val="000000"/>
                <w:sz w:val="20"/>
                <w:szCs w:val="20"/>
              </w:rPr>
            </w:pPr>
          </w:p>
        </w:tc>
        <w:tc>
          <w:tcPr>
            <w:tcW w:w="900" w:type="dxa"/>
            <w:shd w:val="clear" w:color="auto" w:fill="auto"/>
            <w:vAlign w:val="center"/>
          </w:tcPr>
          <w:p w:rsidR="00642FB4" w:rsidRDefault="00642FB4">
            <w:pPr>
              <w:widowControl w:val="0"/>
              <w:autoSpaceDE w:val="0"/>
              <w:autoSpaceDN w:val="0"/>
              <w:adjustRightInd w:val="0"/>
              <w:contextualSpacing/>
              <w:jc w:val="both"/>
              <w:rPr>
                <w:rFonts w:cs="Arial"/>
                <w:b/>
                <w:color w:val="000000"/>
                <w:sz w:val="20"/>
                <w:szCs w:val="20"/>
              </w:rPr>
            </w:pPr>
            <w:r>
              <w:rPr>
                <w:b/>
                <w:color w:val="000000"/>
                <w:sz w:val="20"/>
              </w:rPr>
              <w:t>Одиниці</w:t>
            </w:r>
          </w:p>
        </w:tc>
        <w:tc>
          <w:tcPr>
            <w:tcW w:w="900" w:type="dxa"/>
            <w:shd w:val="clear" w:color="auto" w:fill="auto"/>
            <w:vAlign w:val="center"/>
          </w:tcPr>
          <w:p w:rsidR="00642FB4" w:rsidRDefault="00642FB4">
            <w:pPr>
              <w:pStyle w:val="HTMLPreformatted"/>
              <w:jc w:val="both"/>
              <w:rPr>
                <w:rFonts w:ascii="Arial" w:hAnsi="Arial" w:cs="Arial"/>
                <w:b/>
                <w:color w:val="000000"/>
              </w:rPr>
            </w:pPr>
            <w:r>
              <w:rPr>
                <w:rFonts w:ascii="Arial" w:hAnsi="Arial"/>
                <w:b/>
                <w:color w:val="000000"/>
              </w:rPr>
              <w:t>до 2010 р.</w:t>
            </w:r>
          </w:p>
          <w:p w:rsidR="00642FB4" w:rsidRDefault="00642FB4">
            <w:pPr>
              <w:pStyle w:val="HTMLPreformatted"/>
              <w:jc w:val="both"/>
              <w:rPr>
                <w:rFonts w:cs="Arial"/>
                <w:b/>
                <w:color w:val="000000"/>
              </w:rPr>
            </w:pPr>
            <w:r>
              <w:rPr>
                <w:rFonts w:ascii="Arial" w:hAnsi="Arial"/>
                <w:b/>
                <w:color w:val="000000"/>
              </w:rPr>
              <w:t>(%)</w:t>
            </w:r>
          </w:p>
        </w:tc>
        <w:tc>
          <w:tcPr>
            <w:tcW w:w="1350" w:type="dxa"/>
            <w:shd w:val="clear" w:color="auto" w:fill="auto"/>
            <w:vAlign w:val="center"/>
          </w:tcPr>
          <w:p w:rsidR="00642FB4" w:rsidRDefault="00642FB4">
            <w:pPr>
              <w:widowControl w:val="0"/>
              <w:autoSpaceDE w:val="0"/>
              <w:autoSpaceDN w:val="0"/>
              <w:adjustRightInd w:val="0"/>
              <w:contextualSpacing/>
              <w:jc w:val="both"/>
              <w:rPr>
                <w:rFonts w:cs="Arial"/>
                <w:b/>
                <w:color w:val="000000"/>
                <w:sz w:val="20"/>
                <w:szCs w:val="20"/>
              </w:rPr>
            </w:pPr>
            <w:r>
              <w:rPr>
                <w:b/>
                <w:color w:val="000000"/>
                <w:sz w:val="20"/>
              </w:rPr>
              <w:t>Тон</w:t>
            </w:r>
          </w:p>
        </w:tc>
        <w:tc>
          <w:tcPr>
            <w:tcW w:w="900" w:type="dxa"/>
            <w:shd w:val="clear" w:color="auto" w:fill="auto"/>
            <w:vAlign w:val="center"/>
          </w:tcPr>
          <w:p w:rsidR="00642FB4" w:rsidRDefault="00642FB4">
            <w:pPr>
              <w:widowControl w:val="0"/>
              <w:autoSpaceDE w:val="0"/>
              <w:autoSpaceDN w:val="0"/>
              <w:adjustRightInd w:val="0"/>
              <w:contextualSpacing/>
              <w:jc w:val="both"/>
              <w:rPr>
                <w:rFonts w:cs="Arial"/>
                <w:b/>
                <w:color w:val="000000"/>
                <w:sz w:val="20"/>
                <w:szCs w:val="20"/>
              </w:rPr>
            </w:pPr>
            <w:r>
              <w:rPr>
                <w:b/>
                <w:color w:val="000000"/>
                <w:sz w:val="20"/>
              </w:rPr>
              <w:t>до 2010 р. (%)</w:t>
            </w:r>
          </w:p>
        </w:tc>
        <w:tc>
          <w:tcPr>
            <w:tcW w:w="1710" w:type="dxa"/>
            <w:shd w:val="clear" w:color="auto" w:fill="auto"/>
            <w:vAlign w:val="center"/>
          </w:tcPr>
          <w:p w:rsidR="00642FB4" w:rsidRDefault="00642FB4">
            <w:pPr>
              <w:widowControl w:val="0"/>
              <w:autoSpaceDE w:val="0"/>
              <w:autoSpaceDN w:val="0"/>
              <w:adjustRightInd w:val="0"/>
              <w:contextualSpacing/>
              <w:jc w:val="both"/>
              <w:rPr>
                <w:rFonts w:cs="Arial"/>
                <w:b/>
                <w:color w:val="000000"/>
                <w:sz w:val="20"/>
                <w:szCs w:val="20"/>
              </w:rPr>
            </w:pPr>
            <w:r>
              <w:rPr>
                <w:b/>
                <w:color w:val="000000"/>
                <w:sz w:val="20"/>
              </w:rPr>
              <w:t>У порівнянні з 2010 роком</w:t>
            </w:r>
          </w:p>
        </w:tc>
        <w:tc>
          <w:tcPr>
            <w:tcW w:w="996" w:type="dxa"/>
            <w:shd w:val="clear" w:color="auto" w:fill="auto"/>
            <w:vAlign w:val="center"/>
          </w:tcPr>
          <w:p w:rsidR="00642FB4" w:rsidRDefault="00642FB4">
            <w:pPr>
              <w:widowControl w:val="0"/>
              <w:autoSpaceDE w:val="0"/>
              <w:autoSpaceDN w:val="0"/>
              <w:adjustRightInd w:val="0"/>
              <w:contextualSpacing/>
              <w:jc w:val="both"/>
              <w:rPr>
                <w:rFonts w:cs="Arial"/>
                <w:b/>
                <w:color w:val="000000"/>
                <w:sz w:val="20"/>
                <w:szCs w:val="20"/>
              </w:rPr>
            </w:pPr>
            <w:r>
              <w:rPr>
                <w:b/>
                <w:color w:val="000000"/>
                <w:sz w:val="20"/>
              </w:rPr>
              <w:t>Зміна (%)</w:t>
            </w:r>
          </w:p>
        </w:tc>
      </w:tr>
      <w:tr w:rsidR="00642FB4">
        <w:trPr>
          <w:trHeight w:val="188"/>
        </w:trPr>
        <w:tc>
          <w:tcPr>
            <w:tcW w:w="2520" w:type="dxa"/>
            <w:shd w:val="clear" w:color="auto" w:fill="auto"/>
          </w:tcPr>
          <w:p w:rsidR="00642FB4" w:rsidRDefault="00642FB4">
            <w:pPr>
              <w:widowControl w:val="0"/>
              <w:autoSpaceDE w:val="0"/>
              <w:autoSpaceDN w:val="0"/>
              <w:adjustRightInd w:val="0"/>
              <w:contextualSpacing/>
              <w:jc w:val="both"/>
              <w:rPr>
                <w:rFonts w:cs="Arial"/>
                <w:color w:val="000000"/>
                <w:sz w:val="20"/>
                <w:szCs w:val="20"/>
              </w:rPr>
            </w:pPr>
            <w:r>
              <w:rPr>
                <w:color w:val="000000"/>
                <w:sz w:val="20"/>
              </w:rPr>
              <w:t>Метали та їх сполуки</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4 584</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96,0</w:t>
            </w:r>
          </w:p>
        </w:tc>
        <w:tc>
          <w:tcPr>
            <w:tcW w:w="135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32 660,57</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98,5</w:t>
            </w:r>
          </w:p>
        </w:tc>
        <w:tc>
          <w:tcPr>
            <w:tcW w:w="171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- 491,994</w:t>
            </w:r>
          </w:p>
        </w:tc>
        <w:tc>
          <w:tcPr>
            <w:tcW w:w="996"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0,7</w:t>
            </w:r>
          </w:p>
        </w:tc>
      </w:tr>
      <w:tr w:rsidR="00642FB4">
        <w:trPr>
          <w:trHeight w:val="229"/>
        </w:trPr>
        <w:tc>
          <w:tcPr>
            <w:tcW w:w="2520" w:type="dxa"/>
            <w:shd w:val="clear" w:color="auto" w:fill="auto"/>
          </w:tcPr>
          <w:p w:rsidR="00642FB4" w:rsidRDefault="00642FB4">
            <w:pPr>
              <w:widowControl w:val="0"/>
              <w:autoSpaceDE w:val="0"/>
              <w:autoSpaceDN w:val="0"/>
              <w:adjustRightInd w:val="0"/>
              <w:contextualSpacing/>
              <w:jc w:val="both"/>
              <w:rPr>
                <w:rFonts w:cs="Arial"/>
                <w:color w:val="000000"/>
                <w:sz w:val="20"/>
                <w:szCs w:val="20"/>
              </w:rPr>
            </w:pPr>
            <w:r>
              <w:rPr>
                <w:color w:val="000000"/>
                <w:sz w:val="20"/>
              </w:rPr>
              <w:t>Миш'як та його сполуки</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421</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96,3</w:t>
            </w:r>
          </w:p>
        </w:tc>
        <w:tc>
          <w:tcPr>
            <w:tcW w:w="135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56,78</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108,7</w:t>
            </w:r>
          </w:p>
        </w:tc>
        <w:tc>
          <w:tcPr>
            <w:tcW w:w="171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4,56</w:t>
            </w:r>
          </w:p>
        </w:tc>
        <w:tc>
          <w:tcPr>
            <w:tcW w:w="996"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0,0</w:t>
            </w:r>
          </w:p>
        </w:tc>
      </w:tr>
      <w:tr w:rsidR="00642FB4">
        <w:trPr>
          <w:trHeight w:val="265"/>
        </w:trPr>
        <w:tc>
          <w:tcPr>
            <w:tcW w:w="2520" w:type="dxa"/>
            <w:shd w:val="clear" w:color="auto" w:fill="auto"/>
          </w:tcPr>
          <w:p w:rsidR="00642FB4" w:rsidRDefault="00642FB4">
            <w:pPr>
              <w:widowControl w:val="0"/>
              <w:autoSpaceDE w:val="0"/>
              <w:autoSpaceDN w:val="0"/>
              <w:adjustRightInd w:val="0"/>
              <w:ind w:right="-103"/>
              <w:contextualSpacing/>
              <w:jc w:val="both"/>
              <w:rPr>
                <w:rFonts w:cs="Arial"/>
                <w:color w:val="000000"/>
                <w:sz w:val="20"/>
                <w:szCs w:val="20"/>
              </w:rPr>
            </w:pPr>
            <w:r>
              <w:rPr>
                <w:color w:val="000000"/>
                <w:sz w:val="20"/>
              </w:rPr>
              <w:t>Свинець та його сполуки</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37</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88,1</w:t>
            </w:r>
          </w:p>
        </w:tc>
        <w:tc>
          <w:tcPr>
            <w:tcW w:w="135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5,147</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108,4</w:t>
            </w:r>
          </w:p>
        </w:tc>
        <w:tc>
          <w:tcPr>
            <w:tcW w:w="171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0,399</w:t>
            </w:r>
          </w:p>
        </w:tc>
        <w:tc>
          <w:tcPr>
            <w:tcW w:w="996"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0,0</w:t>
            </w:r>
          </w:p>
        </w:tc>
      </w:tr>
      <w:tr w:rsidR="00642FB4">
        <w:trPr>
          <w:trHeight w:val="256"/>
        </w:trPr>
        <w:tc>
          <w:tcPr>
            <w:tcW w:w="2520" w:type="dxa"/>
            <w:shd w:val="clear" w:color="auto" w:fill="auto"/>
          </w:tcPr>
          <w:p w:rsidR="00642FB4" w:rsidRDefault="00642FB4">
            <w:pPr>
              <w:widowControl w:val="0"/>
              <w:autoSpaceDE w:val="0"/>
              <w:autoSpaceDN w:val="0"/>
              <w:adjustRightInd w:val="0"/>
              <w:contextualSpacing/>
              <w:jc w:val="both"/>
              <w:rPr>
                <w:rFonts w:cs="Arial"/>
                <w:color w:val="000000"/>
                <w:sz w:val="20"/>
                <w:szCs w:val="20"/>
              </w:rPr>
            </w:pPr>
            <w:r>
              <w:rPr>
                <w:color w:val="000000"/>
                <w:sz w:val="20"/>
              </w:rPr>
              <w:t>Тверді частинки</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6 674</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95,7</w:t>
            </w:r>
          </w:p>
        </w:tc>
        <w:tc>
          <w:tcPr>
            <w:tcW w:w="135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606 615,34</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107,9</w:t>
            </w:r>
          </w:p>
        </w:tc>
        <w:tc>
          <w:tcPr>
            <w:tcW w:w="171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44 548,537</w:t>
            </w:r>
          </w:p>
        </w:tc>
        <w:tc>
          <w:tcPr>
            <w:tcW w:w="996"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13,9</w:t>
            </w:r>
          </w:p>
        </w:tc>
      </w:tr>
      <w:tr w:rsidR="00642FB4">
        <w:trPr>
          <w:trHeight w:val="283"/>
        </w:trPr>
        <w:tc>
          <w:tcPr>
            <w:tcW w:w="2520" w:type="dxa"/>
            <w:shd w:val="clear" w:color="auto" w:fill="auto"/>
          </w:tcPr>
          <w:p w:rsidR="00642FB4" w:rsidRDefault="00642FB4">
            <w:pPr>
              <w:widowControl w:val="0"/>
              <w:autoSpaceDE w:val="0"/>
              <w:autoSpaceDN w:val="0"/>
              <w:adjustRightInd w:val="0"/>
              <w:contextualSpacing/>
              <w:jc w:val="both"/>
              <w:rPr>
                <w:rFonts w:cs="Arial"/>
                <w:color w:val="000000"/>
                <w:sz w:val="20"/>
                <w:szCs w:val="20"/>
              </w:rPr>
            </w:pPr>
            <w:r>
              <w:rPr>
                <w:color w:val="000000"/>
                <w:sz w:val="20"/>
              </w:rPr>
              <w:t>Оксиди азоту</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7 906</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95,7</w:t>
            </w:r>
          </w:p>
        </w:tc>
        <w:tc>
          <w:tcPr>
            <w:tcW w:w="135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381 882,87</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110,9</w:t>
            </w:r>
          </w:p>
        </w:tc>
        <w:tc>
          <w:tcPr>
            <w:tcW w:w="171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37 631,951</w:t>
            </w:r>
          </w:p>
        </w:tc>
        <w:tc>
          <w:tcPr>
            <w:tcW w:w="996"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8,7</w:t>
            </w:r>
          </w:p>
        </w:tc>
      </w:tr>
      <w:tr w:rsidR="00642FB4">
        <w:trPr>
          <w:trHeight w:val="229"/>
        </w:trPr>
        <w:tc>
          <w:tcPr>
            <w:tcW w:w="2520" w:type="dxa"/>
            <w:shd w:val="clear" w:color="auto" w:fill="auto"/>
          </w:tcPr>
          <w:p w:rsidR="00642FB4" w:rsidRDefault="00642FB4">
            <w:pPr>
              <w:widowControl w:val="0"/>
              <w:autoSpaceDE w:val="0"/>
              <w:autoSpaceDN w:val="0"/>
              <w:adjustRightInd w:val="0"/>
              <w:contextualSpacing/>
              <w:jc w:val="both"/>
              <w:rPr>
                <w:rFonts w:cs="Arial"/>
                <w:color w:val="000000"/>
                <w:sz w:val="20"/>
                <w:szCs w:val="20"/>
              </w:rPr>
            </w:pPr>
            <w:r>
              <w:rPr>
                <w:color w:val="000000"/>
                <w:sz w:val="20"/>
              </w:rPr>
              <w:t>Оксиди сірки</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4 306</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96,9</w:t>
            </w:r>
          </w:p>
        </w:tc>
        <w:tc>
          <w:tcPr>
            <w:tcW w:w="135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1 342 561,9</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110,4</w:t>
            </w:r>
          </w:p>
        </w:tc>
        <w:tc>
          <w:tcPr>
            <w:tcW w:w="171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126 689,053</w:t>
            </w:r>
          </w:p>
        </w:tc>
        <w:tc>
          <w:tcPr>
            <w:tcW w:w="996"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30,7</w:t>
            </w:r>
          </w:p>
        </w:tc>
      </w:tr>
      <w:tr w:rsidR="00642FB4">
        <w:trPr>
          <w:trHeight w:val="283"/>
        </w:trPr>
        <w:tc>
          <w:tcPr>
            <w:tcW w:w="2520" w:type="dxa"/>
            <w:shd w:val="clear" w:color="auto" w:fill="auto"/>
          </w:tcPr>
          <w:p w:rsidR="00642FB4" w:rsidRDefault="00642FB4">
            <w:pPr>
              <w:widowControl w:val="0"/>
              <w:autoSpaceDE w:val="0"/>
              <w:autoSpaceDN w:val="0"/>
              <w:adjustRightInd w:val="0"/>
              <w:contextualSpacing/>
              <w:jc w:val="both"/>
              <w:rPr>
                <w:rFonts w:cs="Arial"/>
                <w:color w:val="000000"/>
                <w:sz w:val="20"/>
                <w:szCs w:val="20"/>
              </w:rPr>
            </w:pPr>
            <w:r>
              <w:rPr>
                <w:color w:val="000000"/>
                <w:sz w:val="20"/>
              </w:rPr>
              <w:t>Монооксид вуглецю</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7 400</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96,0</w:t>
            </w:r>
          </w:p>
        </w:tc>
        <w:tc>
          <w:tcPr>
            <w:tcW w:w="135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1 066 118,4</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100,2</w:t>
            </w:r>
          </w:p>
        </w:tc>
        <w:tc>
          <w:tcPr>
            <w:tcW w:w="171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2 287,411</w:t>
            </w:r>
          </w:p>
        </w:tc>
        <w:tc>
          <w:tcPr>
            <w:tcW w:w="996"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24,4</w:t>
            </w:r>
          </w:p>
        </w:tc>
      </w:tr>
      <w:tr w:rsidR="00642FB4">
        <w:trPr>
          <w:trHeight w:val="283"/>
        </w:trPr>
        <w:tc>
          <w:tcPr>
            <w:tcW w:w="2520" w:type="dxa"/>
            <w:shd w:val="clear" w:color="auto" w:fill="auto"/>
          </w:tcPr>
          <w:p w:rsidR="00642FB4" w:rsidRDefault="00642FB4">
            <w:pPr>
              <w:widowControl w:val="0"/>
              <w:autoSpaceDE w:val="0"/>
              <w:autoSpaceDN w:val="0"/>
              <w:adjustRightInd w:val="0"/>
              <w:contextualSpacing/>
              <w:jc w:val="both"/>
              <w:rPr>
                <w:rFonts w:cs="Arial"/>
                <w:color w:val="000000"/>
                <w:sz w:val="20"/>
                <w:szCs w:val="20"/>
              </w:rPr>
            </w:pPr>
            <w:r>
              <w:rPr>
                <w:color w:val="000000"/>
                <w:sz w:val="20"/>
              </w:rPr>
              <w:t>Озон</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68</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107,9</w:t>
            </w:r>
          </w:p>
        </w:tc>
        <w:tc>
          <w:tcPr>
            <w:tcW w:w="135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14,783</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105,1</w:t>
            </w:r>
          </w:p>
        </w:tc>
        <w:tc>
          <w:tcPr>
            <w:tcW w:w="171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0,712</w:t>
            </w:r>
          </w:p>
        </w:tc>
        <w:tc>
          <w:tcPr>
            <w:tcW w:w="996"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0,0</w:t>
            </w:r>
          </w:p>
        </w:tc>
      </w:tr>
      <w:tr w:rsidR="00642FB4">
        <w:trPr>
          <w:trHeight w:val="454"/>
        </w:trPr>
        <w:tc>
          <w:tcPr>
            <w:tcW w:w="2520" w:type="dxa"/>
            <w:shd w:val="clear" w:color="auto" w:fill="auto"/>
          </w:tcPr>
          <w:p w:rsidR="00642FB4" w:rsidRDefault="00642FB4">
            <w:pPr>
              <w:widowControl w:val="0"/>
              <w:autoSpaceDE w:val="0"/>
              <w:autoSpaceDN w:val="0"/>
              <w:adjustRightInd w:val="0"/>
              <w:contextualSpacing/>
              <w:jc w:val="both"/>
              <w:rPr>
                <w:rFonts w:cs="Arial"/>
                <w:color w:val="000000"/>
                <w:sz w:val="20"/>
                <w:szCs w:val="20"/>
              </w:rPr>
            </w:pPr>
            <w:r>
              <w:rPr>
                <w:color w:val="000000"/>
                <w:sz w:val="20"/>
              </w:rPr>
              <w:t>Неметанові леткі органічні сполуки (НМЛОС)</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5 179</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94,7</w:t>
            </w:r>
          </w:p>
        </w:tc>
        <w:tc>
          <w:tcPr>
            <w:tcW w:w="135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65 213,128</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98,8</w:t>
            </w:r>
          </w:p>
        </w:tc>
        <w:tc>
          <w:tcPr>
            <w:tcW w:w="171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- 802,787</w:t>
            </w:r>
          </w:p>
        </w:tc>
        <w:tc>
          <w:tcPr>
            <w:tcW w:w="996"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1,5</w:t>
            </w:r>
          </w:p>
        </w:tc>
      </w:tr>
      <w:tr w:rsidR="00642FB4">
        <w:trPr>
          <w:trHeight w:val="233"/>
        </w:trPr>
        <w:tc>
          <w:tcPr>
            <w:tcW w:w="2520" w:type="dxa"/>
            <w:shd w:val="clear" w:color="auto" w:fill="auto"/>
          </w:tcPr>
          <w:p w:rsidR="00642FB4" w:rsidRDefault="00642FB4">
            <w:pPr>
              <w:widowControl w:val="0"/>
              <w:autoSpaceDE w:val="0"/>
              <w:autoSpaceDN w:val="0"/>
              <w:adjustRightInd w:val="0"/>
              <w:contextualSpacing/>
              <w:jc w:val="both"/>
              <w:rPr>
                <w:rFonts w:cs="Arial"/>
                <w:color w:val="000000"/>
                <w:sz w:val="20"/>
                <w:szCs w:val="20"/>
              </w:rPr>
            </w:pPr>
            <w:r>
              <w:rPr>
                <w:color w:val="000000"/>
                <w:sz w:val="20"/>
              </w:rPr>
              <w:t>Формальдегід</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404</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101,3</w:t>
            </w:r>
          </w:p>
        </w:tc>
        <w:tc>
          <w:tcPr>
            <w:tcW w:w="135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284,405</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109,4</w:t>
            </w:r>
          </w:p>
        </w:tc>
        <w:tc>
          <w:tcPr>
            <w:tcW w:w="171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24,369</w:t>
            </w:r>
          </w:p>
        </w:tc>
        <w:tc>
          <w:tcPr>
            <w:tcW w:w="996"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0,0</w:t>
            </w:r>
          </w:p>
        </w:tc>
      </w:tr>
      <w:tr w:rsidR="00642FB4">
        <w:trPr>
          <w:trHeight w:val="260"/>
        </w:trPr>
        <w:tc>
          <w:tcPr>
            <w:tcW w:w="2520" w:type="dxa"/>
            <w:shd w:val="clear" w:color="auto" w:fill="auto"/>
          </w:tcPr>
          <w:p w:rsidR="00642FB4" w:rsidRDefault="00642FB4">
            <w:pPr>
              <w:widowControl w:val="0"/>
              <w:autoSpaceDE w:val="0"/>
              <w:autoSpaceDN w:val="0"/>
              <w:adjustRightInd w:val="0"/>
              <w:contextualSpacing/>
              <w:jc w:val="both"/>
              <w:rPr>
                <w:rFonts w:cs="Arial"/>
                <w:color w:val="000000"/>
                <w:sz w:val="20"/>
                <w:szCs w:val="20"/>
              </w:rPr>
            </w:pPr>
            <w:r>
              <w:rPr>
                <w:color w:val="000000"/>
                <w:sz w:val="20"/>
              </w:rPr>
              <w:t>Метан</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4 005</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100,7</w:t>
            </w:r>
          </w:p>
        </w:tc>
        <w:tc>
          <w:tcPr>
            <w:tcW w:w="135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878 159,56</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103,9</w:t>
            </w:r>
          </w:p>
        </w:tc>
        <w:tc>
          <w:tcPr>
            <w:tcW w:w="171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33 341,908</w:t>
            </w:r>
          </w:p>
        </w:tc>
        <w:tc>
          <w:tcPr>
            <w:tcW w:w="996"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20,1</w:t>
            </w:r>
          </w:p>
        </w:tc>
      </w:tr>
      <w:tr w:rsidR="00642FB4">
        <w:trPr>
          <w:trHeight w:val="391"/>
        </w:trPr>
        <w:tc>
          <w:tcPr>
            <w:tcW w:w="2520" w:type="dxa"/>
            <w:shd w:val="clear" w:color="auto" w:fill="auto"/>
          </w:tcPr>
          <w:p w:rsidR="00642FB4" w:rsidRDefault="00642FB4">
            <w:pPr>
              <w:widowControl w:val="0"/>
              <w:autoSpaceDE w:val="0"/>
              <w:autoSpaceDN w:val="0"/>
              <w:adjustRightInd w:val="0"/>
              <w:contextualSpacing/>
              <w:jc w:val="both"/>
              <w:rPr>
                <w:rFonts w:cs="Arial"/>
                <w:color w:val="000000"/>
                <w:sz w:val="20"/>
                <w:szCs w:val="20"/>
              </w:rPr>
            </w:pPr>
            <w:r>
              <w:rPr>
                <w:color w:val="000000"/>
                <w:sz w:val="20"/>
              </w:rPr>
              <w:t xml:space="preserve">Стійкі органічні забруднювачі  </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153</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90</w:t>
            </w:r>
          </w:p>
        </w:tc>
        <w:tc>
          <w:tcPr>
            <w:tcW w:w="135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266,938</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59,9</w:t>
            </w:r>
          </w:p>
        </w:tc>
        <w:tc>
          <w:tcPr>
            <w:tcW w:w="171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-178,618</w:t>
            </w:r>
          </w:p>
        </w:tc>
        <w:tc>
          <w:tcPr>
            <w:tcW w:w="996"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0,0</w:t>
            </w:r>
          </w:p>
        </w:tc>
      </w:tr>
      <w:tr w:rsidR="00642FB4">
        <w:trPr>
          <w:trHeight w:val="238"/>
        </w:trPr>
        <w:tc>
          <w:tcPr>
            <w:tcW w:w="2520" w:type="dxa"/>
            <w:shd w:val="clear" w:color="auto" w:fill="auto"/>
          </w:tcPr>
          <w:p w:rsidR="00642FB4" w:rsidRDefault="00642FB4">
            <w:pPr>
              <w:widowControl w:val="0"/>
              <w:autoSpaceDE w:val="0"/>
              <w:autoSpaceDN w:val="0"/>
              <w:adjustRightInd w:val="0"/>
              <w:contextualSpacing/>
              <w:jc w:val="both"/>
              <w:rPr>
                <w:rFonts w:cs="Arial"/>
                <w:color w:val="000000"/>
                <w:sz w:val="20"/>
                <w:szCs w:val="20"/>
              </w:rPr>
            </w:pPr>
            <w:r>
              <w:rPr>
                <w:color w:val="000000"/>
                <w:sz w:val="20"/>
              </w:rPr>
              <w:t>Бензо (а) пірен</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32</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100</w:t>
            </w:r>
          </w:p>
        </w:tc>
        <w:tc>
          <w:tcPr>
            <w:tcW w:w="135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0,773</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100,8</w:t>
            </w:r>
          </w:p>
        </w:tc>
        <w:tc>
          <w:tcPr>
            <w:tcW w:w="171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0,006</w:t>
            </w:r>
          </w:p>
        </w:tc>
        <w:tc>
          <w:tcPr>
            <w:tcW w:w="996"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0,0</w:t>
            </w:r>
          </w:p>
        </w:tc>
      </w:tr>
      <w:tr w:rsidR="00642FB4">
        <w:trPr>
          <w:trHeight w:val="202"/>
        </w:trPr>
        <w:tc>
          <w:tcPr>
            <w:tcW w:w="2520" w:type="dxa"/>
            <w:shd w:val="clear" w:color="auto" w:fill="auto"/>
          </w:tcPr>
          <w:p w:rsidR="00642FB4" w:rsidRDefault="00642FB4">
            <w:pPr>
              <w:widowControl w:val="0"/>
              <w:autoSpaceDE w:val="0"/>
              <w:autoSpaceDN w:val="0"/>
              <w:adjustRightInd w:val="0"/>
              <w:ind w:right="-103"/>
              <w:contextualSpacing/>
              <w:jc w:val="both"/>
              <w:rPr>
                <w:rFonts w:cs="Arial"/>
                <w:color w:val="000000"/>
                <w:sz w:val="20"/>
                <w:szCs w:val="20"/>
              </w:rPr>
            </w:pPr>
            <w:r>
              <w:rPr>
                <w:color w:val="000000"/>
                <w:sz w:val="20"/>
              </w:rPr>
              <w:t>Фтор і сполуки фтору</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734</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96,6</w:t>
            </w:r>
          </w:p>
        </w:tc>
        <w:tc>
          <w:tcPr>
            <w:tcW w:w="135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209,61</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72,2</w:t>
            </w:r>
          </w:p>
        </w:tc>
        <w:tc>
          <w:tcPr>
            <w:tcW w:w="171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-80,82</w:t>
            </w:r>
          </w:p>
        </w:tc>
        <w:tc>
          <w:tcPr>
            <w:tcW w:w="996"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0,0</w:t>
            </w:r>
          </w:p>
        </w:tc>
      </w:tr>
      <w:tr w:rsidR="00642FB4">
        <w:trPr>
          <w:trHeight w:val="283"/>
        </w:trPr>
        <w:tc>
          <w:tcPr>
            <w:tcW w:w="2520" w:type="dxa"/>
            <w:shd w:val="clear" w:color="auto" w:fill="auto"/>
          </w:tcPr>
          <w:p w:rsidR="00642FB4" w:rsidRDefault="00642FB4">
            <w:pPr>
              <w:pStyle w:val="HTMLPreformatted"/>
              <w:jc w:val="both"/>
              <w:rPr>
                <w:rFonts w:cs="Arial"/>
                <w:color w:val="000000"/>
              </w:rPr>
            </w:pPr>
            <w:r>
              <w:rPr>
                <w:rFonts w:ascii="Arial" w:hAnsi="Arial"/>
                <w:color w:val="000000"/>
              </w:rPr>
              <w:t>Ціанід</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73</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104,3</w:t>
            </w:r>
          </w:p>
        </w:tc>
        <w:tc>
          <w:tcPr>
            <w:tcW w:w="135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272,795</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106,3</w:t>
            </w:r>
          </w:p>
        </w:tc>
        <w:tc>
          <w:tcPr>
            <w:tcW w:w="171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16,183</w:t>
            </w:r>
          </w:p>
        </w:tc>
        <w:tc>
          <w:tcPr>
            <w:tcW w:w="996"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0,0</w:t>
            </w:r>
          </w:p>
        </w:tc>
      </w:tr>
      <w:tr w:rsidR="00642FB4">
        <w:trPr>
          <w:trHeight w:val="179"/>
        </w:trPr>
        <w:tc>
          <w:tcPr>
            <w:tcW w:w="2520" w:type="dxa"/>
            <w:shd w:val="clear" w:color="auto" w:fill="auto"/>
          </w:tcPr>
          <w:p w:rsidR="00642FB4" w:rsidRDefault="00642FB4">
            <w:pPr>
              <w:widowControl w:val="0"/>
              <w:autoSpaceDE w:val="0"/>
              <w:autoSpaceDN w:val="0"/>
              <w:adjustRightInd w:val="0"/>
              <w:contextualSpacing/>
              <w:jc w:val="both"/>
              <w:rPr>
                <w:rFonts w:cs="Arial"/>
                <w:color w:val="000000"/>
                <w:sz w:val="20"/>
                <w:szCs w:val="20"/>
              </w:rPr>
            </w:pPr>
            <w:r>
              <w:rPr>
                <w:color w:val="000000"/>
                <w:sz w:val="20"/>
              </w:rPr>
              <w:t>Фреон</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212</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104,4</w:t>
            </w:r>
          </w:p>
        </w:tc>
        <w:tc>
          <w:tcPr>
            <w:tcW w:w="135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80,534</w:t>
            </w:r>
          </w:p>
        </w:tc>
        <w:tc>
          <w:tcPr>
            <w:tcW w:w="90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74,7</w:t>
            </w:r>
          </w:p>
        </w:tc>
        <w:tc>
          <w:tcPr>
            <w:tcW w:w="1710"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-27,238</w:t>
            </w:r>
          </w:p>
        </w:tc>
        <w:tc>
          <w:tcPr>
            <w:tcW w:w="996" w:type="dxa"/>
            <w:shd w:val="clear" w:color="auto" w:fill="auto"/>
          </w:tcPr>
          <w:p w:rsidR="00642FB4" w:rsidRDefault="00642FB4">
            <w:pPr>
              <w:widowControl w:val="0"/>
              <w:autoSpaceDE w:val="0"/>
              <w:autoSpaceDN w:val="0"/>
              <w:adjustRightInd w:val="0"/>
              <w:contextualSpacing/>
              <w:jc w:val="right"/>
              <w:rPr>
                <w:rFonts w:cs="Arial"/>
                <w:color w:val="000000"/>
                <w:sz w:val="20"/>
                <w:szCs w:val="20"/>
              </w:rPr>
            </w:pPr>
            <w:r>
              <w:rPr>
                <w:color w:val="000000"/>
                <w:sz w:val="20"/>
              </w:rPr>
              <w:t>0,0</w:t>
            </w:r>
          </w:p>
        </w:tc>
      </w:tr>
    </w:tbl>
    <w:p w:rsidR="00642FB4" w:rsidRDefault="00642FB4">
      <w:pPr>
        <w:pStyle w:val="HTMLPreformatted"/>
        <w:jc w:val="both"/>
        <w:rPr>
          <w:rFonts w:ascii="Arial" w:hAnsi="Arial" w:cs="Arial"/>
          <w:sz w:val="24"/>
          <w:szCs w:val="24"/>
        </w:rPr>
      </w:pPr>
    </w:p>
    <w:p w:rsidR="00642FB4" w:rsidRDefault="00642FB4">
      <w:pPr>
        <w:pStyle w:val="HTMLPreformatted"/>
        <w:jc w:val="both"/>
        <w:rPr>
          <w:rFonts w:ascii="Arial" w:hAnsi="Arial" w:cs="Arial"/>
          <w:sz w:val="24"/>
          <w:szCs w:val="24"/>
        </w:rPr>
      </w:pPr>
    </w:p>
    <w:p w:rsidR="00642FB4" w:rsidRDefault="00642FB4">
      <w:pPr>
        <w:pStyle w:val="HTMLPreformatted"/>
        <w:jc w:val="both"/>
        <w:rPr>
          <w:rFonts w:ascii="Arial" w:hAnsi="Arial" w:cs="Arial"/>
          <w:sz w:val="24"/>
          <w:szCs w:val="24"/>
        </w:rPr>
      </w:pPr>
    </w:p>
    <w:p w:rsidR="00642FB4" w:rsidRDefault="00642FB4">
      <w:pPr>
        <w:pStyle w:val="HTMLPreformatted"/>
        <w:jc w:val="both"/>
        <w:rPr>
          <w:rFonts w:ascii="Arial" w:hAnsi="Arial" w:cs="Arial"/>
          <w:sz w:val="24"/>
          <w:szCs w:val="24"/>
        </w:rPr>
      </w:pPr>
    </w:p>
    <w:p w:rsidR="00642FB4" w:rsidRDefault="00642FB4">
      <w:pPr>
        <w:pStyle w:val="HTMLPreformatted"/>
        <w:ind w:firstLine="720"/>
        <w:jc w:val="both"/>
        <w:rPr>
          <w:rFonts w:ascii="Arial" w:hAnsi="Arial" w:cs="Arial"/>
          <w:b/>
          <w:sz w:val="24"/>
          <w:szCs w:val="24"/>
          <w:u w:val="single"/>
        </w:rPr>
      </w:pPr>
      <w:r>
        <w:rPr>
          <w:rFonts w:ascii="Arial" w:hAnsi="Arial"/>
          <w:b/>
          <w:sz w:val="24"/>
          <w:u w:val="single"/>
        </w:rPr>
        <w:t>Промислові джерела</w:t>
      </w:r>
    </w:p>
    <w:p w:rsidR="00642FB4" w:rsidRDefault="00642FB4">
      <w:pPr>
        <w:pStyle w:val="HTMLPreformatted"/>
        <w:spacing w:before="60" w:after="60" w:line="312" w:lineRule="auto"/>
        <w:ind w:firstLine="720"/>
        <w:jc w:val="both"/>
        <w:rPr>
          <w:rFonts w:ascii="Arial" w:hAnsi="Arial" w:cs="Arial"/>
          <w:sz w:val="24"/>
          <w:szCs w:val="24"/>
        </w:rPr>
      </w:pPr>
      <w:r>
        <w:rPr>
          <w:rFonts w:ascii="Arial" w:hAnsi="Arial"/>
          <w:sz w:val="24"/>
        </w:rPr>
        <w:t xml:space="preserve">В Україні загальний обсяг викидів від промислових джерел складає приблизно 25,2%, на 2,3% більше ніж у 2010 році. Після переробної промисловості, гірничодобувна промисловість представляє 19,6% від загального обсягу викидів, що на 0,5% більше, ніж у попередньому році, відповідно до </w:t>
      </w:r>
      <w:r>
        <w:rPr>
          <w:rFonts w:ascii="Arial" w:hAnsi="Arial"/>
          <w:b/>
          <w:sz w:val="24"/>
        </w:rPr>
        <w:t>таблиці 4.6.4.</w:t>
      </w:r>
    </w:p>
    <w:p w:rsidR="00642FB4" w:rsidRDefault="00642FB4">
      <w:pPr>
        <w:pStyle w:val="HTMLPreformatted"/>
        <w:jc w:val="both"/>
        <w:rPr>
          <w:rFonts w:ascii="Arial" w:hAnsi="Arial" w:cs="Arial"/>
          <w:sz w:val="24"/>
          <w:szCs w:val="24"/>
        </w:rPr>
      </w:pPr>
      <w:r>
        <w:rPr>
          <w:rFonts w:ascii="Arial" w:hAnsi="Arial"/>
          <w:sz w:val="24"/>
        </w:rPr>
        <w:t xml:space="preserve"> </w:t>
      </w:r>
    </w:p>
    <w:p w:rsidR="00642FB4" w:rsidRDefault="00642FB4">
      <w:pPr>
        <w:autoSpaceDE w:val="0"/>
        <w:autoSpaceDN w:val="0"/>
        <w:adjustRightInd w:val="0"/>
        <w:spacing w:before="60" w:after="60" w:line="288" w:lineRule="auto"/>
        <w:ind w:left="360"/>
        <w:jc w:val="center"/>
        <w:rPr>
          <w:rFonts w:eastAsia="Calibri" w:cs="Arial"/>
          <w:b/>
          <w:bCs/>
          <w:i/>
          <w:sz w:val="22"/>
          <w:szCs w:val="22"/>
        </w:rPr>
      </w:pPr>
      <w:r>
        <w:rPr>
          <w:b/>
          <w:i/>
          <w:sz w:val="22"/>
        </w:rPr>
        <w:t xml:space="preserve">Таблиця 4.6.4  </w:t>
      </w:r>
      <w:r>
        <w:t>Викиди забруднюючих речовин від промислових джерел</w:t>
      </w:r>
    </w:p>
    <w:tbl>
      <w:tblPr>
        <w:tblW w:w="9401" w:type="dxa"/>
        <w:jc w:val="center"/>
        <w:tblLayout w:type="fixed"/>
        <w:tblLook w:val="01E0" w:firstRow="1" w:lastRow="1" w:firstColumn="1" w:lastColumn="1" w:noHBand="0" w:noVBand="0"/>
      </w:tblPr>
      <w:tblGrid>
        <w:gridCol w:w="4033"/>
        <w:gridCol w:w="1138"/>
        <w:gridCol w:w="990"/>
        <w:gridCol w:w="990"/>
        <w:gridCol w:w="1350"/>
        <w:gridCol w:w="900"/>
      </w:tblGrid>
      <w:tr w:rsidR="00642FB4">
        <w:trPr>
          <w:trHeight w:val="136"/>
          <w:tblHeader/>
          <w:jc w:val="center"/>
        </w:trPr>
        <w:tc>
          <w:tcPr>
            <w:tcW w:w="403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both"/>
              <w:rPr>
                <w:rFonts w:cs="Arial"/>
                <w:b/>
                <w:bCs/>
                <w:sz w:val="20"/>
                <w:szCs w:val="20"/>
              </w:rPr>
            </w:pPr>
            <w:r>
              <w:rPr>
                <w:b/>
                <w:sz w:val="20"/>
              </w:rPr>
              <w:t>Галузь</w:t>
            </w:r>
          </w:p>
        </w:tc>
        <w:tc>
          <w:tcPr>
            <w:tcW w:w="113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both"/>
              <w:rPr>
                <w:rFonts w:cs="Arial"/>
                <w:b/>
                <w:bCs/>
                <w:sz w:val="20"/>
                <w:szCs w:val="20"/>
              </w:rPr>
            </w:pPr>
            <w:r>
              <w:rPr>
                <w:b/>
                <w:sz w:val="20"/>
              </w:rPr>
              <w:t>Кількість</w:t>
            </w:r>
          </w:p>
          <w:p w:rsidR="00642FB4" w:rsidRDefault="00742B3C">
            <w:pPr>
              <w:autoSpaceDE w:val="0"/>
              <w:autoSpaceDN w:val="0"/>
              <w:adjustRightInd w:val="0"/>
              <w:jc w:val="both"/>
              <w:rPr>
                <w:rFonts w:cs="Arial"/>
                <w:b/>
                <w:bCs/>
                <w:sz w:val="20"/>
                <w:szCs w:val="20"/>
              </w:rPr>
            </w:pPr>
            <w:r>
              <w:rPr>
                <w:b/>
                <w:sz w:val="20"/>
              </w:rPr>
              <w:t>К</w:t>
            </w:r>
            <w:r w:rsidR="00642FB4">
              <w:rPr>
                <w:b/>
                <w:sz w:val="20"/>
              </w:rPr>
              <w:t>омпаній</w:t>
            </w:r>
          </w:p>
        </w:tc>
        <w:tc>
          <w:tcPr>
            <w:tcW w:w="423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both"/>
              <w:rPr>
                <w:rFonts w:cs="Arial"/>
                <w:b/>
                <w:bCs/>
                <w:sz w:val="20"/>
                <w:szCs w:val="20"/>
              </w:rPr>
            </w:pPr>
            <w:r>
              <w:rPr>
                <w:b/>
                <w:sz w:val="20"/>
              </w:rPr>
              <w:t>Викиди</w:t>
            </w:r>
          </w:p>
        </w:tc>
      </w:tr>
      <w:tr w:rsidR="00642FB4">
        <w:trPr>
          <w:trHeight w:val="166"/>
          <w:tblHeader/>
          <w:jc w:val="center"/>
        </w:trPr>
        <w:tc>
          <w:tcPr>
            <w:tcW w:w="4033" w:type="dxa"/>
            <w:vMerge/>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both"/>
              <w:rPr>
                <w:rFonts w:cs="Arial"/>
                <w:b/>
                <w:bCs/>
                <w:sz w:val="20"/>
                <w:szCs w:val="20"/>
              </w:rPr>
            </w:pPr>
          </w:p>
        </w:tc>
        <w:tc>
          <w:tcPr>
            <w:tcW w:w="1138" w:type="dxa"/>
            <w:vMerge/>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both"/>
              <w:rPr>
                <w:rFonts w:cs="Arial"/>
                <w:b/>
                <w:bCs/>
                <w:sz w:val="20"/>
                <w:szCs w:val="20"/>
              </w:rPr>
            </w:pPr>
          </w:p>
        </w:tc>
        <w:tc>
          <w:tcPr>
            <w:tcW w:w="198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both"/>
              <w:rPr>
                <w:rFonts w:cs="Arial"/>
                <w:b/>
                <w:bCs/>
                <w:sz w:val="20"/>
                <w:szCs w:val="20"/>
              </w:rPr>
            </w:pPr>
            <w:r>
              <w:rPr>
                <w:b/>
                <w:sz w:val="20"/>
              </w:rPr>
              <w:t>Забруднюючі речовини</w:t>
            </w:r>
          </w:p>
        </w:tc>
        <w:tc>
          <w:tcPr>
            <w:tcW w:w="22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both"/>
              <w:rPr>
                <w:rFonts w:cs="Arial"/>
                <w:b/>
                <w:bCs/>
                <w:sz w:val="20"/>
                <w:szCs w:val="20"/>
              </w:rPr>
            </w:pPr>
            <w:r>
              <w:rPr>
                <w:b/>
                <w:sz w:val="20"/>
              </w:rPr>
              <w:t>Діоксид вуглецю</w:t>
            </w:r>
          </w:p>
        </w:tc>
      </w:tr>
      <w:tr w:rsidR="00642FB4">
        <w:trPr>
          <w:trHeight w:val="166"/>
          <w:tblHeader/>
          <w:jc w:val="center"/>
        </w:trPr>
        <w:tc>
          <w:tcPr>
            <w:tcW w:w="4033" w:type="dxa"/>
            <w:vMerge/>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both"/>
              <w:rPr>
                <w:rFonts w:cs="Arial"/>
                <w:b/>
                <w:bCs/>
                <w:sz w:val="20"/>
                <w:szCs w:val="20"/>
              </w:rPr>
            </w:pPr>
          </w:p>
        </w:tc>
        <w:tc>
          <w:tcPr>
            <w:tcW w:w="1138" w:type="dxa"/>
            <w:vMerge/>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both"/>
              <w:rPr>
                <w:rFonts w:cs="Arial"/>
                <w:b/>
                <w:bCs/>
                <w:sz w:val="20"/>
                <w:szCs w:val="20"/>
              </w:rPr>
            </w:pP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both"/>
              <w:rPr>
                <w:rFonts w:cs="Arial"/>
                <w:b/>
                <w:bCs/>
                <w:sz w:val="20"/>
                <w:szCs w:val="20"/>
              </w:rPr>
            </w:pPr>
            <w:r>
              <w:rPr>
                <w:b/>
                <w:sz w:val="20"/>
              </w:rPr>
              <w:t>Тисячі тонн</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both"/>
              <w:rPr>
                <w:rFonts w:cs="Arial"/>
                <w:b/>
                <w:bCs/>
                <w:sz w:val="20"/>
                <w:szCs w:val="20"/>
              </w:rPr>
            </w:pPr>
            <w:r>
              <w:rPr>
                <w:b/>
                <w:sz w:val="20"/>
              </w:rPr>
              <w:t>(%)</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both"/>
              <w:rPr>
                <w:rFonts w:cs="Arial"/>
                <w:b/>
                <w:bCs/>
                <w:sz w:val="20"/>
                <w:szCs w:val="20"/>
              </w:rPr>
            </w:pPr>
            <w:r>
              <w:rPr>
                <w:b/>
                <w:sz w:val="20"/>
              </w:rPr>
              <w:t>Тисячі тонн</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both"/>
              <w:rPr>
                <w:rFonts w:cs="Arial"/>
                <w:b/>
                <w:bCs/>
                <w:sz w:val="20"/>
                <w:szCs w:val="20"/>
              </w:rPr>
            </w:pPr>
            <w:r>
              <w:rPr>
                <w:b/>
                <w:sz w:val="20"/>
              </w:rPr>
              <w:t>(%)</w:t>
            </w:r>
          </w:p>
        </w:tc>
      </w:tr>
      <w:tr w:rsidR="00642FB4">
        <w:trPr>
          <w:trHeight w:val="260"/>
          <w:jc w:val="center"/>
        </w:trPr>
        <w:tc>
          <w:tcPr>
            <w:tcW w:w="4033" w:type="dxa"/>
            <w:tcBorders>
              <w:top w:val="single" w:sz="4" w:space="0" w:color="auto"/>
              <w:left w:val="single" w:sz="4" w:space="0" w:color="auto"/>
              <w:bottom w:val="single" w:sz="4" w:space="0" w:color="auto"/>
              <w:right w:val="single" w:sz="4" w:space="0" w:color="auto"/>
            </w:tcBorders>
            <w:shd w:val="clear" w:color="auto" w:fill="auto"/>
          </w:tcPr>
          <w:p w:rsidR="00642FB4" w:rsidRDefault="00642FB4">
            <w:pPr>
              <w:autoSpaceDE w:val="0"/>
              <w:autoSpaceDN w:val="0"/>
              <w:adjustRightInd w:val="0"/>
              <w:jc w:val="both"/>
              <w:rPr>
                <w:rFonts w:cs="Arial"/>
                <w:b/>
                <w:bCs/>
                <w:sz w:val="20"/>
                <w:szCs w:val="20"/>
              </w:rPr>
            </w:pPr>
            <w:r>
              <w:rPr>
                <w:sz w:val="20"/>
              </w:rPr>
              <w:t>Землеробство</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946</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72,7</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102,5</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790,5</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121,6</w:t>
            </w:r>
          </w:p>
        </w:tc>
      </w:tr>
      <w:tr w:rsidR="00642FB4">
        <w:trPr>
          <w:trHeight w:val="184"/>
          <w:jc w:val="center"/>
        </w:trPr>
        <w:tc>
          <w:tcPr>
            <w:tcW w:w="4033" w:type="dxa"/>
            <w:tcBorders>
              <w:top w:val="single" w:sz="4" w:space="0" w:color="auto"/>
              <w:left w:val="single" w:sz="4" w:space="0" w:color="auto"/>
              <w:bottom w:val="single" w:sz="4" w:space="0" w:color="auto"/>
              <w:right w:val="single" w:sz="4" w:space="0" w:color="auto"/>
            </w:tcBorders>
            <w:shd w:val="clear" w:color="auto" w:fill="auto"/>
          </w:tcPr>
          <w:p w:rsidR="00642FB4" w:rsidRDefault="00642FB4">
            <w:pPr>
              <w:autoSpaceDE w:val="0"/>
              <w:autoSpaceDN w:val="0"/>
              <w:adjustRightInd w:val="0"/>
              <w:jc w:val="both"/>
              <w:rPr>
                <w:rFonts w:cs="Arial"/>
                <w:b/>
                <w:bCs/>
                <w:sz w:val="20"/>
                <w:szCs w:val="20"/>
              </w:rPr>
            </w:pPr>
            <w:r>
              <w:rPr>
                <w:sz w:val="20"/>
              </w:rPr>
              <w:t>Лісове господарство та пов'язані з ним послуги</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121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91,4</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33,6</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105,1</w:t>
            </w:r>
          </w:p>
        </w:tc>
      </w:tr>
      <w:tr w:rsidR="00642FB4">
        <w:trPr>
          <w:trHeight w:val="126"/>
          <w:jc w:val="center"/>
        </w:trPr>
        <w:tc>
          <w:tcPr>
            <w:tcW w:w="4033" w:type="dxa"/>
            <w:tcBorders>
              <w:top w:val="single" w:sz="4" w:space="0" w:color="auto"/>
              <w:left w:val="single" w:sz="4" w:space="0" w:color="auto"/>
              <w:bottom w:val="single" w:sz="4" w:space="0" w:color="auto"/>
              <w:right w:val="single" w:sz="4" w:space="0" w:color="auto"/>
            </w:tcBorders>
            <w:shd w:val="clear" w:color="auto" w:fill="auto"/>
          </w:tcPr>
          <w:p w:rsidR="00642FB4" w:rsidRDefault="00642FB4">
            <w:pPr>
              <w:autoSpaceDE w:val="0"/>
              <w:autoSpaceDN w:val="0"/>
              <w:adjustRightInd w:val="0"/>
              <w:jc w:val="both"/>
              <w:rPr>
                <w:rFonts w:cs="Arial"/>
                <w:b/>
                <w:bCs/>
                <w:sz w:val="20"/>
                <w:szCs w:val="20"/>
              </w:rPr>
            </w:pPr>
            <w:r>
              <w:rPr>
                <w:sz w:val="20"/>
              </w:rPr>
              <w:t>Риболовля</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12</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0,1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81,7</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0,5</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eastAsia="TimesNewRomanPSMT" w:cs="Arial"/>
                <w:sz w:val="20"/>
                <w:szCs w:val="20"/>
              </w:rPr>
            </w:pPr>
            <w:r>
              <w:rPr>
                <w:sz w:val="20"/>
              </w:rPr>
              <w:t>327,4</w:t>
            </w:r>
          </w:p>
        </w:tc>
      </w:tr>
      <w:tr w:rsidR="00642FB4">
        <w:trPr>
          <w:trHeight w:val="272"/>
          <w:jc w:val="center"/>
        </w:trPr>
        <w:tc>
          <w:tcPr>
            <w:tcW w:w="4033" w:type="dxa"/>
            <w:tcBorders>
              <w:top w:val="single" w:sz="4" w:space="0" w:color="auto"/>
              <w:left w:val="single" w:sz="4" w:space="0" w:color="auto"/>
              <w:bottom w:val="single" w:sz="4" w:space="0" w:color="auto"/>
              <w:right w:val="single" w:sz="4" w:space="0" w:color="auto"/>
            </w:tcBorders>
            <w:shd w:val="clear" w:color="auto" w:fill="auto"/>
          </w:tcPr>
          <w:p w:rsidR="00642FB4" w:rsidRDefault="00642FB4">
            <w:pPr>
              <w:autoSpaceDE w:val="0"/>
              <w:autoSpaceDN w:val="0"/>
              <w:adjustRightInd w:val="0"/>
              <w:jc w:val="both"/>
              <w:rPr>
                <w:rFonts w:cs="Arial"/>
                <w:b/>
                <w:bCs/>
                <w:sz w:val="20"/>
                <w:szCs w:val="20"/>
              </w:rPr>
            </w:pPr>
            <w:r>
              <w:rPr>
                <w:sz w:val="20"/>
              </w:rPr>
              <w:t>Гірничодобувна промисловість</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511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856,0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100,5</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3 784,9</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156,4</w:t>
            </w:r>
          </w:p>
        </w:tc>
      </w:tr>
      <w:tr w:rsidR="00642FB4">
        <w:trPr>
          <w:trHeight w:val="229"/>
          <w:jc w:val="center"/>
        </w:trPr>
        <w:tc>
          <w:tcPr>
            <w:tcW w:w="4033" w:type="dxa"/>
            <w:tcBorders>
              <w:top w:val="single" w:sz="4" w:space="0" w:color="auto"/>
              <w:left w:val="single" w:sz="4" w:space="0" w:color="auto"/>
              <w:bottom w:val="single" w:sz="4" w:space="0" w:color="auto"/>
              <w:right w:val="single" w:sz="4" w:space="0" w:color="auto"/>
            </w:tcBorders>
            <w:shd w:val="clear" w:color="auto" w:fill="auto"/>
          </w:tcPr>
          <w:p w:rsidR="00642FB4" w:rsidRDefault="00642FB4">
            <w:pPr>
              <w:autoSpaceDE w:val="0"/>
              <w:autoSpaceDN w:val="0"/>
              <w:adjustRightInd w:val="0"/>
              <w:ind w:left="360"/>
              <w:jc w:val="both"/>
              <w:rPr>
                <w:rFonts w:cs="Arial"/>
                <w:b/>
                <w:bCs/>
                <w:sz w:val="20"/>
                <w:szCs w:val="20"/>
              </w:rPr>
            </w:pPr>
            <w:r>
              <w:rPr>
                <w:sz w:val="20"/>
              </w:rPr>
              <w:t>Видобуток викопного палива</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258</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743,2</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100,7</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2 329,7</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110,2</w:t>
            </w:r>
          </w:p>
        </w:tc>
      </w:tr>
      <w:tr w:rsidR="00642FB4">
        <w:trPr>
          <w:trHeight w:val="260"/>
          <w:jc w:val="center"/>
        </w:trPr>
        <w:tc>
          <w:tcPr>
            <w:tcW w:w="4033" w:type="dxa"/>
            <w:tcBorders>
              <w:top w:val="single" w:sz="4" w:space="0" w:color="auto"/>
              <w:left w:val="single" w:sz="4" w:space="0" w:color="auto"/>
              <w:bottom w:val="single" w:sz="4" w:space="0" w:color="auto"/>
              <w:right w:val="single" w:sz="4" w:space="0" w:color="auto"/>
            </w:tcBorders>
            <w:shd w:val="clear" w:color="auto" w:fill="auto"/>
          </w:tcPr>
          <w:p w:rsidR="00642FB4" w:rsidRDefault="00642FB4">
            <w:pPr>
              <w:autoSpaceDE w:val="0"/>
              <w:autoSpaceDN w:val="0"/>
              <w:adjustRightInd w:val="0"/>
              <w:ind w:left="360"/>
              <w:jc w:val="both"/>
              <w:rPr>
                <w:rFonts w:cs="Arial"/>
                <w:b/>
                <w:bCs/>
                <w:sz w:val="20"/>
                <w:szCs w:val="20"/>
              </w:rPr>
            </w:pPr>
            <w:r>
              <w:rPr>
                <w:sz w:val="20"/>
              </w:rPr>
              <w:t>Корисні копалини</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253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112,8</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99,4</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1 455,2</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476,0</w:t>
            </w:r>
          </w:p>
        </w:tc>
      </w:tr>
      <w:tr w:rsidR="00642FB4">
        <w:trPr>
          <w:trHeight w:val="350"/>
          <w:jc w:val="center"/>
        </w:trPr>
        <w:tc>
          <w:tcPr>
            <w:tcW w:w="4033" w:type="dxa"/>
            <w:tcBorders>
              <w:top w:val="single" w:sz="4" w:space="0" w:color="auto"/>
              <w:left w:val="single" w:sz="4" w:space="0" w:color="auto"/>
              <w:bottom w:val="single" w:sz="4" w:space="0" w:color="auto"/>
              <w:right w:val="single" w:sz="4" w:space="0" w:color="auto"/>
            </w:tcBorders>
            <w:shd w:val="clear" w:color="auto" w:fill="auto"/>
          </w:tcPr>
          <w:p w:rsidR="00642FB4" w:rsidRDefault="00642FB4">
            <w:pPr>
              <w:autoSpaceDE w:val="0"/>
              <w:autoSpaceDN w:val="0"/>
              <w:adjustRightInd w:val="0"/>
              <w:jc w:val="both"/>
              <w:rPr>
                <w:rFonts w:cs="Arial"/>
                <w:b/>
                <w:bCs/>
                <w:sz w:val="20"/>
                <w:szCs w:val="20"/>
              </w:rPr>
            </w:pPr>
            <w:r>
              <w:rPr>
                <w:sz w:val="20"/>
              </w:rPr>
              <w:t>Виробнича промисловість</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3 337</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1 387,3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103,0</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89 501,4</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151,3</w:t>
            </w:r>
          </w:p>
        </w:tc>
      </w:tr>
      <w:tr w:rsidR="00642FB4">
        <w:trPr>
          <w:trHeight w:val="508"/>
          <w:jc w:val="center"/>
        </w:trPr>
        <w:tc>
          <w:tcPr>
            <w:tcW w:w="4033" w:type="dxa"/>
            <w:tcBorders>
              <w:top w:val="single" w:sz="4" w:space="0" w:color="auto"/>
              <w:left w:val="single" w:sz="4" w:space="0" w:color="auto"/>
              <w:bottom w:val="single" w:sz="4" w:space="0" w:color="auto"/>
              <w:right w:val="single" w:sz="4" w:space="0" w:color="auto"/>
            </w:tcBorders>
            <w:shd w:val="clear" w:color="auto" w:fill="auto"/>
          </w:tcPr>
          <w:p w:rsidR="00642FB4" w:rsidRDefault="00642FB4">
            <w:pPr>
              <w:autoSpaceDE w:val="0"/>
              <w:autoSpaceDN w:val="0"/>
              <w:adjustRightInd w:val="0"/>
              <w:ind w:left="360" w:right="-88"/>
              <w:jc w:val="both"/>
              <w:rPr>
                <w:rFonts w:cs="Arial"/>
                <w:b/>
                <w:bCs/>
                <w:sz w:val="20"/>
                <w:szCs w:val="20"/>
              </w:rPr>
            </w:pPr>
            <w:r>
              <w:rPr>
                <w:sz w:val="20"/>
              </w:rPr>
              <w:t>У тому числі виробництво харчових продуктів, напоїв та тютюнових виробів</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1 010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31,9</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97,9</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2 674,3</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107,2</w:t>
            </w:r>
          </w:p>
        </w:tc>
      </w:tr>
      <w:tr w:rsidR="00642FB4">
        <w:trPr>
          <w:trHeight w:val="269"/>
          <w:jc w:val="center"/>
        </w:trPr>
        <w:tc>
          <w:tcPr>
            <w:tcW w:w="4033" w:type="dxa"/>
            <w:tcBorders>
              <w:top w:val="single" w:sz="4" w:space="0" w:color="auto"/>
              <w:left w:val="single" w:sz="4" w:space="0" w:color="auto"/>
              <w:bottom w:val="single" w:sz="4" w:space="0" w:color="auto"/>
              <w:right w:val="single" w:sz="4" w:space="0" w:color="auto"/>
            </w:tcBorders>
            <w:shd w:val="clear" w:color="auto" w:fill="auto"/>
          </w:tcPr>
          <w:p w:rsidR="00642FB4" w:rsidRDefault="00642FB4">
            <w:pPr>
              <w:autoSpaceDE w:val="0"/>
              <w:autoSpaceDN w:val="0"/>
              <w:adjustRightInd w:val="0"/>
              <w:ind w:left="360"/>
              <w:jc w:val="both"/>
              <w:rPr>
                <w:rFonts w:cs="Arial"/>
                <w:b/>
                <w:bCs/>
                <w:sz w:val="20"/>
                <w:szCs w:val="20"/>
              </w:rPr>
            </w:pPr>
            <w:r>
              <w:rPr>
                <w:sz w:val="20"/>
              </w:rPr>
              <w:t>Кокс, продукти нафтоперероблення</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42</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93,2</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107,5</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5 749,9</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99,1</w:t>
            </w:r>
          </w:p>
        </w:tc>
      </w:tr>
      <w:tr w:rsidR="00642FB4">
        <w:trPr>
          <w:trHeight w:val="274"/>
          <w:jc w:val="center"/>
        </w:trPr>
        <w:tc>
          <w:tcPr>
            <w:tcW w:w="4033" w:type="dxa"/>
            <w:tcBorders>
              <w:top w:val="single" w:sz="4" w:space="0" w:color="auto"/>
              <w:left w:val="single" w:sz="4" w:space="0" w:color="auto"/>
              <w:bottom w:val="single" w:sz="4" w:space="0" w:color="auto"/>
              <w:right w:val="single" w:sz="4" w:space="0" w:color="auto"/>
            </w:tcBorders>
            <w:shd w:val="clear" w:color="auto" w:fill="auto"/>
          </w:tcPr>
          <w:p w:rsidR="00642FB4" w:rsidRDefault="00642FB4">
            <w:pPr>
              <w:autoSpaceDE w:val="0"/>
              <w:autoSpaceDN w:val="0"/>
              <w:adjustRightInd w:val="0"/>
              <w:ind w:left="360"/>
              <w:jc w:val="both"/>
              <w:rPr>
                <w:rFonts w:cs="Arial"/>
                <w:b/>
                <w:bCs/>
                <w:sz w:val="20"/>
                <w:szCs w:val="20"/>
              </w:rPr>
            </w:pPr>
            <w:r>
              <w:rPr>
                <w:sz w:val="20"/>
              </w:rPr>
              <w:t>Хімічна та нафтохімічна промисловість</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160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67,8</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106,6</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7 190,7</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124,5</w:t>
            </w:r>
          </w:p>
        </w:tc>
      </w:tr>
      <w:tr w:rsidR="00642FB4">
        <w:trPr>
          <w:trHeight w:val="265"/>
          <w:jc w:val="center"/>
        </w:trPr>
        <w:tc>
          <w:tcPr>
            <w:tcW w:w="4033" w:type="dxa"/>
            <w:tcBorders>
              <w:top w:val="single" w:sz="4" w:space="0" w:color="auto"/>
              <w:left w:val="single" w:sz="4" w:space="0" w:color="auto"/>
              <w:bottom w:val="single" w:sz="4" w:space="0" w:color="auto"/>
              <w:right w:val="single" w:sz="4" w:space="0" w:color="auto"/>
            </w:tcBorders>
            <w:shd w:val="clear" w:color="auto" w:fill="auto"/>
          </w:tcPr>
          <w:p w:rsidR="00642FB4" w:rsidRDefault="00642FB4">
            <w:pPr>
              <w:autoSpaceDE w:val="0"/>
              <w:autoSpaceDN w:val="0"/>
              <w:adjustRightInd w:val="0"/>
              <w:ind w:left="360"/>
              <w:jc w:val="both"/>
              <w:rPr>
                <w:rFonts w:cs="Arial"/>
                <w:b/>
                <w:bCs/>
                <w:sz w:val="20"/>
                <w:szCs w:val="20"/>
              </w:rPr>
            </w:pPr>
            <w:r>
              <w:rPr>
                <w:sz w:val="20"/>
              </w:rPr>
              <w:t>Виробництво неметалевих виробів</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501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55,3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106,3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7 133,9</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200,5</w:t>
            </w:r>
          </w:p>
        </w:tc>
      </w:tr>
      <w:tr w:rsidR="00642FB4">
        <w:trPr>
          <w:trHeight w:val="260"/>
          <w:jc w:val="center"/>
        </w:trPr>
        <w:tc>
          <w:tcPr>
            <w:tcW w:w="4033" w:type="dxa"/>
            <w:tcBorders>
              <w:top w:val="single" w:sz="4" w:space="0" w:color="auto"/>
              <w:left w:val="single" w:sz="4" w:space="0" w:color="auto"/>
              <w:bottom w:val="single" w:sz="4" w:space="0" w:color="auto"/>
              <w:right w:val="single" w:sz="4" w:space="0" w:color="auto"/>
            </w:tcBorders>
            <w:shd w:val="clear" w:color="auto" w:fill="auto"/>
          </w:tcPr>
          <w:p w:rsidR="00642FB4" w:rsidRDefault="00642FB4">
            <w:pPr>
              <w:autoSpaceDE w:val="0"/>
              <w:autoSpaceDN w:val="0"/>
              <w:adjustRightInd w:val="0"/>
              <w:ind w:left="360"/>
              <w:jc w:val="both"/>
              <w:rPr>
                <w:rFonts w:cs="Arial"/>
                <w:b/>
                <w:bCs/>
                <w:sz w:val="20"/>
                <w:szCs w:val="20"/>
              </w:rPr>
            </w:pPr>
            <w:r>
              <w:rPr>
                <w:sz w:val="20"/>
              </w:rPr>
              <w:t>Виробництво металів</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305</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1 102,3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102,3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6.4071,3</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162,3</w:t>
            </w:r>
          </w:p>
        </w:tc>
      </w:tr>
      <w:tr w:rsidR="00642FB4">
        <w:trPr>
          <w:trHeight w:val="260"/>
          <w:jc w:val="center"/>
        </w:trPr>
        <w:tc>
          <w:tcPr>
            <w:tcW w:w="4033" w:type="dxa"/>
            <w:tcBorders>
              <w:top w:val="single" w:sz="4" w:space="0" w:color="auto"/>
              <w:left w:val="single" w:sz="4" w:space="0" w:color="auto"/>
              <w:bottom w:val="single" w:sz="4" w:space="0" w:color="auto"/>
              <w:right w:val="single" w:sz="4" w:space="0" w:color="auto"/>
            </w:tcBorders>
            <w:shd w:val="clear" w:color="auto" w:fill="auto"/>
          </w:tcPr>
          <w:p w:rsidR="00642FB4" w:rsidRDefault="00642FB4">
            <w:pPr>
              <w:autoSpaceDE w:val="0"/>
              <w:autoSpaceDN w:val="0"/>
              <w:adjustRightInd w:val="0"/>
              <w:ind w:left="360"/>
              <w:jc w:val="both"/>
              <w:rPr>
                <w:rFonts w:cs="Arial"/>
                <w:b/>
                <w:bCs/>
                <w:sz w:val="20"/>
                <w:szCs w:val="20"/>
              </w:rPr>
            </w:pPr>
            <w:r>
              <w:rPr>
                <w:sz w:val="20"/>
              </w:rPr>
              <w:t xml:space="preserve">Техніка для фабрик  </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384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10,3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110,4</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1 198,9</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241,0</w:t>
            </w:r>
          </w:p>
        </w:tc>
      </w:tr>
      <w:tr w:rsidR="00642FB4">
        <w:trPr>
          <w:trHeight w:val="440"/>
          <w:jc w:val="center"/>
        </w:trPr>
        <w:tc>
          <w:tcPr>
            <w:tcW w:w="4033" w:type="dxa"/>
            <w:tcBorders>
              <w:top w:val="single" w:sz="4" w:space="0" w:color="auto"/>
              <w:left w:val="single" w:sz="4" w:space="0" w:color="auto"/>
              <w:bottom w:val="single" w:sz="4" w:space="0" w:color="auto"/>
              <w:right w:val="single" w:sz="4" w:space="0" w:color="auto"/>
            </w:tcBorders>
            <w:shd w:val="clear" w:color="auto" w:fill="auto"/>
          </w:tcPr>
          <w:p w:rsidR="00642FB4" w:rsidRDefault="00642FB4">
            <w:pPr>
              <w:autoSpaceDE w:val="0"/>
              <w:autoSpaceDN w:val="0"/>
              <w:adjustRightInd w:val="0"/>
              <w:jc w:val="both"/>
              <w:rPr>
                <w:rFonts w:cs="Arial"/>
                <w:b/>
                <w:bCs/>
                <w:sz w:val="20"/>
                <w:szCs w:val="20"/>
              </w:rPr>
            </w:pPr>
            <w:r>
              <w:rPr>
                <w:sz w:val="20"/>
              </w:rPr>
              <w:t>Виробництво та розподілення електроенергії, газу та води</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614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1 804,5</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112,7</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100 531,2</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105,1</w:t>
            </w:r>
          </w:p>
        </w:tc>
      </w:tr>
      <w:tr w:rsidR="00642FB4">
        <w:trPr>
          <w:trHeight w:val="238"/>
          <w:jc w:val="center"/>
        </w:trPr>
        <w:tc>
          <w:tcPr>
            <w:tcW w:w="4033" w:type="dxa"/>
            <w:tcBorders>
              <w:top w:val="single" w:sz="4" w:space="0" w:color="auto"/>
              <w:left w:val="single" w:sz="4" w:space="0" w:color="auto"/>
              <w:bottom w:val="single" w:sz="4" w:space="0" w:color="auto"/>
              <w:right w:val="single" w:sz="4" w:space="0" w:color="auto"/>
            </w:tcBorders>
            <w:shd w:val="clear" w:color="auto" w:fill="auto"/>
          </w:tcPr>
          <w:p w:rsidR="00642FB4" w:rsidRDefault="00642FB4">
            <w:pPr>
              <w:autoSpaceDE w:val="0"/>
              <w:autoSpaceDN w:val="0"/>
              <w:adjustRightInd w:val="0"/>
              <w:jc w:val="both"/>
              <w:rPr>
                <w:rFonts w:cs="Arial"/>
                <w:b/>
                <w:bCs/>
                <w:sz w:val="20"/>
                <w:szCs w:val="20"/>
              </w:rPr>
            </w:pPr>
            <w:r>
              <w:rPr>
                <w:sz w:val="20"/>
              </w:rPr>
              <w:t>Транспортна промисловість</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951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195,4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99,4</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5 710,6</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102,0</w:t>
            </w:r>
          </w:p>
        </w:tc>
      </w:tr>
      <w:tr w:rsidR="00642FB4">
        <w:trPr>
          <w:trHeight w:val="269"/>
          <w:jc w:val="center"/>
        </w:trPr>
        <w:tc>
          <w:tcPr>
            <w:tcW w:w="4033" w:type="dxa"/>
            <w:tcBorders>
              <w:top w:val="single" w:sz="4" w:space="0" w:color="auto"/>
              <w:left w:val="single" w:sz="4" w:space="0" w:color="auto"/>
              <w:bottom w:val="single" w:sz="4" w:space="0" w:color="auto"/>
              <w:right w:val="single" w:sz="4" w:space="0" w:color="auto"/>
            </w:tcBorders>
            <w:shd w:val="clear" w:color="auto" w:fill="auto"/>
          </w:tcPr>
          <w:p w:rsidR="00642FB4" w:rsidRDefault="00642FB4">
            <w:pPr>
              <w:autoSpaceDE w:val="0"/>
              <w:autoSpaceDN w:val="0"/>
              <w:adjustRightInd w:val="0"/>
              <w:jc w:val="both"/>
              <w:rPr>
                <w:rFonts w:cs="Arial"/>
                <w:b/>
                <w:bCs/>
                <w:sz w:val="20"/>
                <w:szCs w:val="20"/>
              </w:rPr>
            </w:pPr>
            <w:r>
              <w:rPr>
                <w:sz w:val="20"/>
              </w:rPr>
              <w:t>Інші галузі промисловості</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1 656</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35,3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98,1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1 249,5</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autoSpaceDE w:val="0"/>
              <w:autoSpaceDN w:val="0"/>
              <w:adjustRightInd w:val="0"/>
              <w:jc w:val="right"/>
              <w:rPr>
                <w:rFonts w:cs="Arial"/>
                <w:b/>
                <w:bCs/>
                <w:sz w:val="20"/>
                <w:szCs w:val="20"/>
              </w:rPr>
            </w:pPr>
            <w:r>
              <w:rPr>
                <w:sz w:val="20"/>
              </w:rPr>
              <w:t>177,4</w:t>
            </w:r>
          </w:p>
        </w:tc>
      </w:tr>
    </w:tbl>
    <w:p w:rsidR="00642FB4" w:rsidRDefault="00642FB4">
      <w:pPr>
        <w:jc w:val="both"/>
        <w:rPr>
          <w:rFonts w:cs="Arial"/>
        </w:rPr>
      </w:pPr>
    </w:p>
    <w:p w:rsidR="00642FB4" w:rsidRDefault="00642FB4">
      <w:pPr>
        <w:spacing w:before="60" w:after="60" w:line="288" w:lineRule="auto"/>
        <w:ind w:firstLine="851"/>
        <w:jc w:val="both"/>
        <w:rPr>
          <w:rFonts w:cs="Arial"/>
        </w:rPr>
      </w:pPr>
      <w:r>
        <w:t>За даними Статистичної служби України, в 2011 році, від 8.699 компанії зафіксовано викиди забруднюючих речовин в атмосферу. Більшість з цих компаній зосереджені в Донецькій-Дніпропетровській областях, зокрема, в Донецьку (11,4%), Луганську (6,5%), Дніпропетровську (5%).</w:t>
      </w:r>
    </w:p>
    <w:p w:rsidR="00642FB4" w:rsidRDefault="00642FB4">
      <w:pPr>
        <w:autoSpaceDE w:val="0"/>
        <w:autoSpaceDN w:val="0"/>
        <w:adjustRightInd w:val="0"/>
        <w:spacing w:before="60" w:after="60" w:line="288" w:lineRule="auto"/>
        <w:jc w:val="both"/>
        <w:rPr>
          <w:rFonts w:eastAsia="Calibri" w:cs="Arial"/>
          <w:b/>
        </w:rPr>
      </w:pPr>
    </w:p>
    <w:p w:rsidR="00642FB4" w:rsidRDefault="00642FB4">
      <w:pPr>
        <w:numPr>
          <w:ilvl w:val="0"/>
          <w:numId w:val="16"/>
        </w:numPr>
        <w:spacing w:before="60" w:after="60" w:line="288" w:lineRule="auto"/>
        <w:ind w:left="1080"/>
        <w:jc w:val="both"/>
        <w:rPr>
          <w:b/>
        </w:rPr>
      </w:pPr>
      <w:r>
        <w:rPr>
          <w:b/>
        </w:rPr>
        <w:t>ВОДА</w:t>
      </w:r>
    </w:p>
    <w:p w:rsidR="00642FB4" w:rsidRDefault="00642FB4">
      <w:pPr>
        <w:spacing w:before="60" w:after="60" w:line="288" w:lineRule="auto"/>
        <w:ind w:firstLine="720"/>
        <w:jc w:val="both"/>
        <w:rPr>
          <w:rFonts w:eastAsia="Calibri" w:cs="Arial"/>
        </w:rPr>
      </w:pPr>
      <w:r>
        <w:t>На даний час потреби води для населення та промисловості становлять близько 15 млрд євро. Велика частина води витягується з басейну річки Дніпро, тобто 8,7 км3, з Сіверського Дінця - 1,5 км3, з Південного Бугу - 0,4 км3 та 0,6 км3 з Дністра.  У 2011 році практично у всіх областях України було зафіксовано збільшення рівня споживання води. Регіонами з великим рівнем споживання води є: Дніпропетровськ, Донецьк, Запоріжжя, Київ, Херсон та Автономна Республіка Крим.</w:t>
      </w:r>
    </w:p>
    <w:p w:rsidR="00642FB4" w:rsidRDefault="00642FB4">
      <w:pPr>
        <w:pStyle w:val="HTMLPreformatted"/>
        <w:spacing w:before="60" w:after="60" w:line="288" w:lineRule="auto"/>
        <w:ind w:firstLine="720"/>
        <w:jc w:val="both"/>
        <w:rPr>
          <w:rFonts w:ascii="Arial" w:eastAsia="Calibri" w:hAnsi="Arial" w:cs="Arial"/>
          <w:sz w:val="24"/>
          <w:szCs w:val="24"/>
          <w:lang w:val="ro-RO"/>
        </w:rPr>
      </w:pPr>
      <w:r>
        <w:rPr>
          <w:rFonts w:ascii="Arial" w:hAnsi="Arial"/>
          <w:sz w:val="24"/>
          <w:lang w:val="ro-RO"/>
        </w:rPr>
        <w:t>У 2011 році промислові підприємства зафіксували високий рівень споживання води, близько 5,6 млрд м</w:t>
      </w:r>
      <w:r>
        <w:rPr>
          <w:rFonts w:ascii="Arial" w:hAnsi="Arial"/>
          <w:sz w:val="24"/>
          <w:vertAlign w:val="superscript"/>
          <w:lang w:val="ro-RO"/>
        </w:rPr>
        <w:t>3</w:t>
      </w:r>
      <w:r>
        <w:rPr>
          <w:rFonts w:ascii="Arial" w:hAnsi="Arial"/>
          <w:sz w:val="24"/>
          <w:lang w:val="ro-RO"/>
        </w:rPr>
        <w:t xml:space="preserve">, що становить 38% від загального національних обсягу (у тому числі електростанції на викопному паливі та ядерні металургійні заводи та шафти), сільське господарство бл. 40 % а  комунальні послуги бл. 21%. </w:t>
      </w:r>
    </w:p>
    <w:p w:rsidR="00642FB4" w:rsidRDefault="00642FB4">
      <w:pPr>
        <w:pStyle w:val="HTMLPreformatted"/>
        <w:spacing w:before="60" w:after="60" w:line="288" w:lineRule="auto"/>
        <w:ind w:firstLine="720"/>
        <w:jc w:val="both"/>
        <w:rPr>
          <w:rFonts w:ascii="Arial" w:eastAsia="Calibri" w:hAnsi="Arial" w:cs="Arial"/>
          <w:sz w:val="24"/>
          <w:szCs w:val="24"/>
          <w:lang w:val="ro-RO"/>
        </w:rPr>
      </w:pPr>
      <w:r>
        <w:rPr>
          <w:rFonts w:ascii="Arial" w:hAnsi="Arial"/>
          <w:sz w:val="24"/>
          <w:lang w:val="ro-RO"/>
        </w:rPr>
        <w:t>Втрати, пов'язані з транспортом досягли 2,3 млрд м3, що складає 5% від загального обсягу споживання.</w:t>
      </w:r>
    </w:p>
    <w:p w:rsidR="00642FB4" w:rsidRDefault="00642FB4">
      <w:pPr>
        <w:pStyle w:val="HTMLPreformatted"/>
        <w:ind w:firstLine="720"/>
        <w:jc w:val="both"/>
        <w:rPr>
          <w:rFonts w:ascii="Arial" w:eastAsia="Calibri" w:hAnsi="Arial" w:cs="Arial"/>
          <w:sz w:val="24"/>
          <w:szCs w:val="24"/>
          <w:lang w:val="ro-RO"/>
        </w:rPr>
      </w:pPr>
      <w:r>
        <w:rPr>
          <w:rFonts w:ascii="Arial" w:hAnsi="Arial"/>
          <w:sz w:val="24"/>
          <w:lang w:val="ro-RO"/>
        </w:rPr>
        <w:t>Розподіл підземних водних джерел (млн м</w:t>
      </w:r>
      <w:r>
        <w:rPr>
          <w:rFonts w:ascii="Arial" w:hAnsi="Arial"/>
          <w:sz w:val="24"/>
          <w:vertAlign w:val="superscript"/>
          <w:lang w:val="ro-RO"/>
        </w:rPr>
        <w:t>3</w:t>
      </w:r>
      <w:r>
        <w:rPr>
          <w:rFonts w:ascii="Arial" w:hAnsi="Arial"/>
          <w:sz w:val="24"/>
          <w:lang w:val="ro-RO"/>
        </w:rPr>
        <w:t xml:space="preserve">) в Україні наведений у </w:t>
      </w:r>
      <w:r>
        <w:rPr>
          <w:rFonts w:ascii="Arial" w:hAnsi="Arial"/>
          <w:b/>
          <w:sz w:val="24"/>
          <w:lang w:val="ro-RO"/>
        </w:rPr>
        <w:t>таблиці 4.6.4.</w:t>
      </w:r>
    </w:p>
    <w:p w:rsidR="00642FB4" w:rsidRDefault="00642FB4">
      <w:pPr>
        <w:pStyle w:val="HTMLPreformatted"/>
        <w:jc w:val="both"/>
        <w:rPr>
          <w:rFonts w:ascii="Arial" w:eastAsia="Calibri" w:hAnsi="Arial" w:cs="Arial"/>
          <w:sz w:val="24"/>
          <w:szCs w:val="24"/>
          <w:lang w:val="ro-RO"/>
        </w:rPr>
      </w:pPr>
    </w:p>
    <w:p w:rsidR="00642FB4" w:rsidRDefault="00642FB4">
      <w:pPr>
        <w:autoSpaceDE w:val="0"/>
        <w:autoSpaceDN w:val="0"/>
        <w:adjustRightInd w:val="0"/>
        <w:spacing w:before="60" w:after="60" w:line="288" w:lineRule="auto"/>
        <w:ind w:left="360"/>
        <w:jc w:val="center"/>
        <w:rPr>
          <w:rFonts w:eastAsia="Calibri" w:cs="Arial"/>
          <w:b/>
          <w:bCs/>
          <w:i/>
          <w:sz w:val="22"/>
          <w:szCs w:val="22"/>
        </w:rPr>
      </w:pPr>
      <w:r>
        <w:rPr>
          <w:b/>
          <w:i/>
          <w:sz w:val="22"/>
        </w:rPr>
        <w:t xml:space="preserve">Таблиця 4.6.4 </w:t>
      </w:r>
      <w:r>
        <w:t>Розподіл водних джерел</w:t>
      </w:r>
    </w:p>
    <w:tbl>
      <w:tblPr>
        <w:tblW w:w="48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6"/>
        <w:gridCol w:w="857"/>
        <w:gridCol w:w="857"/>
        <w:gridCol w:w="857"/>
        <w:gridCol w:w="858"/>
        <w:gridCol w:w="858"/>
        <w:gridCol w:w="858"/>
        <w:gridCol w:w="858"/>
        <w:gridCol w:w="856"/>
      </w:tblGrid>
      <w:tr w:rsidR="00642FB4">
        <w:trPr>
          <w:trHeight w:hRule="exact" w:val="241"/>
          <w:jc w:val="center"/>
        </w:trPr>
        <w:tc>
          <w:tcPr>
            <w:tcW w:w="1545" w:type="pct"/>
            <w:shd w:val="clear" w:color="auto" w:fill="auto"/>
          </w:tcPr>
          <w:p w:rsidR="00642FB4" w:rsidRDefault="00642FB4">
            <w:pPr>
              <w:ind w:right="13"/>
              <w:jc w:val="both"/>
              <w:rPr>
                <w:rFonts w:cs="Arial"/>
                <w:b/>
                <w:sz w:val="20"/>
                <w:szCs w:val="20"/>
              </w:rPr>
            </w:pPr>
            <w:r>
              <w:rPr>
                <w:b/>
                <w:sz w:val="20"/>
              </w:rPr>
              <w:t>Корисність</w:t>
            </w:r>
          </w:p>
        </w:tc>
        <w:tc>
          <w:tcPr>
            <w:tcW w:w="432" w:type="pct"/>
          </w:tcPr>
          <w:p w:rsidR="00642FB4" w:rsidRDefault="00642FB4">
            <w:pPr>
              <w:jc w:val="both"/>
              <w:rPr>
                <w:rFonts w:cs="Arial"/>
                <w:b/>
                <w:sz w:val="20"/>
                <w:szCs w:val="20"/>
              </w:rPr>
            </w:pPr>
            <w:r>
              <w:rPr>
                <w:b/>
                <w:sz w:val="20"/>
              </w:rPr>
              <w:t>2000</w:t>
            </w:r>
          </w:p>
        </w:tc>
        <w:tc>
          <w:tcPr>
            <w:tcW w:w="432" w:type="pct"/>
          </w:tcPr>
          <w:p w:rsidR="00642FB4" w:rsidRDefault="00642FB4">
            <w:pPr>
              <w:jc w:val="both"/>
              <w:rPr>
                <w:rFonts w:cs="Arial"/>
                <w:b/>
                <w:sz w:val="20"/>
                <w:szCs w:val="20"/>
              </w:rPr>
            </w:pPr>
            <w:r>
              <w:rPr>
                <w:b/>
                <w:sz w:val="20"/>
              </w:rPr>
              <w:t>2005</w:t>
            </w:r>
          </w:p>
        </w:tc>
        <w:tc>
          <w:tcPr>
            <w:tcW w:w="432" w:type="pct"/>
          </w:tcPr>
          <w:p w:rsidR="00642FB4" w:rsidRDefault="00642FB4">
            <w:pPr>
              <w:jc w:val="both"/>
              <w:rPr>
                <w:rFonts w:cs="Arial"/>
                <w:b/>
                <w:sz w:val="20"/>
                <w:szCs w:val="20"/>
              </w:rPr>
            </w:pPr>
            <w:r>
              <w:rPr>
                <w:b/>
                <w:sz w:val="20"/>
              </w:rPr>
              <w:t>2006</w:t>
            </w:r>
          </w:p>
        </w:tc>
        <w:tc>
          <w:tcPr>
            <w:tcW w:w="432" w:type="pct"/>
          </w:tcPr>
          <w:p w:rsidR="00642FB4" w:rsidRDefault="00642FB4">
            <w:pPr>
              <w:jc w:val="both"/>
              <w:rPr>
                <w:rFonts w:cs="Arial"/>
                <w:b/>
                <w:sz w:val="20"/>
                <w:szCs w:val="20"/>
              </w:rPr>
            </w:pPr>
            <w:r>
              <w:rPr>
                <w:b/>
                <w:sz w:val="20"/>
              </w:rPr>
              <w:t>2007</w:t>
            </w:r>
          </w:p>
        </w:tc>
        <w:tc>
          <w:tcPr>
            <w:tcW w:w="432" w:type="pct"/>
          </w:tcPr>
          <w:p w:rsidR="00642FB4" w:rsidRDefault="00642FB4">
            <w:pPr>
              <w:jc w:val="both"/>
              <w:rPr>
                <w:rFonts w:cs="Arial"/>
                <w:b/>
                <w:sz w:val="20"/>
                <w:szCs w:val="20"/>
              </w:rPr>
            </w:pPr>
            <w:r>
              <w:rPr>
                <w:b/>
                <w:sz w:val="20"/>
              </w:rPr>
              <w:t>2008</w:t>
            </w:r>
          </w:p>
        </w:tc>
        <w:tc>
          <w:tcPr>
            <w:tcW w:w="432" w:type="pct"/>
          </w:tcPr>
          <w:p w:rsidR="00642FB4" w:rsidRDefault="00642FB4">
            <w:pPr>
              <w:jc w:val="both"/>
              <w:rPr>
                <w:rFonts w:cs="Arial"/>
                <w:b/>
                <w:sz w:val="20"/>
                <w:szCs w:val="20"/>
              </w:rPr>
            </w:pPr>
            <w:r>
              <w:rPr>
                <w:b/>
                <w:sz w:val="20"/>
              </w:rPr>
              <w:t>2009</w:t>
            </w:r>
          </w:p>
        </w:tc>
        <w:tc>
          <w:tcPr>
            <w:tcW w:w="432" w:type="pct"/>
          </w:tcPr>
          <w:p w:rsidR="00642FB4" w:rsidRDefault="00642FB4">
            <w:pPr>
              <w:jc w:val="both"/>
              <w:rPr>
                <w:rFonts w:cs="Arial"/>
                <w:b/>
                <w:sz w:val="20"/>
                <w:szCs w:val="20"/>
              </w:rPr>
            </w:pPr>
            <w:r>
              <w:rPr>
                <w:b/>
                <w:sz w:val="20"/>
              </w:rPr>
              <w:t>2010</w:t>
            </w:r>
          </w:p>
        </w:tc>
        <w:tc>
          <w:tcPr>
            <w:tcW w:w="432" w:type="pct"/>
          </w:tcPr>
          <w:p w:rsidR="00642FB4" w:rsidRDefault="00642FB4">
            <w:pPr>
              <w:jc w:val="both"/>
              <w:rPr>
                <w:rFonts w:cs="Arial"/>
                <w:b/>
                <w:sz w:val="20"/>
                <w:szCs w:val="20"/>
              </w:rPr>
            </w:pPr>
            <w:r>
              <w:rPr>
                <w:b/>
                <w:sz w:val="20"/>
              </w:rPr>
              <w:t>2011</w:t>
            </w:r>
          </w:p>
        </w:tc>
      </w:tr>
      <w:tr w:rsidR="00642FB4">
        <w:trPr>
          <w:trHeight w:hRule="exact" w:val="285"/>
          <w:jc w:val="center"/>
        </w:trPr>
        <w:tc>
          <w:tcPr>
            <w:tcW w:w="1545" w:type="pct"/>
          </w:tcPr>
          <w:p w:rsidR="00642FB4" w:rsidRDefault="00642FB4">
            <w:pPr>
              <w:ind w:right="-85"/>
              <w:jc w:val="both"/>
              <w:rPr>
                <w:rFonts w:cs="Arial"/>
                <w:b/>
                <w:sz w:val="20"/>
                <w:szCs w:val="20"/>
              </w:rPr>
            </w:pPr>
            <w:r>
              <w:rPr>
                <w:b/>
                <w:sz w:val="20"/>
              </w:rPr>
              <w:t>Кількість побутової води</w:t>
            </w:r>
          </w:p>
        </w:tc>
        <w:tc>
          <w:tcPr>
            <w:tcW w:w="432" w:type="pct"/>
          </w:tcPr>
          <w:p w:rsidR="00642FB4" w:rsidRDefault="00642FB4">
            <w:pPr>
              <w:jc w:val="right"/>
              <w:rPr>
                <w:rFonts w:cs="Arial"/>
                <w:sz w:val="20"/>
                <w:szCs w:val="20"/>
              </w:rPr>
            </w:pPr>
            <w:r>
              <w:rPr>
                <w:sz w:val="20"/>
              </w:rPr>
              <w:t>18 282</w:t>
            </w:r>
          </w:p>
        </w:tc>
        <w:tc>
          <w:tcPr>
            <w:tcW w:w="432" w:type="pct"/>
          </w:tcPr>
          <w:p w:rsidR="00642FB4" w:rsidRDefault="00642FB4">
            <w:pPr>
              <w:jc w:val="right"/>
              <w:rPr>
                <w:rFonts w:cs="Arial"/>
                <w:sz w:val="20"/>
                <w:szCs w:val="20"/>
              </w:rPr>
            </w:pPr>
            <w:r>
              <w:rPr>
                <w:sz w:val="20"/>
              </w:rPr>
              <w:t>15 083</w:t>
            </w:r>
          </w:p>
        </w:tc>
        <w:tc>
          <w:tcPr>
            <w:tcW w:w="432" w:type="pct"/>
          </w:tcPr>
          <w:p w:rsidR="00642FB4" w:rsidRDefault="00642FB4">
            <w:pPr>
              <w:jc w:val="right"/>
              <w:rPr>
                <w:rFonts w:cs="Arial"/>
                <w:sz w:val="20"/>
                <w:szCs w:val="20"/>
              </w:rPr>
            </w:pPr>
            <w:r>
              <w:rPr>
                <w:sz w:val="20"/>
              </w:rPr>
              <w:t>15 327</w:t>
            </w:r>
          </w:p>
        </w:tc>
        <w:tc>
          <w:tcPr>
            <w:tcW w:w="432" w:type="pct"/>
          </w:tcPr>
          <w:p w:rsidR="00642FB4" w:rsidRDefault="00642FB4">
            <w:pPr>
              <w:jc w:val="right"/>
              <w:rPr>
                <w:rFonts w:cs="Arial"/>
                <w:sz w:val="20"/>
                <w:szCs w:val="20"/>
              </w:rPr>
            </w:pPr>
            <w:r>
              <w:rPr>
                <w:sz w:val="20"/>
              </w:rPr>
              <w:t>16 352</w:t>
            </w:r>
          </w:p>
        </w:tc>
        <w:tc>
          <w:tcPr>
            <w:tcW w:w="432" w:type="pct"/>
          </w:tcPr>
          <w:p w:rsidR="00642FB4" w:rsidRDefault="00642FB4">
            <w:pPr>
              <w:jc w:val="right"/>
              <w:rPr>
                <w:rFonts w:cs="Arial"/>
                <w:sz w:val="20"/>
                <w:szCs w:val="20"/>
              </w:rPr>
            </w:pPr>
            <w:r>
              <w:rPr>
                <w:sz w:val="20"/>
              </w:rPr>
              <w:t>15 729</w:t>
            </w:r>
          </w:p>
        </w:tc>
        <w:tc>
          <w:tcPr>
            <w:tcW w:w="432" w:type="pct"/>
          </w:tcPr>
          <w:p w:rsidR="00642FB4" w:rsidRDefault="00642FB4">
            <w:pPr>
              <w:jc w:val="right"/>
              <w:rPr>
                <w:rFonts w:cs="Arial"/>
                <w:sz w:val="20"/>
                <w:szCs w:val="20"/>
              </w:rPr>
            </w:pPr>
            <w:r>
              <w:rPr>
                <w:sz w:val="20"/>
              </w:rPr>
              <w:t>14 478</w:t>
            </w:r>
          </w:p>
        </w:tc>
        <w:tc>
          <w:tcPr>
            <w:tcW w:w="432" w:type="pct"/>
          </w:tcPr>
          <w:p w:rsidR="00642FB4" w:rsidRDefault="00642FB4">
            <w:pPr>
              <w:jc w:val="right"/>
              <w:rPr>
                <w:rFonts w:cs="Arial"/>
                <w:sz w:val="20"/>
                <w:szCs w:val="20"/>
              </w:rPr>
            </w:pPr>
            <w:r>
              <w:rPr>
                <w:sz w:val="20"/>
              </w:rPr>
              <w:t>14 846</w:t>
            </w:r>
          </w:p>
        </w:tc>
        <w:tc>
          <w:tcPr>
            <w:tcW w:w="432" w:type="pct"/>
          </w:tcPr>
          <w:p w:rsidR="00642FB4" w:rsidRDefault="00642FB4">
            <w:pPr>
              <w:jc w:val="right"/>
              <w:rPr>
                <w:rFonts w:cs="Arial"/>
                <w:sz w:val="20"/>
                <w:szCs w:val="20"/>
              </w:rPr>
            </w:pPr>
            <w:r>
              <w:rPr>
                <w:sz w:val="20"/>
              </w:rPr>
              <w:t>14 651</w:t>
            </w:r>
          </w:p>
        </w:tc>
      </w:tr>
      <w:tr w:rsidR="00642FB4">
        <w:trPr>
          <w:trHeight w:hRule="exact" w:val="285"/>
          <w:jc w:val="center"/>
        </w:trPr>
        <w:tc>
          <w:tcPr>
            <w:tcW w:w="1545" w:type="pct"/>
          </w:tcPr>
          <w:p w:rsidR="00642FB4" w:rsidRDefault="00642FB4">
            <w:pPr>
              <w:ind w:right="-85"/>
              <w:jc w:val="both"/>
              <w:rPr>
                <w:rFonts w:cs="Arial"/>
                <w:b/>
                <w:sz w:val="20"/>
                <w:szCs w:val="20"/>
              </w:rPr>
            </w:pPr>
            <w:r>
              <w:rPr>
                <w:b/>
                <w:sz w:val="20"/>
              </w:rPr>
              <w:t>Кількість підземних вод</w:t>
            </w:r>
          </w:p>
        </w:tc>
        <w:tc>
          <w:tcPr>
            <w:tcW w:w="432" w:type="pct"/>
          </w:tcPr>
          <w:p w:rsidR="00642FB4" w:rsidRDefault="00642FB4">
            <w:pPr>
              <w:ind w:right="-167"/>
              <w:jc w:val="right"/>
              <w:rPr>
                <w:rFonts w:cs="Arial"/>
                <w:sz w:val="20"/>
                <w:szCs w:val="20"/>
              </w:rPr>
            </w:pPr>
            <w:r>
              <w:rPr>
                <w:sz w:val="20"/>
              </w:rPr>
              <w:t>2 987</w:t>
            </w:r>
          </w:p>
        </w:tc>
        <w:tc>
          <w:tcPr>
            <w:tcW w:w="432" w:type="pct"/>
          </w:tcPr>
          <w:p w:rsidR="00642FB4" w:rsidRDefault="00642FB4">
            <w:pPr>
              <w:jc w:val="right"/>
              <w:rPr>
                <w:rFonts w:cs="Arial"/>
                <w:sz w:val="20"/>
                <w:szCs w:val="20"/>
              </w:rPr>
            </w:pPr>
            <w:r>
              <w:rPr>
                <w:sz w:val="20"/>
              </w:rPr>
              <w:t>2 449</w:t>
            </w:r>
          </w:p>
        </w:tc>
        <w:tc>
          <w:tcPr>
            <w:tcW w:w="432" w:type="pct"/>
          </w:tcPr>
          <w:p w:rsidR="00642FB4" w:rsidRDefault="00642FB4">
            <w:pPr>
              <w:jc w:val="right"/>
              <w:rPr>
                <w:rFonts w:cs="Arial"/>
                <w:sz w:val="20"/>
                <w:szCs w:val="20"/>
              </w:rPr>
            </w:pPr>
            <w:r>
              <w:rPr>
                <w:sz w:val="20"/>
              </w:rPr>
              <w:t>2 408</w:t>
            </w:r>
          </w:p>
        </w:tc>
        <w:tc>
          <w:tcPr>
            <w:tcW w:w="432" w:type="pct"/>
          </w:tcPr>
          <w:p w:rsidR="00642FB4" w:rsidRDefault="00642FB4">
            <w:pPr>
              <w:jc w:val="right"/>
              <w:rPr>
                <w:rFonts w:cs="Arial"/>
                <w:sz w:val="20"/>
                <w:szCs w:val="20"/>
              </w:rPr>
            </w:pPr>
            <w:r>
              <w:rPr>
                <w:sz w:val="20"/>
              </w:rPr>
              <w:t>2 315</w:t>
            </w:r>
          </w:p>
        </w:tc>
        <w:tc>
          <w:tcPr>
            <w:tcW w:w="432" w:type="pct"/>
          </w:tcPr>
          <w:p w:rsidR="00642FB4" w:rsidRDefault="00642FB4">
            <w:pPr>
              <w:jc w:val="right"/>
              <w:rPr>
                <w:rFonts w:cs="Arial"/>
                <w:sz w:val="20"/>
                <w:szCs w:val="20"/>
              </w:rPr>
            </w:pPr>
            <w:r>
              <w:rPr>
                <w:sz w:val="20"/>
              </w:rPr>
              <w:t>2 175</w:t>
            </w:r>
          </w:p>
        </w:tc>
        <w:tc>
          <w:tcPr>
            <w:tcW w:w="432" w:type="pct"/>
          </w:tcPr>
          <w:p w:rsidR="00642FB4" w:rsidRDefault="00642FB4">
            <w:pPr>
              <w:jc w:val="right"/>
              <w:rPr>
                <w:rFonts w:cs="Arial"/>
                <w:sz w:val="20"/>
                <w:szCs w:val="20"/>
              </w:rPr>
            </w:pPr>
            <w:r>
              <w:rPr>
                <w:sz w:val="20"/>
              </w:rPr>
              <w:t>2 007</w:t>
            </w:r>
          </w:p>
        </w:tc>
        <w:tc>
          <w:tcPr>
            <w:tcW w:w="432" w:type="pct"/>
          </w:tcPr>
          <w:p w:rsidR="00642FB4" w:rsidRDefault="00642FB4">
            <w:pPr>
              <w:jc w:val="right"/>
              <w:rPr>
                <w:rFonts w:cs="Arial"/>
                <w:sz w:val="20"/>
                <w:szCs w:val="20"/>
              </w:rPr>
            </w:pPr>
            <w:r>
              <w:rPr>
                <w:sz w:val="20"/>
              </w:rPr>
              <w:t>2 023</w:t>
            </w:r>
          </w:p>
        </w:tc>
        <w:tc>
          <w:tcPr>
            <w:tcW w:w="432" w:type="pct"/>
          </w:tcPr>
          <w:p w:rsidR="00642FB4" w:rsidRDefault="00642FB4">
            <w:pPr>
              <w:jc w:val="right"/>
              <w:rPr>
                <w:rFonts w:cs="Arial"/>
                <w:bCs/>
                <w:sz w:val="20"/>
                <w:szCs w:val="20"/>
              </w:rPr>
            </w:pPr>
            <w:r>
              <w:rPr>
                <w:sz w:val="20"/>
              </w:rPr>
              <w:t>1 961</w:t>
            </w:r>
          </w:p>
        </w:tc>
      </w:tr>
      <w:tr w:rsidR="00642FB4">
        <w:trPr>
          <w:trHeight w:hRule="exact" w:val="285"/>
          <w:jc w:val="center"/>
        </w:trPr>
        <w:tc>
          <w:tcPr>
            <w:tcW w:w="1545" w:type="pct"/>
          </w:tcPr>
          <w:p w:rsidR="00642FB4" w:rsidRDefault="00642FB4">
            <w:pPr>
              <w:ind w:right="13"/>
              <w:jc w:val="both"/>
              <w:rPr>
                <w:rFonts w:cs="Arial"/>
                <w:b/>
                <w:sz w:val="20"/>
                <w:szCs w:val="20"/>
              </w:rPr>
            </w:pPr>
            <w:r>
              <w:rPr>
                <w:b/>
                <w:sz w:val="20"/>
              </w:rPr>
              <w:t>Технологічна вода</w:t>
            </w:r>
          </w:p>
        </w:tc>
        <w:tc>
          <w:tcPr>
            <w:tcW w:w="432" w:type="pct"/>
          </w:tcPr>
          <w:p w:rsidR="00642FB4" w:rsidRDefault="00642FB4">
            <w:pPr>
              <w:jc w:val="right"/>
              <w:rPr>
                <w:rFonts w:cs="Arial"/>
                <w:sz w:val="20"/>
                <w:szCs w:val="20"/>
              </w:rPr>
            </w:pPr>
            <w:r>
              <w:rPr>
                <w:sz w:val="20"/>
              </w:rPr>
              <w:t>6 957</w:t>
            </w:r>
          </w:p>
        </w:tc>
        <w:tc>
          <w:tcPr>
            <w:tcW w:w="432" w:type="pct"/>
          </w:tcPr>
          <w:p w:rsidR="00642FB4" w:rsidRDefault="00642FB4">
            <w:pPr>
              <w:jc w:val="right"/>
              <w:rPr>
                <w:rFonts w:cs="Arial"/>
                <w:sz w:val="20"/>
                <w:szCs w:val="20"/>
              </w:rPr>
            </w:pPr>
            <w:r>
              <w:rPr>
                <w:sz w:val="20"/>
              </w:rPr>
              <w:t>5 706</w:t>
            </w:r>
          </w:p>
        </w:tc>
        <w:tc>
          <w:tcPr>
            <w:tcW w:w="432" w:type="pct"/>
          </w:tcPr>
          <w:p w:rsidR="00642FB4" w:rsidRDefault="00642FB4">
            <w:pPr>
              <w:jc w:val="right"/>
              <w:rPr>
                <w:rFonts w:cs="Arial"/>
                <w:sz w:val="20"/>
                <w:szCs w:val="20"/>
              </w:rPr>
            </w:pPr>
            <w:r>
              <w:rPr>
                <w:sz w:val="20"/>
              </w:rPr>
              <w:t>5 783</w:t>
            </w:r>
          </w:p>
        </w:tc>
        <w:tc>
          <w:tcPr>
            <w:tcW w:w="432" w:type="pct"/>
          </w:tcPr>
          <w:p w:rsidR="00642FB4" w:rsidRDefault="00642FB4">
            <w:pPr>
              <w:jc w:val="right"/>
              <w:rPr>
                <w:rFonts w:cs="Arial"/>
                <w:sz w:val="20"/>
                <w:szCs w:val="20"/>
              </w:rPr>
            </w:pPr>
            <w:r>
              <w:rPr>
                <w:sz w:val="20"/>
              </w:rPr>
              <w:t>6 162</w:t>
            </w:r>
          </w:p>
        </w:tc>
        <w:tc>
          <w:tcPr>
            <w:tcW w:w="432" w:type="pct"/>
          </w:tcPr>
          <w:p w:rsidR="00642FB4" w:rsidRDefault="00642FB4">
            <w:pPr>
              <w:jc w:val="right"/>
              <w:rPr>
                <w:rFonts w:cs="Arial"/>
                <w:sz w:val="20"/>
                <w:szCs w:val="20"/>
              </w:rPr>
            </w:pPr>
            <w:r>
              <w:rPr>
                <w:sz w:val="20"/>
              </w:rPr>
              <w:t>5 970</w:t>
            </w:r>
          </w:p>
        </w:tc>
        <w:tc>
          <w:tcPr>
            <w:tcW w:w="432" w:type="pct"/>
          </w:tcPr>
          <w:p w:rsidR="00642FB4" w:rsidRDefault="00642FB4">
            <w:pPr>
              <w:jc w:val="right"/>
              <w:rPr>
                <w:rFonts w:cs="Arial"/>
                <w:sz w:val="20"/>
                <w:szCs w:val="20"/>
              </w:rPr>
            </w:pPr>
            <w:r>
              <w:rPr>
                <w:sz w:val="20"/>
              </w:rPr>
              <w:t>5 149</w:t>
            </w:r>
          </w:p>
        </w:tc>
        <w:tc>
          <w:tcPr>
            <w:tcW w:w="432" w:type="pct"/>
          </w:tcPr>
          <w:p w:rsidR="00642FB4" w:rsidRDefault="00642FB4">
            <w:pPr>
              <w:jc w:val="right"/>
              <w:rPr>
                <w:rFonts w:cs="Arial"/>
                <w:sz w:val="20"/>
                <w:szCs w:val="20"/>
              </w:rPr>
            </w:pPr>
            <w:r>
              <w:rPr>
                <w:sz w:val="20"/>
              </w:rPr>
              <w:t>5 511</w:t>
            </w:r>
          </w:p>
        </w:tc>
        <w:tc>
          <w:tcPr>
            <w:tcW w:w="432" w:type="pct"/>
          </w:tcPr>
          <w:p w:rsidR="00642FB4" w:rsidRDefault="00642FB4">
            <w:pPr>
              <w:jc w:val="right"/>
              <w:rPr>
                <w:rFonts w:cs="Arial"/>
                <w:sz w:val="20"/>
                <w:szCs w:val="20"/>
              </w:rPr>
            </w:pPr>
            <w:r>
              <w:rPr>
                <w:sz w:val="20"/>
              </w:rPr>
              <w:t>5 514</w:t>
            </w:r>
          </w:p>
        </w:tc>
      </w:tr>
      <w:tr w:rsidR="00642FB4">
        <w:trPr>
          <w:trHeight w:hRule="exact" w:val="312"/>
          <w:jc w:val="center"/>
        </w:trPr>
        <w:tc>
          <w:tcPr>
            <w:tcW w:w="1545" w:type="pct"/>
          </w:tcPr>
          <w:p w:rsidR="00642FB4" w:rsidRDefault="00642FB4">
            <w:pPr>
              <w:ind w:right="13"/>
              <w:jc w:val="both"/>
              <w:rPr>
                <w:rFonts w:cs="Arial"/>
                <w:b/>
                <w:sz w:val="20"/>
                <w:szCs w:val="20"/>
              </w:rPr>
            </w:pPr>
            <w:r>
              <w:rPr>
                <w:b/>
                <w:sz w:val="20"/>
              </w:rPr>
              <w:t>Питна вода</w:t>
            </w:r>
          </w:p>
        </w:tc>
        <w:tc>
          <w:tcPr>
            <w:tcW w:w="432" w:type="pct"/>
          </w:tcPr>
          <w:p w:rsidR="00642FB4" w:rsidRDefault="00642FB4">
            <w:pPr>
              <w:jc w:val="right"/>
              <w:rPr>
                <w:rFonts w:cs="Arial"/>
                <w:sz w:val="20"/>
                <w:szCs w:val="20"/>
              </w:rPr>
            </w:pPr>
            <w:r>
              <w:rPr>
                <w:sz w:val="20"/>
              </w:rPr>
              <w:t>3 311</w:t>
            </w:r>
          </w:p>
        </w:tc>
        <w:tc>
          <w:tcPr>
            <w:tcW w:w="432" w:type="pct"/>
          </w:tcPr>
          <w:p w:rsidR="00642FB4" w:rsidRDefault="00642FB4">
            <w:pPr>
              <w:jc w:val="right"/>
              <w:rPr>
                <w:rFonts w:cs="Arial"/>
                <w:sz w:val="20"/>
                <w:szCs w:val="20"/>
              </w:rPr>
            </w:pPr>
            <w:r>
              <w:rPr>
                <w:sz w:val="20"/>
              </w:rPr>
              <w:t>2 409</w:t>
            </w:r>
          </w:p>
        </w:tc>
        <w:tc>
          <w:tcPr>
            <w:tcW w:w="432" w:type="pct"/>
          </w:tcPr>
          <w:p w:rsidR="00642FB4" w:rsidRDefault="00642FB4">
            <w:pPr>
              <w:jc w:val="right"/>
              <w:rPr>
                <w:rFonts w:cs="Arial"/>
                <w:sz w:val="20"/>
                <w:szCs w:val="20"/>
              </w:rPr>
            </w:pPr>
            <w:r>
              <w:rPr>
                <w:sz w:val="20"/>
              </w:rPr>
              <w:t>2 298</w:t>
            </w:r>
          </w:p>
        </w:tc>
        <w:tc>
          <w:tcPr>
            <w:tcW w:w="432" w:type="pct"/>
          </w:tcPr>
          <w:p w:rsidR="00642FB4" w:rsidRDefault="00642FB4">
            <w:pPr>
              <w:jc w:val="right"/>
              <w:rPr>
                <w:rFonts w:cs="Arial"/>
                <w:sz w:val="20"/>
                <w:szCs w:val="20"/>
              </w:rPr>
            </w:pPr>
            <w:r>
              <w:rPr>
                <w:sz w:val="20"/>
              </w:rPr>
              <w:t>2 192</w:t>
            </w:r>
          </w:p>
        </w:tc>
        <w:tc>
          <w:tcPr>
            <w:tcW w:w="432" w:type="pct"/>
          </w:tcPr>
          <w:p w:rsidR="00642FB4" w:rsidRDefault="00642FB4">
            <w:pPr>
              <w:jc w:val="right"/>
              <w:rPr>
                <w:rFonts w:cs="Arial"/>
                <w:sz w:val="20"/>
                <w:szCs w:val="20"/>
              </w:rPr>
            </w:pPr>
            <w:r>
              <w:rPr>
                <w:sz w:val="20"/>
              </w:rPr>
              <w:t>2 103</w:t>
            </w:r>
          </w:p>
        </w:tc>
        <w:tc>
          <w:tcPr>
            <w:tcW w:w="432" w:type="pct"/>
          </w:tcPr>
          <w:p w:rsidR="00642FB4" w:rsidRDefault="00642FB4">
            <w:pPr>
              <w:jc w:val="right"/>
              <w:rPr>
                <w:rFonts w:cs="Arial"/>
                <w:sz w:val="20"/>
                <w:szCs w:val="20"/>
              </w:rPr>
            </w:pPr>
            <w:r>
              <w:rPr>
                <w:sz w:val="20"/>
              </w:rPr>
              <w:t>1 956</w:t>
            </w:r>
          </w:p>
        </w:tc>
        <w:tc>
          <w:tcPr>
            <w:tcW w:w="432" w:type="pct"/>
          </w:tcPr>
          <w:p w:rsidR="00642FB4" w:rsidRDefault="00642FB4">
            <w:pPr>
              <w:jc w:val="right"/>
              <w:rPr>
                <w:rFonts w:cs="Arial"/>
                <w:sz w:val="20"/>
                <w:szCs w:val="20"/>
              </w:rPr>
            </w:pPr>
            <w:r>
              <w:rPr>
                <w:sz w:val="20"/>
              </w:rPr>
              <w:t>1 917</w:t>
            </w:r>
          </w:p>
        </w:tc>
        <w:tc>
          <w:tcPr>
            <w:tcW w:w="432" w:type="pct"/>
          </w:tcPr>
          <w:p w:rsidR="00642FB4" w:rsidRDefault="00642FB4">
            <w:pPr>
              <w:jc w:val="right"/>
              <w:rPr>
                <w:rFonts w:cs="Arial"/>
                <w:sz w:val="20"/>
                <w:szCs w:val="20"/>
              </w:rPr>
            </w:pPr>
            <w:r>
              <w:rPr>
                <w:sz w:val="20"/>
              </w:rPr>
              <w:t>1 860</w:t>
            </w:r>
          </w:p>
        </w:tc>
      </w:tr>
      <w:tr w:rsidR="00642FB4">
        <w:trPr>
          <w:trHeight w:hRule="exact" w:val="276"/>
          <w:jc w:val="center"/>
        </w:trPr>
        <w:tc>
          <w:tcPr>
            <w:tcW w:w="1545" w:type="pct"/>
          </w:tcPr>
          <w:p w:rsidR="00642FB4" w:rsidRDefault="00642FB4">
            <w:pPr>
              <w:ind w:right="13"/>
              <w:jc w:val="both"/>
              <w:rPr>
                <w:rFonts w:cs="Arial"/>
                <w:b/>
                <w:sz w:val="20"/>
                <w:szCs w:val="20"/>
              </w:rPr>
            </w:pPr>
            <w:r>
              <w:rPr>
                <w:b/>
                <w:sz w:val="20"/>
              </w:rPr>
              <w:t>Очисні споруди</w:t>
            </w:r>
          </w:p>
        </w:tc>
        <w:tc>
          <w:tcPr>
            <w:tcW w:w="432" w:type="pct"/>
          </w:tcPr>
          <w:p w:rsidR="00642FB4" w:rsidRDefault="00642FB4">
            <w:pPr>
              <w:jc w:val="right"/>
              <w:rPr>
                <w:rFonts w:cs="Arial"/>
                <w:sz w:val="20"/>
                <w:szCs w:val="20"/>
              </w:rPr>
            </w:pPr>
            <w:r>
              <w:rPr>
                <w:sz w:val="20"/>
              </w:rPr>
              <w:t>7 992</w:t>
            </w:r>
          </w:p>
        </w:tc>
        <w:tc>
          <w:tcPr>
            <w:tcW w:w="432" w:type="pct"/>
          </w:tcPr>
          <w:p w:rsidR="00642FB4" w:rsidRDefault="00642FB4">
            <w:pPr>
              <w:jc w:val="right"/>
              <w:rPr>
                <w:rFonts w:cs="Arial"/>
                <w:sz w:val="20"/>
                <w:szCs w:val="20"/>
              </w:rPr>
            </w:pPr>
            <w:r>
              <w:rPr>
                <w:sz w:val="20"/>
              </w:rPr>
              <w:t>7 688</w:t>
            </w:r>
          </w:p>
        </w:tc>
        <w:tc>
          <w:tcPr>
            <w:tcW w:w="432" w:type="pct"/>
          </w:tcPr>
          <w:p w:rsidR="00642FB4" w:rsidRDefault="00642FB4">
            <w:pPr>
              <w:jc w:val="right"/>
              <w:rPr>
                <w:rFonts w:cs="Arial"/>
                <w:sz w:val="20"/>
                <w:szCs w:val="20"/>
              </w:rPr>
            </w:pPr>
            <w:r>
              <w:rPr>
                <w:sz w:val="20"/>
              </w:rPr>
              <w:t>8 104</w:t>
            </w:r>
          </w:p>
        </w:tc>
        <w:tc>
          <w:tcPr>
            <w:tcW w:w="432" w:type="pct"/>
          </w:tcPr>
          <w:p w:rsidR="00642FB4" w:rsidRDefault="00642FB4">
            <w:pPr>
              <w:jc w:val="right"/>
              <w:rPr>
                <w:rFonts w:cs="Arial"/>
                <w:sz w:val="20"/>
                <w:szCs w:val="20"/>
              </w:rPr>
            </w:pPr>
            <w:r>
              <w:rPr>
                <w:sz w:val="20"/>
              </w:rPr>
              <w:t>7 768</w:t>
            </w:r>
          </w:p>
        </w:tc>
        <w:tc>
          <w:tcPr>
            <w:tcW w:w="432" w:type="pct"/>
          </w:tcPr>
          <w:p w:rsidR="00642FB4" w:rsidRDefault="00642FB4">
            <w:pPr>
              <w:jc w:val="right"/>
              <w:rPr>
                <w:rFonts w:cs="Arial"/>
                <w:sz w:val="20"/>
                <w:szCs w:val="20"/>
              </w:rPr>
            </w:pPr>
            <w:r>
              <w:rPr>
                <w:sz w:val="20"/>
              </w:rPr>
              <w:t>7 518</w:t>
            </w:r>
          </w:p>
        </w:tc>
        <w:tc>
          <w:tcPr>
            <w:tcW w:w="432" w:type="pct"/>
          </w:tcPr>
          <w:p w:rsidR="00642FB4" w:rsidRDefault="00642FB4">
            <w:pPr>
              <w:jc w:val="right"/>
              <w:rPr>
                <w:rFonts w:cs="Arial"/>
                <w:sz w:val="20"/>
                <w:szCs w:val="20"/>
              </w:rPr>
            </w:pPr>
            <w:r>
              <w:rPr>
                <w:sz w:val="20"/>
              </w:rPr>
              <w:t>7 581</w:t>
            </w:r>
          </w:p>
        </w:tc>
        <w:tc>
          <w:tcPr>
            <w:tcW w:w="432" w:type="pct"/>
          </w:tcPr>
          <w:p w:rsidR="00642FB4" w:rsidRDefault="00642FB4">
            <w:pPr>
              <w:jc w:val="right"/>
              <w:rPr>
                <w:rFonts w:cs="Arial"/>
                <w:sz w:val="20"/>
                <w:szCs w:val="20"/>
              </w:rPr>
            </w:pPr>
            <w:r>
              <w:rPr>
                <w:sz w:val="20"/>
              </w:rPr>
              <w:t>7 425</w:t>
            </w:r>
          </w:p>
        </w:tc>
        <w:tc>
          <w:tcPr>
            <w:tcW w:w="432" w:type="pct"/>
          </w:tcPr>
          <w:p w:rsidR="00642FB4" w:rsidRDefault="00642FB4">
            <w:pPr>
              <w:jc w:val="right"/>
              <w:rPr>
                <w:rFonts w:cs="Arial"/>
                <w:sz w:val="20"/>
                <w:szCs w:val="20"/>
              </w:rPr>
            </w:pPr>
            <w:r>
              <w:rPr>
                <w:sz w:val="20"/>
              </w:rPr>
              <w:t>7 687</w:t>
            </w:r>
          </w:p>
        </w:tc>
      </w:tr>
    </w:tbl>
    <w:p w:rsidR="00642FB4" w:rsidRDefault="00642FB4">
      <w:pPr>
        <w:pStyle w:val="HTMLPreformatted"/>
        <w:jc w:val="both"/>
        <w:rPr>
          <w:rFonts w:ascii="Arial" w:eastAsia="Calibri" w:hAnsi="Arial" w:cs="Arial"/>
          <w:sz w:val="24"/>
          <w:szCs w:val="24"/>
        </w:rPr>
      </w:pPr>
    </w:p>
    <w:p w:rsidR="00642FB4" w:rsidRDefault="00642FB4">
      <w:pPr>
        <w:pStyle w:val="HTMLPreformatted"/>
        <w:spacing w:before="60" w:after="60" w:line="288" w:lineRule="auto"/>
        <w:ind w:firstLine="720"/>
        <w:jc w:val="both"/>
        <w:rPr>
          <w:rFonts w:ascii="Arial" w:eastAsia="Calibri" w:hAnsi="Arial" w:cs="Arial"/>
          <w:sz w:val="24"/>
          <w:szCs w:val="24"/>
        </w:rPr>
      </w:pPr>
      <w:r>
        <w:rPr>
          <w:rFonts w:ascii="Arial" w:hAnsi="Arial"/>
          <w:sz w:val="24"/>
        </w:rPr>
        <w:t xml:space="preserve">Моніторинг якості води показав, що основними забруднювачами води є: </w:t>
      </w:r>
      <w:r>
        <w:rPr>
          <w:rFonts w:ascii="Arial" w:hAnsi="Arial"/>
          <w:i/>
          <w:sz w:val="24"/>
        </w:rPr>
        <w:t>сталеливарна промисловість та вуглепромисловість.</w:t>
      </w:r>
      <w:r>
        <w:rPr>
          <w:rFonts w:ascii="Arial" w:hAnsi="Arial"/>
          <w:sz w:val="24"/>
        </w:rPr>
        <w:t xml:space="preserve"> Використання сирої води в промислових технологіях призводить до забруднення питної води. Сіверський Донець є найбільш забрудненою водою, після якої слідують річки Чорноморського басейну. </w:t>
      </w:r>
    </w:p>
    <w:p w:rsidR="00642FB4" w:rsidRDefault="00642FB4">
      <w:pPr>
        <w:pStyle w:val="HTMLPreformatted"/>
        <w:jc w:val="both"/>
        <w:rPr>
          <w:rFonts w:ascii="Arial" w:eastAsia="Calibri" w:hAnsi="Arial" w:cs="Arial"/>
          <w:b/>
          <w:bCs/>
          <w:i/>
          <w:sz w:val="22"/>
          <w:szCs w:val="22"/>
        </w:rPr>
      </w:pPr>
    </w:p>
    <w:p w:rsidR="00642FB4" w:rsidRDefault="00642FB4">
      <w:pPr>
        <w:pStyle w:val="HTMLPreformatted"/>
        <w:jc w:val="center"/>
        <w:rPr>
          <w:rFonts w:ascii="Arial" w:eastAsia="Calibri" w:hAnsi="Arial" w:cs="Arial"/>
          <w:sz w:val="22"/>
          <w:szCs w:val="22"/>
        </w:rPr>
      </w:pPr>
      <w:r>
        <w:rPr>
          <w:rFonts w:ascii="Arial" w:hAnsi="Arial"/>
          <w:b/>
          <w:i/>
          <w:sz w:val="22"/>
        </w:rPr>
        <w:t xml:space="preserve">Таблиця 4.6.4 </w:t>
      </w:r>
      <w:r>
        <w:rPr>
          <w:rFonts w:ascii="Arial" w:hAnsi="Arial"/>
          <w:sz w:val="22"/>
        </w:rPr>
        <w:t>Забруднюючі речовини в поверхневих водах</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686"/>
        <w:gridCol w:w="3549"/>
        <w:gridCol w:w="2372"/>
      </w:tblGrid>
      <w:tr w:rsidR="00642FB4">
        <w:trPr>
          <w:trHeight w:hRule="exact" w:val="658"/>
          <w:tblHeader/>
          <w:jc w:val="center"/>
        </w:trPr>
        <w:tc>
          <w:tcPr>
            <w:tcW w:w="3686" w:type="dxa"/>
            <w:vAlign w:val="center"/>
          </w:tcPr>
          <w:p w:rsidR="00642FB4" w:rsidRDefault="00642FB4">
            <w:pPr>
              <w:autoSpaceDE w:val="0"/>
              <w:autoSpaceDN w:val="0"/>
              <w:adjustRightInd w:val="0"/>
              <w:jc w:val="both"/>
              <w:rPr>
                <w:rFonts w:eastAsia="TimesNewRoman" w:cs="Arial"/>
                <w:b/>
                <w:sz w:val="20"/>
                <w:szCs w:val="20"/>
              </w:rPr>
            </w:pPr>
            <w:r>
              <w:rPr>
                <w:b/>
                <w:sz w:val="20"/>
              </w:rPr>
              <w:t>Поверхневі води</w:t>
            </w:r>
          </w:p>
        </w:tc>
        <w:tc>
          <w:tcPr>
            <w:tcW w:w="3549" w:type="dxa"/>
            <w:vAlign w:val="center"/>
          </w:tcPr>
          <w:p w:rsidR="00642FB4" w:rsidRDefault="00642FB4">
            <w:pPr>
              <w:autoSpaceDE w:val="0"/>
              <w:autoSpaceDN w:val="0"/>
              <w:adjustRightInd w:val="0"/>
              <w:jc w:val="both"/>
              <w:rPr>
                <w:rFonts w:eastAsia="TimesNewRoman" w:cs="Arial"/>
                <w:b/>
                <w:sz w:val="20"/>
                <w:szCs w:val="20"/>
              </w:rPr>
            </w:pPr>
            <w:r>
              <w:rPr>
                <w:b/>
                <w:sz w:val="20"/>
              </w:rPr>
              <w:t>Забруднювачі  води</w:t>
            </w:r>
          </w:p>
        </w:tc>
        <w:tc>
          <w:tcPr>
            <w:tcW w:w="2372" w:type="dxa"/>
            <w:vAlign w:val="center"/>
          </w:tcPr>
          <w:p w:rsidR="00642FB4" w:rsidRDefault="00642FB4">
            <w:pPr>
              <w:autoSpaceDE w:val="0"/>
              <w:autoSpaceDN w:val="0"/>
              <w:adjustRightInd w:val="0"/>
              <w:jc w:val="both"/>
              <w:rPr>
                <w:rFonts w:eastAsia="TimesNewRoman" w:cs="Arial"/>
                <w:b/>
                <w:sz w:val="20"/>
                <w:szCs w:val="20"/>
              </w:rPr>
            </w:pPr>
            <w:r>
              <w:rPr>
                <w:b/>
                <w:sz w:val="20"/>
              </w:rPr>
              <w:t>Забруднюючі речовини в стічних водах</w:t>
            </w:r>
          </w:p>
        </w:tc>
      </w:tr>
      <w:tr w:rsidR="00642FB4">
        <w:trPr>
          <w:trHeight w:hRule="exact" w:val="321"/>
          <w:jc w:val="center"/>
        </w:trPr>
        <w:tc>
          <w:tcPr>
            <w:tcW w:w="3686" w:type="dxa"/>
            <w:vAlign w:val="center"/>
          </w:tcPr>
          <w:p w:rsidR="00642FB4" w:rsidRDefault="00642FB4">
            <w:pPr>
              <w:pStyle w:val="HTMLPreformatted"/>
              <w:jc w:val="both"/>
              <w:rPr>
                <w:rFonts w:ascii="Arial" w:hAnsi="Arial" w:cs="Arial"/>
                <w:b/>
              </w:rPr>
            </w:pPr>
            <w:r>
              <w:rPr>
                <w:rFonts w:ascii="Arial" w:hAnsi="Arial"/>
                <w:b/>
              </w:rPr>
              <w:t>Західний Буг</w:t>
            </w:r>
          </w:p>
          <w:p w:rsidR="00642FB4" w:rsidRDefault="00642FB4">
            <w:pPr>
              <w:autoSpaceDE w:val="0"/>
              <w:autoSpaceDN w:val="0"/>
              <w:adjustRightInd w:val="0"/>
              <w:jc w:val="both"/>
              <w:rPr>
                <w:rFonts w:eastAsia="TimesNewRoman" w:cs="Arial"/>
                <w:b/>
                <w:sz w:val="20"/>
                <w:szCs w:val="20"/>
              </w:rPr>
            </w:pPr>
          </w:p>
        </w:tc>
        <w:tc>
          <w:tcPr>
            <w:tcW w:w="3549" w:type="dxa"/>
            <w:vAlign w:val="center"/>
          </w:tcPr>
          <w:p w:rsidR="00642FB4" w:rsidRDefault="00642FB4">
            <w:pPr>
              <w:pStyle w:val="HTMLPreformatted"/>
              <w:jc w:val="both"/>
              <w:rPr>
                <w:rFonts w:ascii="Arial" w:hAnsi="Arial" w:cs="Arial"/>
                <w:lang w:val="ro-RO"/>
              </w:rPr>
            </w:pPr>
            <w:r>
              <w:rPr>
                <w:rFonts w:ascii="Arial" w:hAnsi="Arial"/>
                <w:lang w:val="ro-RO"/>
              </w:rPr>
              <w:t>аміак, нітрити, залізо і загальний хром</w:t>
            </w:r>
          </w:p>
          <w:p w:rsidR="00642FB4" w:rsidRDefault="00642FB4">
            <w:pPr>
              <w:autoSpaceDE w:val="0"/>
              <w:autoSpaceDN w:val="0"/>
              <w:adjustRightInd w:val="0"/>
              <w:jc w:val="both"/>
              <w:rPr>
                <w:rFonts w:eastAsia="TimesNewRoman" w:cs="Arial"/>
                <w:sz w:val="20"/>
                <w:szCs w:val="20"/>
              </w:rPr>
            </w:pPr>
          </w:p>
        </w:tc>
        <w:tc>
          <w:tcPr>
            <w:tcW w:w="2372" w:type="dxa"/>
            <w:vAlign w:val="center"/>
          </w:tcPr>
          <w:p w:rsidR="00642FB4" w:rsidRDefault="00642FB4">
            <w:pPr>
              <w:autoSpaceDE w:val="0"/>
              <w:autoSpaceDN w:val="0"/>
              <w:adjustRightInd w:val="0"/>
              <w:jc w:val="both"/>
              <w:rPr>
                <w:rFonts w:eastAsia="TimesNewRoman" w:cs="Arial"/>
                <w:sz w:val="20"/>
                <w:szCs w:val="20"/>
              </w:rPr>
            </w:pPr>
            <w:r>
              <w:rPr>
                <w:sz w:val="20"/>
              </w:rPr>
              <w:t>свинець</w:t>
            </w:r>
          </w:p>
        </w:tc>
      </w:tr>
      <w:tr w:rsidR="00642FB4">
        <w:trPr>
          <w:trHeight w:hRule="exact" w:val="276"/>
          <w:jc w:val="center"/>
        </w:trPr>
        <w:tc>
          <w:tcPr>
            <w:tcW w:w="3686" w:type="dxa"/>
            <w:vAlign w:val="center"/>
          </w:tcPr>
          <w:p w:rsidR="00642FB4" w:rsidRDefault="00642FB4">
            <w:pPr>
              <w:autoSpaceDE w:val="0"/>
              <w:autoSpaceDN w:val="0"/>
              <w:adjustRightInd w:val="0"/>
              <w:jc w:val="both"/>
              <w:rPr>
                <w:rFonts w:eastAsia="TimesNewRoman" w:cs="Arial"/>
                <w:b/>
                <w:sz w:val="20"/>
                <w:szCs w:val="20"/>
              </w:rPr>
            </w:pPr>
            <w:r>
              <w:rPr>
                <w:b/>
                <w:sz w:val="20"/>
              </w:rPr>
              <w:t>Дунай</w:t>
            </w:r>
          </w:p>
        </w:tc>
        <w:tc>
          <w:tcPr>
            <w:tcW w:w="3549" w:type="dxa"/>
            <w:vAlign w:val="center"/>
          </w:tcPr>
          <w:p w:rsidR="00642FB4" w:rsidRDefault="00642FB4">
            <w:pPr>
              <w:pStyle w:val="HTMLPreformatted"/>
              <w:jc w:val="both"/>
              <w:rPr>
                <w:rFonts w:ascii="Arial" w:hAnsi="Arial" w:cs="Arial"/>
                <w:lang w:val="ro-RO"/>
              </w:rPr>
            </w:pPr>
            <w:r>
              <w:rPr>
                <w:rFonts w:ascii="Arial" w:hAnsi="Arial"/>
                <w:lang w:val="ro-RO"/>
              </w:rPr>
              <w:t>аміак, нітрити, залізо, цинк і загальний хром</w:t>
            </w:r>
          </w:p>
          <w:p w:rsidR="00642FB4" w:rsidRDefault="00642FB4">
            <w:pPr>
              <w:autoSpaceDE w:val="0"/>
              <w:autoSpaceDN w:val="0"/>
              <w:adjustRightInd w:val="0"/>
              <w:jc w:val="both"/>
              <w:rPr>
                <w:rFonts w:eastAsia="TimesNewRoman" w:cs="Arial"/>
                <w:sz w:val="20"/>
                <w:szCs w:val="20"/>
              </w:rPr>
            </w:pPr>
          </w:p>
        </w:tc>
        <w:tc>
          <w:tcPr>
            <w:tcW w:w="2372" w:type="dxa"/>
            <w:vAlign w:val="center"/>
          </w:tcPr>
          <w:p w:rsidR="00642FB4" w:rsidRDefault="00642FB4">
            <w:pPr>
              <w:pStyle w:val="HTMLPreformatted"/>
              <w:jc w:val="both"/>
              <w:rPr>
                <w:rFonts w:ascii="Arial" w:hAnsi="Arial" w:cs="Arial"/>
              </w:rPr>
            </w:pPr>
            <w:r>
              <w:rPr>
                <w:rFonts w:ascii="Arial" w:hAnsi="Arial"/>
              </w:rPr>
              <w:t>BSK5</w:t>
            </w:r>
          </w:p>
          <w:p w:rsidR="00642FB4" w:rsidRDefault="00642FB4">
            <w:pPr>
              <w:autoSpaceDE w:val="0"/>
              <w:autoSpaceDN w:val="0"/>
              <w:adjustRightInd w:val="0"/>
              <w:jc w:val="both"/>
              <w:rPr>
                <w:rFonts w:eastAsia="TimesNewRoman" w:cs="Arial"/>
                <w:sz w:val="20"/>
                <w:szCs w:val="20"/>
              </w:rPr>
            </w:pPr>
          </w:p>
        </w:tc>
      </w:tr>
      <w:tr w:rsidR="00642FB4">
        <w:trPr>
          <w:trHeight w:hRule="exact" w:val="528"/>
          <w:jc w:val="center"/>
        </w:trPr>
        <w:tc>
          <w:tcPr>
            <w:tcW w:w="3686" w:type="dxa"/>
            <w:vAlign w:val="center"/>
          </w:tcPr>
          <w:p w:rsidR="00642FB4" w:rsidRDefault="00642FB4">
            <w:pPr>
              <w:pStyle w:val="HTMLPreformatted"/>
              <w:jc w:val="both"/>
              <w:rPr>
                <w:rFonts w:eastAsia="TimesNewRoman" w:cs="Arial"/>
                <w:b/>
              </w:rPr>
            </w:pPr>
            <w:r>
              <w:rPr>
                <w:rFonts w:ascii="Arial" w:hAnsi="Arial"/>
                <w:b/>
              </w:rPr>
              <w:t>Дністер</w:t>
            </w:r>
          </w:p>
        </w:tc>
        <w:tc>
          <w:tcPr>
            <w:tcW w:w="3549" w:type="dxa"/>
            <w:vAlign w:val="center"/>
          </w:tcPr>
          <w:p w:rsidR="00642FB4" w:rsidRDefault="00642FB4">
            <w:pPr>
              <w:pStyle w:val="HTMLPreformatted"/>
              <w:jc w:val="both"/>
              <w:rPr>
                <w:rFonts w:ascii="Arial" w:hAnsi="Arial" w:cs="Arial"/>
              </w:rPr>
            </w:pPr>
            <w:r>
              <w:rPr>
                <w:rFonts w:ascii="Arial" w:hAnsi="Arial"/>
              </w:rPr>
              <w:t>аміак, нітрити, залізо, цинк і загальний хром, миючі речовини та нікель</w:t>
            </w:r>
          </w:p>
          <w:p w:rsidR="00642FB4" w:rsidRDefault="00642FB4">
            <w:pPr>
              <w:autoSpaceDE w:val="0"/>
              <w:autoSpaceDN w:val="0"/>
              <w:adjustRightInd w:val="0"/>
              <w:jc w:val="both"/>
              <w:rPr>
                <w:rFonts w:eastAsia="TimesNewRoman" w:cs="Arial"/>
                <w:sz w:val="20"/>
                <w:szCs w:val="20"/>
              </w:rPr>
            </w:pPr>
          </w:p>
        </w:tc>
        <w:tc>
          <w:tcPr>
            <w:tcW w:w="2372" w:type="dxa"/>
            <w:vAlign w:val="center"/>
          </w:tcPr>
          <w:p w:rsidR="00642FB4" w:rsidRDefault="00642FB4">
            <w:pPr>
              <w:pStyle w:val="HTMLPreformatted"/>
              <w:jc w:val="both"/>
              <w:rPr>
                <w:rFonts w:eastAsia="TimesNewRoman" w:cs="Arial"/>
              </w:rPr>
            </w:pPr>
            <w:r>
              <w:rPr>
                <w:rFonts w:ascii="Arial" w:hAnsi="Arial"/>
              </w:rPr>
              <w:t>COD та BSK5</w:t>
            </w:r>
          </w:p>
        </w:tc>
      </w:tr>
      <w:tr w:rsidR="00642FB4">
        <w:trPr>
          <w:trHeight w:hRule="exact" w:val="774"/>
          <w:jc w:val="center"/>
        </w:trPr>
        <w:tc>
          <w:tcPr>
            <w:tcW w:w="3686" w:type="dxa"/>
            <w:vAlign w:val="center"/>
          </w:tcPr>
          <w:p w:rsidR="00642FB4" w:rsidRDefault="00642FB4">
            <w:pPr>
              <w:pStyle w:val="HTMLPreformatted"/>
              <w:jc w:val="both"/>
              <w:rPr>
                <w:rFonts w:eastAsia="TimesNewRoman" w:cs="Arial"/>
                <w:b/>
              </w:rPr>
            </w:pPr>
            <w:r>
              <w:rPr>
                <w:rFonts w:ascii="Arial" w:hAnsi="Arial"/>
                <w:b/>
              </w:rPr>
              <w:t>Дніпро</w:t>
            </w:r>
          </w:p>
        </w:tc>
        <w:tc>
          <w:tcPr>
            <w:tcW w:w="3549" w:type="dxa"/>
            <w:vAlign w:val="center"/>
          </w:tcPr>
          <w:p w:rsidR="00642FB4" w:rsidRDefault="00642FB4">
            <w:pPr>
              <w:pStyle w:val="HTMLPreformatted"/>
              <w:jc w:val="both"/>
              <w:rPr>
                <w:rFonts w:ascii="Arial" w:hAnsi="Arial" w:cs="Arial"/>
              </w:rPr>
            </w:pPr>
            <w:r>
              <w:rPr>
                <w:rFonts w:ascii="Arial" w:hAnsi="Arial"/>
              </w:rPr>
              <w:t>аміак і нітрити, цинк, хром, залізо і загальний хром, нікель, феноли та нафтопродукти</w:t>
            </w:r>
          </w:p>
          <w:p w:rsidR="00642FB4" w:rsidRDefault="00642FB4">
            <w:pPr>
              <w:autoSpaceDE w:val="0"/>
              <w:autoSpaceDN w:val="0"/>
              <w:adjustRightInd w:val="0"/>
              <w:jc w:val="both"/>
              <w:rPr>
                <w:rFonts w:eastAsia="TimesNewRoman" w:cs="Arial"/>
                <w:sz w:val="20"/>
                <w:szCs w:val="20"/>
              </w:rPr>
            </w:pPr>
          </w:p>
        </w:tc>
        <w:tc>
          <w:tcPr>
            <w:tcW w:w="2372" w:type="dxa"/>
            <w:vAlign w:val="center"/>
          </w:tcPr>
          <w:p w:rsidR="00642FB4" w:rsidRDefault="00642FB4">
            <w:pPr>
              <w:pStyle w:val="HTMLPreformatted"/>
              <w:jc w:val="both"/>
              <w:rPr>
                <w:rFonts w:ascii="Arial" w:hAnsi="Arial" w:cs="Arial"/>
                <w:lang w:val="ro-RO"/>
              </w:rPr>
            </w:pPr>
            <w:r>
              <w:rPr>
                <w:rFonts w:ascii="Arial" w:hAnsi="Arial"/>
                <w:lang w:val="ro-RO"/>
              </w:rPr>
              <w:t xml:space="preserve">BSK5 та COD , азот аміаку і нітрат </w:t>
            </w:r>
          </w:p>
          <w:p w:rsidR="00642FB4" w:rsidRDefault="00642FB4">
            <w:pPr>
              <w:autoSpaceDE w:val="0"/>
              <w:autoSpaceDN w:val="0"/>
              <w:adjustRightInd w:val="0"/>
              <w:jc w:val="both"/>
              <w:rPr>
                <w:rFonts w:eastAsia="TimesNewRoman" w:cs="Arial"/>
                <w:sz w:val="20"/>
                <w:szCs w:val="20"/>
              </w:rPr>
            </w:pPr>
          </w:p>
        </w:tc>
      </w:tr>
      <w:tr w:rsidR="00642FB4">
        <w:trPr>
          <w:trHeight w:hRule="exact" w:val="258"/>
          <w:jc w:val="center"/>
        </w:trPr>
        <w:tc>
          <w:tcPr>
            <w:tcW w:w="3686" w:type="dxa"/>
            <w:vAlign w:val="center"/>
          </w:tcPr>
          <w:p w:rsidR="00642FB4" w:rsidRDefault="00642FB4">
            <w:pPr>
              <w:pStyle w:val="HTMLPreformatted"/>
              <w:jc w:val="both"/>
              <w:rPr>
                <w:rFonts w:ascii="Arial" w:hAnsi="Arial" w:cs="Arial"/>
                <w:b/>
              </w:rPr>
            </w:pPr>
            <w:r>
              <w:rPr>
                <w:rFonts w:ascii="Arial" w:hAnsi="Arial"/>
                <w:b/>
              </w:rPr>
              <w:t>Південний Буг</w:t>
            </w:r>
          </w:p>
          <w:p w:rsidR="00642FB4" w:rsidRDefault="00642FB4">
            <w:pPr>
              <w:autoSpaceDE w:val="0"/>
              <w:autoSpaceDN w:val="0"/>
              <w:adjustRightInd w:val="0"/>
              <w:jc w:val="both"/>
              <w:rPr>
                <w:rFonts w:eastAsia="TimesNewRoman" w:cs="Arial"/>
                <w:b/>
                <w:sz w:val="20"/>
                <w:szCs w:val="20"/>
              </w:rPr>
            </w:pPr>
          </w:p>
        </w:tc>
        <w:tc>
          <w:tcPr>
            <w:tcW w:w="3549" w:type="dxa"/>
            <w:vAlign w:val="center"/>
          </w:tcPr>
          <w:p w:rsidR="00642FB4" w:rsidRDefault="00642FB4">
            <w:pPr>
              <w:pStyle w:val="HTMLPreformatted"/>
              <w:jc w:val="both"/>
              <w:rPr>
                <w:rFonts w:ascii="Arial" w:hAnsi="Arial" w:cs="Arial"/>
              </w:rPr>
            </w:pPr>
            <w:r>
              <w:rPr>
                <w:rFonts w:ascii="Arial" w:hAnsi="Arial"/>
              </w:rPr>
              <w:t>азот аміаку і нітрити</w:t>
            </w:r>
          </w:p>
          <w:p w:rsidR="00642FB4" w:rsidRDefault="00642FB4">
            <w:pPr>
              <w:autoSpaceDE w:val="0"/>
              <w:autoSpaceDN w:val="0"/>
              <w:adjustRightInd w:val="0"/>
              <w:jc w:val="both"/>
              <w:rPr>
                <w:rFonts w:eastAsia="TimesNewRoman" w:cs="Arial"/>
                <w:sz w:val="20"/>
                <w:szCs w:val="20"/>
              </w:rPr>
            </w:pPr>
          </w:p>
        </w:tc>
        <w:tc>
          <w:tcPr>
            <w:tcW w:w="2372" w:type="dxa"/>
            <w:vAlign w:val="center"/>
          </w:tcPr>
          <w:p w:rsidR="00642FB4" w:rsidRDefault="00642FB4">
            <w:pPr>
              <w:autoSpaceDE w:val="0"/>
              <w:autoSpaceDN w:val="0"/>
              <w:adjustRightInd w:val="0"/>
              <w:jc w:val="both"/>
              <w:rPr>
                <w:rFonts w:eastAsia="TimesNewRoman" w:cs="Arial"/>
                <w:sz w:val="20"/>
                <w:szCs w:val="20"/>
              </w:rPr>
            </w:pPr>
          </w:p>
        </w:tc>
      </w:tr>
      <w:tr w:rsidR="00642FB4">
        <w:trPr>
          <w:trHeight w:hRule="exact" w:val="492"/>
          <w:jc w:val="center"/>
        </w:trPr>
        <w:tc>
          <w:tcPr>
            <w:tcW w:w="3686" w:type="dxa"/>
            <w:vAlign w:val="center"/>
          </w:tcPr>
          <w:p w:rsidR="00642FB4" w:rsidRDefault="00642FB4">
            <w:pPr>
              <w:pStyle w:val="HTMLPreformatted"/>
              <w:jc w:val="both"/>
              <w:rPr>
                <w:rFonts w:eastAsia="TimesNewRoman" w:cs="Arial"/>
                <w:b/>
              </w:rPr>
            </w:pPr>
            <w:r>
              <w:rPr>
                <w:rFonts w:ascii="Arial" w:hAnsi="Arial"/>
                <w:b/>
              </w:rPr>
              <w:t>Сіверський Донець</w:t>
            </w:r>
          </w:p>
        </w:tc>
        <w:tc>
          <w:tcPr>
            <w:tcW w:w="3549" w:type="dxa"/>
            <w:vAlign w:val="center"/>
          </w:tcPr>
          <w:p w:rsidR="00642FB4" w:rsidRDefault="00642FB4">
            <w:pPr>
              <w:pStyle w:val="HTMLPreformatted"/>
              <w:jc w:val="both"/>
              <w:rPr>
                <w:rFonts w:ascii="Arial" w:hAnsi="Arial" w:cs="Arial"/>
              </w:rPr>
            </w:pPr>
            <w:r>
              <w:rPr>
                <w:rFonts w:ascii="Arial" w:hAnsi="Arial"/>
              </w:rPr>
              <w:t>аміачний азот, нітрити і нітрат, феноли, загальний вміст заліза</w:t>
            </w:r>
          </w:p>
          <w:p w:rsidR="00642FB4" w:rsidRDefault="00642FB4">
            <w:pPr>
              <w:autoSpaceDE w:val="0"/>
              <w:autoSpaceDN w:val="0"/>
              <w:adjustRightInd w:val="0"/>
              <w:jc w:val="both"/>
              <w:rPr>
                <w:rFonts w:eastAsia="TimesNewRoman" w:cs="Arial"/>
                <w:sz w:val="20"/>
                <w:szCs w:val="20"/>
              </w:rPr>
            </w:pPr>
          </w:p>
        </w:tc>
        <w:tc>
          <w:tcPr>
            <w:tcW w:w="2372" w:type="dxa"/>
            <w:vAlign w:val="center"/>
          </w:tcPr>
          <w:p w:rsidR="00642FB4" w:rsidRDefault="00642FB4">
            <w:pPr>
              <w:pStyle w:val="HTMLPreformatted"/>
              <w:jc w:val="both"/>
              <w:rPr>
                <w:rFonts w:eastAsia="TimesNewRoman" w:cs="Arial"/>
              </w:rPr>
            </w:pPr>
            <w:r>
              <w:rPr>
                <w:rFonts w:ascii="Arial" w:hAnsi="Arial"/>
              </w:rPr>
              <w:t>COD</w:t>
            </w:r>
          </w:p>
        </w:tc>
      </w:tr>
      <w:tr w:rsidR="00642FB4">
        <w:trPr>
          <w:trHeight w:hRule="exact" w:val="258"/>
          <w:jc w:val="center"/>
        </w:trPr>
        <w:tc>
          <w:tcPr>
            <w:tcW w:w="3686" w:type="dxa"/>
            <w:vAlign w:val="center"/>
          </w:tcPr>
          <w:p w:rsidR="00642FB4" w:rsidRDefault="00642FB4">
            <w:pPr>
              <w:pStyle w:val="HTMLPreformatted"/>
              <w:jc w:val="both"/>
              <w:rPr>
                <w:rFonts w:ascii="Arial" w:hAnsi="Arial" w:cs="Arial"/>
                <w:b/>
              </w:rPr>
            </w:pPr>
            <w:r>
              <w:rPr>
                <w:rFonts w:ascii="Arial" w:hAnsi="Arial"/>
                <w:b/>
              </w:rPr>
              <w:t>Річка Приазовська</w:t>
            </w:r>
          </w:p>
          <w:p w:rsidR="00642FB4" w:rsidRDefault="00642FB4">
            <w:pPr>
              <w:autoSpaceDE w:val="0"/>
              <w:autoSpaceDN w:val="0"/>
              <w:adjustRightInd w:val="0"/>
              <w:jc w:val="both"/>
              <w:rPr>
                <w:rFonts w:eastAsia="TimesNewRoman" w:cs="Arial"/>
                <w:b/>
                <w:sz w:val="20"/>
                <w:szCs w:val="20"/>
              </w:rPr>
            </w:pPr>
          </w:p>
        </w:tc>
        <w:tc>
          <w:tcPr>
            <w:tcW w:w="3549" w:type="dxa"/>
            <w:vAlign w:val="center"/>
          </w:tcPr>
          <w:p w:rsidR="00642FB4" w:rsidRDefault="00642FB4">
            <w:pPr>
              <w:pStyle w:val="HTMLPreformatted"/>
              <w:jc w:val="both"/>
              <w:rPr>
                <w:rFonts w:ascii="Arial" w:hAnsi="Arial" w:cs="Arial"/>
                <w:lang w:val="ro-RO"/>
              </w:rPr>
            </w:pPr>
            <w:r>
              <w:rPr>
                <w:rFonts w:ascii="Arial" w:hAnsi="Arial"/>
                <w:lang w:val="ro-RO"/>
              </w:rPr>
              <w:t>аміачний азот і нітрити, загальний хром і нафтопродукти</w:t>
            </w:r>
          </w:p>
          <w:p w:rsidR="00642FB4" w:rsidRDefault="00642FB4">
            <w:pPr>
              <w:autoSpaceDE w:val="0"/>
              <w:autoSpaceDN w:val="0"/>
              <w:adjustRightInd w:val="0"/>
              <w:jc w:val="both"/>
              <w:rPr>
                <w:rFonts w:eastAsia="TimesNewRoman" w:cs="Arial"/>
                <w:sz w:val="20"/>
                <w:szCs w:val="20"/>
              </w:rPr>
            </w:pPr>
          </w:p>
        </w:tc>
        <w:tc>
          <w:tcPr>
            <w:tcW w:w="2372" w:type="dxa"/>
            <w:vAlign w:val="center"/>
          </w:tcPr>
          <w:p w:rsidR="00642FB4" w:rsidRDefault="00642FB4">
            <w:pPr>
              <w:autoSpaceDE w:val="0"/>
              <w:autoSpaceDN w:val="0"/>
              <w:adjustRightInd w:val="0"/>
              <w:jc w:val="both"/>
              <w:rPr>
                <w:rFonts w:eastAsia="TimesNewRoman" w:cs="Arial"/>
                <w:sz w:val="20"/>
                <w:szCs w:val="20"/>
              </w:rPr>
            </w:pPr>
          </w:p>
        </w:tc>
      </w:tr>
      <w:tr w:rsidR="00642FB4">
        <w:trPr>
          <w:trHeight w:hRule="exact" w:val="550"/>
          <w:jc w:val="center"/>
        </w:trPr>
        <w:tc>
          <w:tcPr>
            <w:tcW w:w="3686" w:type="dxa"/>
            <w:vAlign w:val="center"/>
          </w:tcPr>
          <w:p w:rsidR="00642FB4" w:rsidRDefault="00642FB4">
            <w:pPr>
              <w:autoSpaceDE w:val="0"/>
              <w:autoSpaceDN w:val="0"/>
              <w:adjustRightInd w:val="0"/>
              <w:jc w:val="both"/>
              <w:rPr>
                <w:rFonts w:eastAsia="TimesNewRoman" w:cs="Arial"/>
                <w:b/>
                <w:sz w:val="20"/>
                <w:szCs w:val="20"/>
              </w:rPr>
            </w:pPr>
            <w:r>
              <w:rPr>
                <w:b/>
                <w:sz w:val="20"/>
              </w:rPr>
              <w:t>Річки, що впадають у Чорне море</w:t>
            </w:r>
          </w:p>
        </w:tc>
        <w:tc>
          <w:tcPr>
            <w:tcW w:w="3549" w:type="dxa"/>
            <w:vAlign w:val="center"/>
          </w:tcPr>
          <w:p w:rsidR="00642FB4" w:rsidRDefault="00642FB4">
            <w:pPr>
              <w:pStyle w:val="HTMLPreformatted"/>
              <w:jc w:val="both"/>
              <w:rPr>
                <w:rFonts w:eastAsia="TimesNewRoman" w:cs="Arial"/>
                <w:lang w:val="ro-RO"/>
              </w:rPr>
            </w:pPr>
            <w:r>
              <w:rPr>
                <w:rFonts w:ascii="Arial" w:hAnsi="Arial"/>
                <w:lang w:val="ro-RO"/>
              </w:rPr>
              <w:t>азот, нітрити та загальний вміст заліза</w:t>
            </w:r>
          </w:p>
        </w:tc>
        <w:tc>
          <w:tcPr>
            <w:tcW w:w="2372" w:type="dxa"/>
            <w:vAlign w:val="center"/>
          </w:tcPr>
          <w:p w:rsidR="00642FB4" w:rsidRDefault="00642FB4">
            <w:pPr>
              <w:autoSpaceDE w:val="0"/>
              <w:autoSpaceDN w:val="0"/>
              <w:adjustRightInd w:val="0"/>
              <w:jc w:val="both"/>
              <w:rPr>
                <w:rFonts w:eastAsia="TimesNewRoman" w:cs="Arial"/>
                <w:sz w:val="20"/>
                <w:szCs w:val="20"/>
              </w:rPr>
            </w:pPr>
            <w:r>
              <w:rPr>
                <w:sz w:val="20"/>
              </w:rPr>
              <w:t>BSK5 та COD</w:t>
            </w:r>
          </w:p>
        </w:tc>
      </w:tr>
      <w:tr w:rsidR="00642FB4">
        <w:trPr>
          <w:trHeight w:hRule="exact" w:val="276"/>
          <w:jc w:val="center"/>
        </w:trPr>
        <w:tc>
          <w:tcPr>
            <w:tcW w:w="3686" w:type="dxa"/>
            <w:vAlign w:val="center"/>
          </w:tcPr>
          <w:p w:rsidR="00642FB4" w:rsidRDefault="00642FB4">
            <w:pPr>
              <w:autoSpaceDE w:val="0"/>
              <w:autoSpaceDN w:val="0"/>
              <w:adjustRightInd w:val="0"/>
              <w:jc w:val="both"/>
              <w:rPr>
                <w:rFonts w:eastAsia="TimesNewRoman" w:cs="Arial"/>
                <w:b/>
                <w:sz w:val="20"/>
                <w:szCs w:val="20"/>
              </w:rPr>
            </w:pPr>
            <w:r>
              <w:rPr>
                <w:b/>
                <w:sz w:val="20"/>
              </w:rPr>
              <w:t>Чорне Море</w:t>
            </w:r>
          </w:p>
        </w:tc>
        <w:tc>
          <w:tcPr>
            <w:tcW w:w="3549" w:type="dxa"/>
            <w:vAlign w:val="center"/>
          </w:tcPr>
          <w:p w:rsidR="00642FB4" w:rsidRDefault="00642FB4">
            <w:pPr>
              <w:pStyle w:val="HTMLPreformatted"/>
              <w:jc w:val="both"/>
              <w:rPr>
                <w:rFonts w:ascii="Arial" w:hAnsi="Arial" w:cs="Arial"/>
              </w:rPr>
            </w:pPr>
            <w:r>
              <w:rPr>
                <w:rFonts w:ascii="Arial" w:hAnsi="Arial"/>
              </w:rPr>
              <w:t>нітрити та амоній азоту</w:t>
            </w:r>
          </w:p>
          <w:p w:rsidR="00642FB4" w:rsidRDefault="00642FB4">
            <w:pPr>
              <w:autoSpaceDE w:val="0"/>
              <w:autoSpaceDN w:val="0"/>
              <w:adjustRightInd w:val="0"/>
              <w:jc w:val="both"/>
              <w:rPr>
                <w:rFonts w:eastAsia="TimesNewRoman" w:cs="Arial"/>
                <w:sz w:val="20"/>
                <w:szCs w:val="20"/>
              </w:rPr>
            </w:pPr>
          </w:p>
        </w:tc>
        <w:tc>
          <w:tcPr>
            <w:tcW w:w="2372" w:type="dxa"/>
            <w:vAlign w:val="center"/>
          </w:tcPr>
          <w:p w:rsidR="00642FB4" w:rsidRDefault="00642FB4">
            <w:pPr>
              <w:autoSpaceDE w:val="0"/>
              <w:autoSpaceDN w:val="0"/>
              <w:adjustRightInd w:val="0"/>
              <w:jc w:val="both"/>
              <w:rPr>
                <w:rFonts w:eastAsia="TimesNewRoman" w:cs="Arial"/>
                <w:sz w:val="20"/>
                <w:szCs w:val="20"/>
              </w:rPr>
            </w:pPr>
          </w:p>
        </w:tc>
      </w:tr>
      <w:tr w:rsidR="00642FB4">
        <w:trPr>
          <w:trHeight w:hRule="exact" w:val="253"/>
          <w:jc w:val="center"/>
        </w:trPr>
        <w:tc>
          <w:tcPr>
            <w:tcW w:w="3686" w:type="dxa"/>
            <w:vAlign w:val="center"/>
          </w:tcPr>
          <w:p w:rsidR="00642FB4" w:rsidRDefault="00642FB4">
            <w:pPr>
              <w:autoSpaceDE w:val="0"/>
              <w:autoSpaceDN w:val="0"/>
              <w:adjustRightInd w:val="0"/>
              <w:jc w:val="both"/>
              <w:rPr>
                <w:rFonts w:eastAsia="TimesNewRoman" w:cs="Arial"/>
                <w:b/>
                <w:sz w:val="20"/>
                <w:szCs w:val="20"/>
              </w:rPr>
            </w:pPr>
            <w:r>
              <w:rPr>
                <w:b/>
                <w:sz w:val="20"/>
              </w:rPr>
              <w:t>Азовське море</w:t>
            </w:r>
          </w:p>
        </w:tc>
        <w:tc>
          <w:tcPr>
            <w:tcW w:w="3549" w:type="dxa"/>
            <w:vAlign w:val="center"/>
          </w:tcPr>
          <w:p w:rsidR="00642FB4" w:rsidRDefault="00642FB4">
            <w:pPr>
              <w:pStyle w:val="HTMLPreformatted"/>
              <w:jc w:val="both"/>
              <w:rPr>
                <w:rFonts w:ascii="Arial" w:hAnsi="Arial" w:cs="Arial"/>
                <w:lang w:val="ro-RO"/>
              </w:rPr>
            </w:pPr>
            <w:r>
              <w:rPr>
                <w:rFonts w:ascii="Arial" w:hAnsi="Arial"/>
                <w:lang w:val="ro-RO"/>
              </w:rPr>
              <w:t>загальний вміст оксиду заліза і нітрити</w:t>
            </w:r>
          </w:p>
          <w:p w:rsidR="00642FB4" w:rsidRDefault="00642FB4">
            <w:pPr>
              <w:autoSpaceDE w:val="0"/>
              <w:autoSpaceDN w:val="0"/>
              <w:adjustRightInd w:val="0"/>
              <w:jc w:val="both"/>
              <w:rPr>
                <w:rFonts w:eastAsia="TimesNewRoman" w:cs="Arial"/>
                <w:sz w:val="20"/>
                <w:szCs w:val="20"/>
              </w:rPr>
            </w:pPr>
          </w:p>
        </w:tc>
        <w:tc>
          <w:tcPr>
            <w:tcW w:w="2372" w:type="dxa"/>
            <w:vAlign w:val="center"/>
          </w:tcPr>
          <w:p w:rsidR="00642FB4" w:rsidRDefault="00642FB4">
            <w:pPr>
              <w:autoSpaceDE w:val="0"/>
              <w:autoSpaceDN w:val="0"/>
              <w:adjustRightInd w:val="0"/>
              <w:jc w:val="both"/>
              <w:rPr>
                <w:rFonts w:eastAsia="TimesNewRoman" w:cs="Arial"/>
                <w:sz w:val="20"/>
                <w:szCs w:val="20"/>
              </w:rPr>
            </w:pPr>
          </w:p>
        </w:tc>
      </w:tr>
    </w:tbl>
    <w:p w:rsidR="00642FB4" w:rsidRDefault="00642FB4">
      <w:pPr>
        <w:pStyle w:val="HTMLPreformatted"/>
        <w:jc w:val="both"/>
        <w:rPr>
          <w:rFonts w:ascii="Arial" w:eastAsia="Calibri" w:hAnsi="Arial" w:cs="Arial"/>
          <w:sz w:val="24"/>
          <w:szCs w:val="24"/>
          <w:lang w:val="ro-RO"/>
        </w:rPr>
      </w:pPr>
    </w:p>
    <w:p w:rsidR="00642FB4" w:rsidRDefault="00642FB4">
      <w:pPr>
        <w:pStyle w:val="HTMLPreformatted"/>
        <w:spacing w:before="60" w:after="60" w:line="288" w:lineRule="auto"/>
        <w:ind w:firstLine="720"/>
        <w:jc w:val="both"/>
        <w:rPr>
          <w:rFonts w:ascii="Arial" w:hAnsi="Arial" w:cs="Arial"/>
          <w:sz w:val="24"/>
          <w:szCs w:val="24"/>
          <w:lang w:val="ro-RO"/>
        </w:rPr>
      </w:pPr>
      <w:r>
        <w:rPr>
          <w:rFonts w:ascii="Arial" w:hAnsi="Arial"/>
          <w:sz w:val="24"/>
          <w:lang w:val="ro-RO"/>
        </w:rPr>
        <w:t xml:space="preserve">Азовське море і Чорне море розташовані на південному кордоні України. Вплив людини на морські екосистеми пов'язаний з наступною діяльністю: </w:t>
      </w:r>
      <w:r>
        <w:rPr>
          <w:rFonts w:ascii="Arial" w:hAnsi="Arial"/>
          <w:i/>
          <w:sz w:val="24"/>
          <w:lang w:val="ro-RO"/>
        </w:rPr>
        <w:t>промисловість, сільське господарство і транспорт.</w:t>
      </w:r>
      <w:r>
        <w:rPr>
          <w:rFonts w:ascii="Arial" w:hAnsi="Arial"/>
          <w:sz w:val="24"/>
          <w:lang w:val="ro-RO"/>
        </w:rPr>
        <w:t xml:space="preserve"> </w:t>
      </w:r>
    </w:p>
    <w:p w:rsidR="00642FB4" w:rsidRDefault="00642FB4">
      <w:pPr>
        <w:pStyle w:val="HTMLPreformatted"/>
        <w:jc w:val="both"/>
        <w:rPr>
          <w:rFonts w:ascii="Arial" w:eastAsia="Calibri" w:hAnsi="Arial" w:cs="Arial"/>
          <w:sz w:val="24"/>
          <w:szCs w:val="24"/>
          <w:lang w:val="ro-RO"/>
        </w:rPr>
      </w:pPr>
    </w:p>
    <w:p w:rsidR="00642FB4" w:rsidRDefault="00642FB4">
      <w:pPr>
        <w:numPr>
          <w:ilvl w:val="0"/>
          <w:numId w:val="16"/>
        </w:numPr>
        <w:spacing w:before="60" w:after="60" w:line="288" w:lineRule="auto"/>
        <w:ind w:left="1080"/>
        <w:jc w:val="both"/>
        <w:rPr>
          <w:b/>
        </w:rPr>
      </w:pPr>
      <w:r>
        <w:rPr>
          <w:b/>
        </w:rPr>
        <w:t>Ґрунт</w:t>
      </w:r>
    </w:p>
    <w:p w:rsidR="00642FB4" w:rsidRDefault="00642FB4">
      <w:pPr>
        <w:pStyle w:val="HTMLPreformatted"/>
        <w:spacing w:before="60" w:after="60" w:line="288" w:lineRule="auto"/>
        <w:ind w:firstLine="720"/>
        <w:jc w:val="both"/>
        <w:rPr>
          <w:rFonts w:ascii="Arial" w:hAnsi="Arial" w:cs="Arial"/>
          <w:sz w:val="24"/>
          <w:szCs w:val="24"/>
          <w:lang w:val="ro-RO"/>
        </w:rPr>
      </w:pPr>
      <w:r>
        <w:rPr>
          <w:rFonts w:ascii="Arial" w:hAnsi="Arial"/>
          <w:sz w:val="24"/>
          <w:lang w:val="ro-RO"/>
        </w:rPr>
        <w:t>В Україні площа земельних ділянок складає 60.354.800 га, що становить близько 70,9% від загальної площі. В таблиці 4.6.5 представлено земну поверхню країні, розподілену відповідно до типів земельних ділянок, відповідно до інформації, наданої Державним Агентством Земельних Ресурсів України.</w:t>
      </w:r>
    </w:p>
    <w:p w:rsidR="00642FB4" w:rsidRDefault="00642FB4">
      <w:pPr>
        <w:pStyle w:val="HTMLPreformatted"/>
        <w:spacing w:before="60" w:after="60" w:line="288" w:lineRule="auto"/>
        <w:ind w:firstLine="720"/>
        <w:jc w:val="both"/>
        <w:rPr>
          <w:rFonts w:ascii="Arial" w:hAnsi="Arial" w:cs="Arial"/>
          <w:sz w:val="24"/>
          <w:szCs w:val="24"/>
          <w:lang w:val="ro-RO"/>
        </w:rPr>
      </w:pPr>
      <w:r>
        <w:rPr>
          <w:rFonts w:ascii="Arial" w:hAnsi="Arial"/>
          <w:sz w:val="24"/>
          <w:lang w:val="ro-RO"/>
        </w:rPr>
        <w:t xml:space="preserve"> </w:t>
      </w:r>
    </w:p>
    <w:p w:rsidR="00642FB4" w:rsidRDefault="00642FB4">
      <w:pPr>
        <w:autoSpaceDE w:val="0"/>
        <w:autoSpaceDN w:val="0"/>
        <w:adjustRightInd w:val="0"/>
        <w:spacing w:before="60" w:after="60" w:line="288" w:lineRule="auto"/>
        <w:ind w:left="360"/>
        <w:jc w:val="center"/>
        <w:rPr>
          <w:rFonts w:eastAsia="Calibri" w:cs="Arial"/>
          <w:b/>
          <w:bCs/>
          <w:i/>
          <w:sz w:val="22"/>
          <w:szCs w:val="22"/>
        </w:rPr>
      </w:pPr>
      <w:r>
        <w:rPr>
          <w:b/>
          <w:i/>
          <w:sz w:val="22"/>
        </w:rPr>
        <w:t xml:space="preserve">Таблиця 4.6.5 </w:t>
      </w:r>
      <w:r>
        <w:t>Типи земельних ділянок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78"/>
        <w:gridCol w:w="1350"/>
        <w:gridCol w:w="933"/>
      </w:tblGrid>
      <w:tr w:rsidR="00642FB4">
        <w:trPr>
          <w:trHeight w:val="440"/>
          <w:jc w:val="center"/>
        </w:trPr>
        <w:tc>
          <w:tcPr>
            <w:tcW w:w="4878" w:type="dxa"/>
            <w:vMerge w:val="restart"/>
            <w:vAlign w:val="center"/>
          </w:tcPr>
          <w:p w:rsidR="00642FB4" w:rsidRDefault="00642FB4">
            <w:pPr>
              <w:jc w:val="both"/>
              <w:rPr>
                <w:rFonts w:cs="Arial"/>
                <w:b/>
                <w:bCs/>
                <w:sz w:val="20"/>
                <w:szCs w:val="20"/>
              </w:rPr>
            </w:pPr>
            <w:r>
              <w:rPr>
                <w:b/>
                <w:sz w:val="20"/>
              </w:rPr>
              <w:t>Типи земельних ділянок</w:t>
            </w:r>
          </w:p>
        </w:tc>
        <w:tc>
          <w:tcPr>
            <w:tcW w:w="2283" w:type="dxa"/>
            <w:gridSpan w:val="2"/>
            <w:vAlign w:val="center"/>
          </w:tcPr>
          <w:p w:rsidR="00642FB4" w:rsidRDefault="00642FB4">
            <w:pPr>
              <w:jc w:val="center"/>
              <w:rPr>
                <w:rFonts w:cs="Arial"/>
                <w:b/>
                <w:bCs/>
                <w:sz w:val="20"/>
                <w:szCs w:val="20"/>
              </w:rPr>
            </w:pPr>
            <w:r>
              <w:rPr>
                <w:b/>
                <w:sz w:val="20"/>
              </w:rPr>
              <w:t>Площа земельної ділянки</w:t>
            </w:r>
          </w:p>
        </w:tc>
      </w:tr>
      <w:tr w:rsidR="00642FB4">
        <w:trPr>
          <w:trHeight w:val="276"/>
          <w:jc w:val="center"/>
        </w:trPr>
        <w:tc>
          <w:tcPr>
            <w:tcW w:w="4878" w:type="dxa"/>
            <w:vMerge/>
            <w:vAlign w:val="center"/>
          </w:tcPr>
          <w:p w:rsidR="00642FB4" w:rsidRDefault="00642FB4">
            <w:pPr>
              <w:jc w:val="both"/>
              <w:rPr>
                <w:rFonts w:cs="Arial"/>
                <w:b/>
                <w:bCs/>
                <w:sz w:val="20"/>
                <w:szCs w:val="20"/>
              </w:rPr>
            </w:pPr>
          </w:p>
        </w:tc>
        <w:tc>
          <w:tcPr>
            <w:tcW w:w="1350" w:type="dxa"/>
            <w:vMerge w:val="restart"/>
            <w:vAlign w:val="center"/>
          </w:tcPr>
          <w:p w:rsidR="00642FB4" w:rsidRDefault="00642FB4">
            <w:pPr>
              <w:jc w:val="center"/>
              <w:rPr>
                <w:rFonts w:cs="Arial"/>
                <w:b/>
                <w:bCs/>
                <w:sz w:val="20"/>
                <w:szCs w:val="20"/>
              </w:rPr>
            </w:pPr>
            <w:r>
              <w:rPr>
                <w:b/>
                <w:sz w:val="20"/>
              </w:rPr>
              <w:t>Тисячі га</w:t>
            </w:r>
          </w:p>
        </w:tc>
        <w:tc>
          <w:tcPr>
            <w:tcW w:w="933" w:type="dxa"/>
            <w:vMerge w:val="restart"/>
            <w:vAlign w:val="center"/>
          </w:tcPr>
          <w:p w:rsidR="00642FB4" w:rsidRDefault="00642FB4">
            <w:pPr>
              <w:jc w:val="center"/>
              <w:rPr>
                <w:rFonts w:cs="Arial"/>
                <w:b/>
                <w:bCs/>
                <w:sz w:val="20"/>
                <w:szCs w:val="20"/>
              </w:rPr>
            </w:pPr>
            <w:r>
              <w:rPr>
                <w:b/>
                <w:sz w:val="20"/>
              </w:rPr>
              <w:t>%</w:t>
            </w:r>
          </w:p>
        </w:tc>
      </w:tr>
      <w:tr w:rsidR="00642FB4">
        <w:trPr>
          <w:trHeight w:val="253"/>
          <w:jc w:val="center"/>
        </w:trPr>
        <w:tc>
          <w:tcPr>
            <w:tcW w:w="4878" w:type="dxa"/>
            <w:vMerge/>
            <w:vAlign w:val="center"/>
          </w:tcPr>
          <w:p w:rsidR="00642FB4" w:rsidRDefault="00642FB4">
            <w:pPr>
              <w:jc w:val="both"/>
              <w:rPr>
                <w:rFonts w:cs="Arial"/>
                <w:bCs/>
                <w:sz w:val="20"/>
                <w:szCs w:val="20"/>
              </w:rPr>
            </w:pPr>
          </w:p>
        </w:tc>
        <w:tc>
          <w:tcPr>
            <w:tcW w:w="1350" w:type="dxa"/>
            <w:vMerge/>
          </w:tcPr>
          <w:p w:rsidR="00642FB4" w:rsidRDefault="00642FB4">
            <w:pPr>
              <w:jc w:val="both"/>
              <w:rPr>
                <w:rFonts w:cs="Arial"/>
                <w:bCs/>
                <w:sz w:val="20"/>
                <w:szCs w:val="20"/>
              </w:rPr>
            </w:pPr>
          </w:p>
        </w:tc>
        <w:tc>
          <w:tcPr>
            <w:tcW w:w="933" w:type="dxa"/>
            <w:vMerge/>
          </w:tcPr>
          <w:p w:rsidR="00642FB4" w:rsidRDefault="00642FB4">
            <w:pPr>
              <w:jc w:val="both"/>
              <w:rPr>
                <w:rFonts w:cs="Arial"/>
                <w:bCs/>
                <w:sz w:val="20"/>
                <w:szCs w:val="20"/>
              </w:rPr>
            </w:pPr>
          </w:p>
        </w:tc>
      </w:tr>
      <w:tr w:rsidR="00642FB4">
        <w:trPr>
          <w:jc w:val="center"/>
        </w:trPr>
        <w:tc>
          <w:tcPr>
            <w:tcW w:w="4878" w:type="dxa"/>
            <w:vAlign w:val="center"/>
          </w:tcPr>
          <w:p w:rsidR="00642FB4" w:rsidRDefault="00642FB4">
            <w:pPr>
              <w:jc w:val="both"/>
              <w:rPr>
                <w:rFonts w:cs="Arial"/>
                <w:bCs/>
                <w:sz w:val="20"/>
                <w:szCs w:val="20"/>
              </w:rPr>
            </w:pPr>
            <w:r>
              <w:rPr>
                <w:sz w:val="20"/>
              </w:rPr>
              <w:t>Сільськогосподарські угіддя</w:t>
            </w:r>
          </w:p>
        </w:tc>
        <w:tc>
          <w:tcPr>
            <w:tcW w:w="1350" w:type="dxa"/>
            <w:vAlign w:val="center"/>
          </w:tcPr>
          <w:p w:rsidR="00642FB4" w:rsidRDefault="00642FB4">
            <w:pPr>
              <w:jc w:val="right"/>
              <w:rPr>
                <w:rFonts w:cs="Arial"/>
                <w:bCs/>
                <w:sz w:val="20"/>
                <w:szCs w:val="20"/>
              </w:rPr>
            </w:pPr>
            <w:r>
              <w:rPr>
                <w:sz w:val="20"/>
              </w:rPr>
              <w:t>42 776,9</w:t>
            </w:r>
          </w:p>
        </w:tc>
        <w:tc>
          <w:tcPr>
            <w:tcW w:w="933" w:type="dxa"/>
            <w:vAlign w:val="center"/>
          </w:tcPr>
          <w:p w:rsidR="00642FB4" w:rsidRDefault="00642FB4">
            <w:pPr>
              <w:jc w:val="right"/>
              <w:rPr>
                <w:rFonts w:cs="Arial"/>
                <w:bCs/>
                <w:sz w:val="20"/>
                <w:szCs w:val="20"/>
              </w:rPr>
            </w:pPr>
            <w:r>
              <w:rPr>
                <w:sz w:val="20"/>
              </w:rPr>
              <w:t>70,9</w:t>
            </w:r>
          </w:p>
        </w:tc>
      </w:tr>
      <w:tr w:rsidR="00642FB4">
        <w:trPr>
          <w:jc w:val="center"/>
        </w:trPr>
        <w:tc>
          <w:tcPr>
            <w:tcW w:w="4878" w:type="dxa"/>
            <w:vAlign w:val="center"/>
          </w:tcPr>
          <w:p w:rsidR="00642FB4" w:rsidRDefault="00642FB4">
            <w:pPr>
              <w:jc w:val="both"/>
              <w:rPr>
                <w:rFonts w:cs="Arial"/>
                <w:bCs/>
                <w:sz w:val="20"/>
                <w:szCs w:val="20"/>
              </w:rPr>
            </w:pPr>
            <w:r>
              <w:rPr>
                <w:sz w:val="20"/>
              </w:rPr>
              <w:t>З яких:  сільськогосподарські угіддя</w:t>
            </w:r>
          </w:p>
        </w:tc>
        <w:tc>
          <w:tcPr>
            <w:tcW w:w="1350" w:type="dxa"/>
            <w:vAlign w:val="center"/>
          </w:tcPr>
          <w:p w:rsidR="00642FB4" w:rsidRDefault="00642FB4">
            <w:pPr>
              <w:jc w:val="right"/>
              <w:rPr>
                <w:rFonts w:cs="Arial"/>
                <w:bCs/>
                <w:sz w:val="20"/>
                <w:szCs w:val="20"/>
              </w:rPr>
            </w:pPr>
            <w:r>
              <w:rPr>
                <w:sz w:val="20"/>
              </w:rPr>
              <w:t>41 557,6</w:t>
            </w:r>
          </w:p>
        </w:tc>
        <w:tc>
          <w:tcPr>
            <w:tcW w:w="933" w:type="dxa"/>
            <w:vAlign w:val="center"/>
          </w:tcPr>
          <w:p w:rsidR="00642FB4" w:rsidRDefault="00642FB4">
            <w:pPr>
              <w:jc w:val="right"/>
              <w:rPr>
                <w:rFonts w:cs="Arial"/>
                <w:bCs/>
                <w:sz w:val="20"/>
                <w:szCs w:val="20"/>
              </w:rPr>
            </w:pPr>
            <w:r>
              <w:rPr>
                <w:sz w:val="20"/>
              </w:rPr>
              <w:t>68,9</w:t>
            </w:r>
          </w:p>
        </w:tc>
      </w:tr>
      <w:tr w:rsidR="00642FB4">
        <w:trPr>
          <w:jc w:val="center"/>
        </w:trPr>
        <w:tc>
          <w:tcPr>
            <w:tcW w:w="4878" w:type="dxa"/>
            <w:vAlign w:val="center"/>
          </w:tcPr>
          <w:p w:rsidR="00642FB4" w:rsidRDefault="00642FB4">
            <w:pPr>
              <w:jc w:val="both"/>
              <w:rPr>
                <w:rFonts w:cs="Arial"/>
                <w:bCs/>
                <w:sz w:val="20"/>
                <w:szCs w:val="20"/>
              </w:rPr>
            </w:pPr>
            <w:r>
              <w:rPr>
                <w:sz w:val="20"/>
              </w:rPr>
              <w:t>орні угіддя</w:t>
            </w:r>
          </w:p>
        </w:tc>
        <w:tc>
          <w:tcPr>
            <w:tcW w:w="1350" w:type="dxa"/>
            <w:vAlign w:val="center"/>
          </w:tcPr>
          <w:p w:rsidR="00642FB4" w:rsidRDefault="00642FB4">
            <w:pPr>
              <w:jc w:val="right"/>
              <w:rPr>
                <w:rFonts w:cs="Arial"/>
                <w:bCs/>
                <w:sz w:val="20"/>
                <w:szCs w:val="20"/>
              </w:rPr>
            </w:pPr>
            <w:r>
              <w:rPr>
                <w:sz w:val="20"/>
              </w:rPr>
              <w:t>32 498,5</w:t>
            </w:r>
          </w:p>
        </w:tc>
        <w:tc>
          <w:tcPr>
            <w:tcW w:w="933" w:type="dxa"/>
            <w:vAlign w:val="center"/>
          </w:tcPr>
          <w:p w:rsidR="00642FB4" w:rsidRDefault="00642FB4">
            <w:pPr>
              <w:jc w:val="right"/>
              <w:rPr>
                <w:rFonts w:cs="Arial"/>
                <w:bCs/>
                <w:sz w:val="20"/>
                <w:szCs w:val="20"/>
              </w:rPr>
            </w:pPr>
            <w:r>
              <w:rPr>
                <w:sz w:val="20"/>
              </w:rPr>
              <w:t>53,8</w:t>
            </w:r>
          </w:p>
        </w:tc>
      </w:tr>
      <w:tr w:rsidR="00642FB4">
        <w:trPr>
          <w:jc w:val="center"/>
        </w:trPr>
        <w:tc>
          <w:tcPr>
            <w:tcW w:w="4878" w:type="dxa"/>
            <w:vAlign w:val="center"/>
          </w:tcPr>
          <w:p w:rsidR="00642FB4" w:rsidRDefault="00642FB4">
            <w:pPr>
              <w:jc w:val="both"/>
              <w:rPr>
                <w:rFonts w:cs="Arial"/>
                <w:bCs/>
                <w:sz w:val="20"/>
                <w:szCs w:val="20"/>
              </w:rPr>
            </w:pPr>
            <w:r>
              <w:rPr>
                <w:sz w:val="20"/>
              </w:rPr>
              <w:t>Інші сільськогосподарські угіддя</w:t>
            </w:r>
          </w:p>
        </w:tc>
        <w:tc>
          <w:tcPr>
            <w:tcW w:w="1350" w:type="dxa"/>
            <w:vAlign w:val="center"/>
          </w:tcPr>
          <w:p w:rsidR="00642FB4" w:rsidRDefault="00642FB4">
            <w:pPr>
              <w:jc w:val="right"/>
              <w:rPr>
                <w:rFonts w:cs="Arial"/>
                <w:bCs/>
                <w:sz w:val="20"/>
                <w:szCs w:val="20"/>
              </w:rPr>
            </w:pPr>
            <w:r>
              <w:rPr>
                <w:sz w:val="20"/>
              </w:rPr>
              <w:t>1 219,3</w:t>
            </w:r>
          </w:p>
        </w:tc>
        <w:tc>
          <w:tcPr>
            <w:tcW w:w="933" w:type="dxa"/>
            <w:vAlign w:val="center"/>
          </w:tcPr>
          <w:p w:rsidR="00642FB4" w:rsidRDefault="00642FB4">
            <w:pPr>
              <w:jc w:val="right"/>
              <w:rPr>
                <w:rFonts w:cs="Arial"/>
                <w:bCs/>
                <w:sz w:val="20"/>
                <w:szCs w:val="20"/>
              </w:rPr>
            </w:pPr>
            <w:r>
              <w:rPr>
                <w:sz w:val="20"/>
              </w:rPr>
              <w:t>2,0</w:t>
            </w:r>
          </w:p>
        </w:tc>
      </w:tr>
      <w:tr w:rsidR="00642FB4">
        <w:trPr>
          <w:jc w:val="center"/>
        </w:trPr>
        <w:tc>
          <w:tcPr>
            <w:tcW w:w="4878" w:type="dxa"/>
            <w:vAlign w:val="center"/>
          </w:tcPr>
          <w:p w:rsidR="00642FB4" w:rsidRDefault="00642FB4">
            <w:pPr>
              <w:jc w:val="both"/>
              <w:rPr>
                <w:rFonts w:cs="Arial"/>
                <w:bCs/>
                <w:sz w:val="20"/>
                <w:szCs w:val="20"/>
              </w:rPr>
            </w:pPr>
            <w:r>
              <w:rPr>
                <w:sz w:val="20"/>
              </w:rPr>
              <w:t>Ліси, з яких:</w:t>
            </w:r>
          </w:p>
        </w:tc>
        <w:tc>
          <w:tcPr>
            <w:tcW w:w="1350" w:type="dxa"/>
            <w:vAlign w:val="center"/>
          </w:tcPr>
          <w:p w:rsidR="00642FB4" w:rsidRDefault="00642FB4">
            <w:pPr>
              <w:jc w:val="right"/>
              <w:rPr>
                <w:rFonts w:cs="Arial"/>
                <w:bCs/>
                <w:sz w:val="20"/>
                <w:szCs w:val="20"/>
              </w:rPr>
            </w:pPr>
            <w:r>
              <w:rPr>
                <w:sz w:val="20"/>
              </w:rPr>
              <w:t>10 611,3</w:t>
            </w:r>
          </w:p>
        </w:tc>
        <w:tc>
          <w:tcPr>
            <w:tcW w:w="933" w:type="dxa"/>
            <w:vAlign w:val="center"/>
          </w:tcPr>
          <w:p w:rsidR="00642FB4" w:rsidRDefault="00642FB4">
            <w:pPr>
              <w:jc w:val="right"/>
              <w:rPr>
                <w:rFonts w:cs="Arial"/>
                <w:bCs/>
                <w:sz w:val="20"/>
                <w:szCs w:val="20"/>
              </w:rPr>
            </w:pPr>
            <w:r>
              <w:rPr>
                <w:sz w:val="20"/>
              </w:rPr>
              <w:t>17,6</w:t>
            </w:r>
          </w:p>
        </w:tc>
      </w:tr>
      <w:tr w:rsidR="00642FB4">
        <w:trPr>
          <w:jc w:val="center"/>
        </w:trPr>
        <w:tc>
          <w:tcPr>
            <w:tcW w:w="4878" w:type="dxa"/>
            <w:vAlign w:val="center"/>
          </w:tcPr>
          <w:p w:rsidR="00642FB4" w:rsidRDefault="00642FB4">
            <w:pPr>
              <w:jc w:val="both"/>
              <w:rPr>
                <w:rFonts w:cs="Arial"/>
                <w:bCs/>
                <w:sz w:val="20"/>
                <w:szCs w:val="20"/>
              </w:rPr>
            </w:pPr>
            <w:r>
              <w:rPr>
                <w:sz w:val="20"/>
              </w:rPr>
              <w:t>Вкриті лісовою рослинністю</w:t>
            </w:r>
          </w:p>
        </w:tc>
        <w:tc>
          <w:tcPr>
            <w:tcW w:w="1350" w:type="dxa"/>
            <w:vAlign w:val="center"/>
          </w:tcPr>
          <w:p w:rsidR="00642FB4" w:rsidRDefault="00642FB4">
            <w:pPr>
              <w:jc w:val="right"/>
              <w:rPr>
                <w:rFonts w:cs="Arial"/>
                <w:bCs/>
                <w:sz w:val="20"/>
                <w:szCs w:val="20"/>
              </w:rPr>
            </w:pPr>
            <w:r>
              <w:rPr>
                <w:sz w:val="20"/>
              </w:rPr>
              <w:t>9 683,3</w:t>
            </w:r>
          </w:p>
        </w:tc>
        <w:tc>
          <w:tcPr>
            <w:tcW w:w="933" w:type="dxa"/>
            <w:vAlign w:val="center"/>
          </w:tcPr>
          <w:p w:rsidR="00642FB4" w:rsidRDefault="00642FB4">
            <w:pPr>
              <w:jc w:val="right"/>
              <w:rPr>
                <w:rFonts w:cs="Arial"/>
                <w:bCs/>
                <w:sz w:val="20"/>
                <w:szCs w:val="20"/>
              </w:rPr>
            </w:pPr>
            <w:r>
              <w:rPr>
                <w:sz w:val="20"/>
              </w:rPr>
              <w:t>16,1</w:t>
            </w:r>
          </w:p>
        </w:tc>
      </w:tr>
      <w:tr w:rsidR="00642FB4">
        <w:trPr>
          <w:jc w:val="center"/>
        </w:trPr>
        <w:tc>
          <w:tcPr>
            <w:tcW w:w="4878" w:type="dxa"/>
            <w:vAlign w:val="center"/>
          </w:tcPr>
          <w:p w:rsidR="00642FB4" w:rsidRDefault="00642FB4">
            <w:pPr>
              <w:jc w:val="both"/>
              <w:rPr>
                <w:rFonts w:cs="Arial"/>
                <w:bCs/>
                <w:sz w:val="20"/>
                <w:szCs w:val="20"/>
              </w:rPr>
            </w:pPr>
            <w:r>
              <w:rPr>
                <w:sz w:val="20"/>
              </w:rPr>
              <w:t>Не вкриті лісовою рослинністю</w:t>
            </w:r>
          </w:p>
        </w:tc>
        <w:tc>
          <w:tcPr>
            <w:tcW w:w="1350" w:type="dxa"/>
            <w:vAlign w:val="center"/>
          </w:tcPr>
          <w:p w:rsidR="00642FB4" w:rsidRDefault="00642FB4">
            <w:pPr>
              <w:jc w:val="right"/>
              <w:rPr>
                <w:rFonts w:cs="Arial"/>
                <w:bCs/>
                <w:sz w:val="20"/>
                <w:szCs w:val="20"/>
              </w:rPr>
            </w:pPr>
            <w:r>
              <w:rPr>
                <w:sz w:val="20"/>
              </w:rPr>
              <w:t>208,7</w:t>
            </w:r>
          </w:p>
        </w:tc>
        <w:tc>
          <w:tcPr>
            <w:tcW w:w="933" w:type="dxa"/>
            <w:vAlign w:val="center"/>
          </w:tcPr>
          <w:p w:rsidR="00642FB4" w:rsidRDefault="00642FB4">
            <w:pPr>
              <w:jc w:val="right"/>
              <w:rPr>
                <w:rFonts w:cs="Arial"/>
                <w:bCs/>
                <w:sz w:val="20"/>
                <w:szCs w:val="20"/>
              </w:rPr>
            </w:pPr>
            <w:r>
              <w:rPr>
                <w:sz w:val="20"/>
              </w:rPr>
              <w:t>0,3</w:t>
            </w:r>
          </w:p>
        </w:tc>
      </w:tr>
      <w:tr w:rsidR="00642FB4">
        <w:trPr>
          <w:jc w:val="center"/>
        </w:trPr>
        <w:tc>
          <w:tcPr>
            <w:tcW w:w="4878" w:type="dxa"/>
            <w:vAlign w:val="center"/>
          </w:tcPr>
          <w:p w:rsidR="00642FB4" w:rsidRDefault="00642FB4">
            <w:pPr>
              <w:jc w:val="both"/>
              <w:rPr>
                <w:rFonts w:cs="Arial"/>
                <w:bCs/>
                <w:sz w:val="20"/>
                <w:szCs w:val="20"/>
              </w:rPr>
            </w:pPr>
            <w:r>
              <w:rPr>
                <w:sz w:val="20"/>
              </w:rPr>
              <w:t>Інші лісові землі</w:t>
            </w:r>
          </w:p>
        </w:tc>
        <w:tc>
          <w:tcPr>
            <w:tcW w:w="1350" w:type="dxa"/>
            <w:vAlign w:val="center"/>
          </w:tcPr>
          <w:p w:rsidR="00642FB4" w:rsidRDefault="00642FB4">
            <w:pPr>
              <w:jc w:val="right"/>
              <w:rPr>
                <w:rFonts w:cs="Arial"/>
                <w:bCs/>
                <w:sz w:val="20"/>
                <w:szCs w:val="20"/>
              </w:rPr>
            </w:pPr>
            <w:r>
              <w:rPr>
                <w:sz w:val="20"/>
              </w:rPr>
              <w:t>315,6</w:t>
            </w:r>
          </w:p>
        </w:tc>
        <w:tc>
          <w:tcPr>
            <w:tcW w:w="933" w:type="dxa"/>
            <w:vAlign w:val="center"/>
          </w:tcPr>
          <w:p w:rsidR="00642FB4" w:rsidRDefault="00642FB4">
            <w:pPr>
              <w:jc w:val="right"/>
              <w:rPr>
                <w:rFonts w:cs="Arial"/>
                <w:bCs/>
                <w:sz w:val="20"/>
                <w:szCs w:val="20"/>
              </w:rPr>
            </w:pPr>
            <w:r>
              <w:rPr>
                <w:sz w:val="20"/>
              </w:rPr>
              <w:t>0,5</w:t>
            </w:r>
          </w:p>
        </w:tc>
      </w:tr>
      <w:tr w:rsidR="00642FB4">
        <w:trPr>
          <w:jc w:val="center"/>
        </w:trPr>
        <w:tc>
          <w:tcPr>
            <w:tcW w:w="4878" w:type="dxa"/>
            <w:vAlign w:val="center"/>
          </w:tcPr>
          <w:p w:rsidR="00642FB4" w:rsidRDefault="00642FB4">
            <w:pPr>
              <w:jc w:val="both"/>
              <w:rPr>
                <w:rFonts w:cs="Arial"/>
                <w:bCs/>
                <w:sz w:val="20"/>
                <w:szCs w:val="20"/>
              </w:rPr>
            </w:pPr>
            <w:r>
              <w:rPr>
                <w:sz w:val="20"/>
              </w:rPr>
              <w:t>Чагарники</w:t>
            </w:r>
          </w:p>
        </w:tc>
        <w:tc>
          <w:tcPr>
            <w:tcW w:w="1350" w:type="dxa"/>
            <w:vAlign w:val="center"/>
          </w:tcPr>
          <w:p w:rsidR="00642FB4" w:rsidRDefault="00642FB4">
            <w:pPr>
              <w:jc w:val="right"/>
              <w:rPr>
                <w:rFonts w:cs="Arial"/>
                <w:bCs/>
                <w:sz w:val="20"/>
                <w:szCs w:val="20"/>
              </w:rPr>
            </w:pPr>
            <w:r>
              <w:rPr>
                <w:sz w:val="20"/>
              </w:rPr>
              <w:t>403,7</w:t>
            </w:r>
          </w:p>
        </w:tc>
        <w:tc>
          <w:tcPr>
            <w:tcW w:w="933" w:type="dxa"/>
            <w:vAlign w:val="center"/>
          </w:tcPr>
          <w:p w:rsidR="00642FB4" w:rsidRDefault="00642FB4">
            <w:pPr>
              <w:jc w:val="right"/>
              <w:rPr>
                <w:rFonts w:cs="Arial"/>
                <w:bCs/>
                <w:sz w:val="20"/>
                <w:szCs w:val="20"/>
              </w:rPr>
            </w:pPr>
            <w:r>
              <w:rPr>
                <w:sz w:val="20"/>
              </w:rPr>
              <w:t>0,7</w:t>
            </w:r>
          </w:p>
        </w:tc>
      </w:tr>
      <w:tr w:rsidR="00642FB4">
        <w:trPr>
          <w:trHeight w:val="233"/>
          <w:jc w:val="center"/>
        </w:trPr>
        <w:tc>
          <w:tcPr>
            <w:tcW w:w="4878" w:type="dxa"/>
            <w:vAlign w:val="center"/>
          </w:tcPr>
          <w:p w:rsidR="00642FB4" w:rsidRDefault="00642FB4">
            <w:pPr>
              <w:jc w:val="both"/>
              <w:rPr>
                <w:rFonts w:cs="Arial"/>
                <w:bCs/>
                <w:sz w:val="20"/>
                <w:szCs w:val="20"/>
              </w:rPr>
            </w:pPr>
            <w:r>
              <w:rPr>
                <w:sz w:val="20"/>
              </w:rPr>
              <w:t>забудовані земельні ділянки</w:t>
            </w:r>
          </w:p>
        </w:tc>
        <w:tc>
          <w:tcPr>
            <w:tcW w:w="1350" w:type="dxa"/>
            <w:vAlign w:val="center"/>
          </w:tcPr>
          <w:p w:rsidR="00642FB4" w:rsidRDefault="00642FB4">
            <w:pPr>
              <w:jc w:val="right"/>
              <w:rPr>
                <w:rFonts w:cs="Arial"/>
                <w:bCs/>
                <w:sz w:val="20"/>
                <w:szCs w:val="20"/>
              </w:rPr>
            </w:pPr>
            <w:r>
              <w:rPr>
                <w:sz w:val="20"/>
              </w:rPr>
              <w:t>2 523,2</w:t>
            </w:r>
          </w:p>
        </w:tc>
        <w:tc>
          <w:tcPr>
            <w:tcW w:w="933" w:type="dxa"/>
            <w:vAlign w:val="center"/>
          </w:tcPr>
          <w:p w:rsidR="00642FB4" w:rsidRDefault="00642FB4">
            <w:pPr>
              <w:jc w:val="right"/>
              <w:rPr>
                <w:rFonts w:cs="Arial"/>
                <w:bCs/>
                <w:sz w:val="20"/>
                <w:szCs w:val="20"/>
              </w:rPr>
            </w:pPr>
            <w:r>
              <w:rPr>
                <w:sz w:val="20"/>
              </w:rPr>
              <w:t>4,2</w:t>
            </w:r>
          </w:p>
        </w:tc>
      </w:tr>
      <w:tr w:rsidR="00642FB4">
        <w:trPr>
          <w:jc w:val="center"/>
        </w:trPr>
        <w:tc>
          <w:tcPr>
            <w:tcW w:w="4878" w:type="dxa"/>
            <w:vAlign w:val="center"/>
          </w:tcPr>
          <w:p w:rsidR="00642FB4" w:rsidRDefault="00642FB4">
            <w:pPr>
              <w:jc w:val="both"/>
              <w:rPr>
                <w:rFonts w:cs="Arial"/>
                <w:bCs/>
                <w:sz w:val="20"/>
                <w:szCs w:val="20"/>
              </w:rPr>
            </w:pPr>
            <w:r>
              <w:rPr>
                <w:sz w:val="20"/>
              </w:rPr>
              <w:t xml:space="preserve">З яких: </w:t>
            </w:r>
            <w:r>
              <w:rPr>
                <w:i/>
                <w:sz w:val="20"/>
              </w:rPr>
              <w:t>Для житлових будинків</w:t>
            </w:r>
          </w:p>
        </w:tc>
        <w:tc>
          <w:tcPr>
            <w:tcW w:w="1350" w:type="dxa"/>
            <w:vAlign w:val="center"/>
          </w:tcPr>
          <w:p w:rsidR="00642FB4" w:rsidRDefault="00642FB4">
            <w:pPr>
              <w:jc w:val="right"/>
              <w:rPr>
                <w:rFonts w:cs="Arial"/>
                <w:bCs/>
                <w:sz w:val="20"/>
                <w:szCs w:val="20"/>
              </w:rPr>
            </w:pPr>
            <w:r>
              <w:rPr>
                <w:sz w:val="20"/>
              </w:rPr>
              <w:t>473,5</w:t>
            </w:r>
          </w:p>
        </w:tc>
        <w:tc>
          <w:tcPr>
            <w:tcW w:w="933" w:type="dxa"/>
            <w:vAlign w:val="center"/>
          </w:tcPr>
          <w:p w:rsidR="00642FB4" w:rsidRDefault="00642FB4">
            <w:pPr>
              <w:jc w:val="right"/>
              <w:rPr>
                <w:rFonts w:cs="Arial"/>
                <w:bCs/>
                <w:sz w:val="20"/>
                <w:szCs w:val="20"/>
              </w:rPr>
            </w:pPr>
            <w:r>
              <w:rPr>
                <w:sz w:val="20"/>
              </w:rPr>
              <w:t>0,8</w:t>
            </w:r>
          </w:p>
        </w:tc>
      </w:tr>
      <w:tr w:rsidR="00642FB4">
        <w:trPr>
          <w:jc w:val="center"/>
        </w:trPr>
        <w:tc>
          <w:tcPr>
            <w:tcW w:w="4878" w:type="dxa"/>
            <w:vAlign w:val="center"/>
          </w:tcPr>
          <w:p w:rsidR="00642FB4" w:rsidRDefault="00642FB4">
            <w:pPr>
              <w:jc w:val="both"/>
              <w:rPr>
                <w:rFonts w:cs="Arial"/>
                <w:bCs/>
                <w:sz w:val="20"/>
                <w:szCs w:val="20"/>
              </w:rPr>
            </w:pPr>
            <w:r>
              <w:rPr>
                <w:sz w:val="20"/>
              </w:rPr>
              <w:t xml:space="preserve">Промислові майданчики </w:t>
            </w:r>
          </w:p>
        </w:tc>
        <w:tc>
          <w:tcPr>
            <w:tcW w:w="1350" w:type="dxa"/>
            <w:vAlign w:val="center"/>
          </w:tcPr>
          <w:p w:rsidR="00642FB4" w:rsidRDefault="00642FB4">
            <w:pPr>
              <w:jc w:val="right"/>
              <w:rPr>
                <w:rFonts w:cs="Arial"/>
                <w:bCs/>
                <w:sz w:val="20"/>
                <w:szCs w:val="20"/>
              </w:rPr>
            </w:pPr>
            <w:r>
              <w:rPr>
                <w:sz w:val="20"/>
              </w:rPr>
              <w:t>223,2</w:t>
            </w:r>
          </w:p>
        </w:tc>
        <w:tc>
          <w:tcPr>
            <w:tcW w:w="933" w:type="dxa"/>
            <w:vAlign w:val="center"/>
          </w:tcPr>
          <w:p w:rsidR="00642FB4" w:rsidRDefault="00642FB4">
            <w:pPr>
              <w:jc w:val="right"/>
              <w:rPr>
                <w:rFonts w:cs="Arial"/>
                <w:bCs/>
                <w:sz w:val="20"/>
                <w:szCs w:val="20"/>
              </w:rPr>
            </w:pPr>
            <w:r>
              <w:rPr>
                <w:sz w:val="20"/>
              </w:rPr>
              <w:t>0,4</w:t>
            </w:r>
          </w:p>
        </w:tc>
      </w:tr>
      <w:tr w:rsidR="00642FB4">
        <w:trPr>
          <w:jc w:val="center"/>
        </w:trPr>
        <w:tc>
          <w:tcPr>
            <w:tcW w:w="4878" w:type="dxa"/>
            <w:vAlign w:val="center"/>
          </w:tcPr>
          <w:p w:rsidR="00642FB4" w:rsidRDefault="00642FB4">
            <w:pPr>
              <w:jc w:val="both"/>
              <w:rPr>
                <w:rFonts w:cs="Arial"/>
                <w:bCs/>
                <w:sz w:val="20"/>
                <w:szCs w:val="20"/>
              </w:rPr>
            </w:pPr>
            <w:r>
              <w:rPr>
                <w:sz w:val="20"/>
              </w:rPr>
              <w:t>Земельні ділянки для шахт</w:t>
            </w:r>
          </w:p>
        </w:tc>
        <w:tc>
          <w:tcPr>
            <w:tcW w:w="1350" w:type="dxa"/>
            <w:vAlign w:val="center"/>
          </w:tcPr>
          <w:p w:rsidR="00642FB4" w:rsidRDefault="00642FB4">
            <w:pPr>
              <w:jc w:val="right"/>
              <w:rPr>
                <w:rFonts w:cs="Arial"/>
                <w:bCs/>
                <w:sz w:val="20"/>
                <w:szCs w:val="20"/>
              </w:rPr>
            </w:pPr>
            <w:r>
              <w:rPr>
                <w:sz w:val="20"/>
              </w:rPr>
              <w:t>152,3</w:t>
            </w:r>
          </w:p>
        </w:tc>
        <w:tc>
          <w:tcPr>
            <w:tcW w:w="933" w:type="dxa"/>
            <w:vAlign w:val="center"/>
          </w:tcPr>
          <w:p w:rsidR="00642FB4" w:rsidRDefault="00642FB4">
            <w:pPr>
              <w:jc w:val="right"/>
              <w:rPr>
                <w:rFonts w:cs="Arial"/>
                <w:bCs/>
                <w:sz w:val="20"/>
                <w:szCs w:val="20"/>
              </w:rPr>
            </w:pPr>
            <w:r>
              <w:rPr>
                <w:sz w:val="20"/>
              </w:rPr>
              <w:t>0,3</w:t>
            </w:r>
          </w:p>
        </w:tc>
      </w:tr>
      <w:tr w:rsidR="00642FB4">
        <w:trPr>
          <w:jc w:val="center"/>
        </w:trPr>
        <w:tc>
          <w:tcPr>
            <w:tcW w:w="4878" w:type="dxa"/>
            <w:vAlign w:val="center"/>
          </w:tcPr>
          <w:p w:rsidR="00642FB4" w:rsidRDefault="00642FB4">
            <w:pPr>
              <w:jc w:val="both"/>
              <w:rPr>
                <w:rFonts w:cs="Arial"/>
                <w:bCs/>
                <w:sz w:val="20"/>
                <w:szCs w:val="20"/>
              </w:rPr>
            </w:pPr>
            <w:r>
              <w:rPr>
                <w:sz w:val="20"/>
              </w:rPr>
              <w:t>Земля комерційного призначення</w:t>
            </w:r>
          </w:p>
        </w:tc>
        <w:tc>
          <w:tcPr>
            <w:tcW w:w="1350" w:type="dxa"/>
            <w:vAlign w:val="center"/>
          </w:tcPr>
          <w:p w:rsidR="00642FB4" w:rsidRDefault="00642FB4">
            <w:pPr>
              <w:jc w:val="right"/>
              <w:rPr>
                <w:rFonts w:cs="Arial"/>
                <w:bCs/>
                <w:sz w:val="20"/>
                <w:szCs w:val="20"/>
              </w:rPr>
            </w:pPr>
            <w:r>
              <w:rPr>
                <w:sz w:val="20"/>
              </w:rPr>
              <w:t>54,5</w:t>
            </w:r>
          </w:p>
        </w:tc>
        <w:tc>
          <w:tcPr>
            <w:tcW w:w="933" w:type="dxa"/>
            <w:vAlign w:val="center"/>
          </w:tcPr>
          <w:p w:rsidR="00642FB4" w:rsidRDefault="00642FB4">
            <w:pPr>
              <w:jc w:val="right"/>
              <w:rPr>
                <w:rFonts w:cs="Arial"/>
                <w:bCs/>
                <w:sz w:val="20"/>
                <w:szCs w:val="20"/>
              </w:rPr>
            </w:pPr>
            <w:r>
              <w:rPr>
                <w:sz w:val="20"/>
              </w:rPr>
              <w:t>0,1</w:t>
            </w:r>
          </w:p>
        </w:tc>
      </w:tr>
      <w:tr w:rsidR="00642FB4">
        <w:trPr>
          <w:jc w:val="center"/>
        </w:trPr>
        <w:tc>
          <w:tcPr>
            <w:tcW w:w="4878" w:type="dxa"/>
            <w:vAlign w:val="center"/>
          </w:tcPr>
          <w:p w:rsidR="00642FB4" w:rsidRDefault="00642FB4">
            <w:pPr>
              <w:jc w:val="both"/>
              <w:rPr>
                <w:rFonts w:cs="Arial"/>
                <w:bCs/>
                <w:sz w:val="20"/>
                <w:szCs w:val="20"/>
              </w:rPr>
            </w:pPr>
            <w:r>
              <w:rPr>
                <w:sz w:val="20"/>
              </w:rPr>
              <w:t>Земля для громадського використання</w:t>
            </w:r>
          </w:p>
        </w:tc>
        <w:tc>
          <w:tcPr>
            <w:tcW w:w="1350" w:type="dxa"/>
            <w:vAlign w:val="center"/>
          </w:tcPr>
          <w:p w:rsidR="00642FB4" w:rsidRDefault="00642FB4">
            <w:pPr>
              <w:jc w:val="right"/>
              <w:rPr>
                <w:rFonts w:cs="Arial"/>
                <w:bCs/>
                <w:sz w:val="20"/>
                <w:szCs w:val="20"/>
              </w:rPr>
            </w:pPr>
            <w:r>
              <w:rPr>
                <w:sz w:val="20"/>
              </w:rPr>
              <w:t>282,1</w:t>
            </w:r>
          </w:p>
        </w:tc>
        <w:tc>
          <w:tcPr>
            <w:tcW w:w="933" w:type="dxa"/>
            <w:vAlign w:val="center"/>
          </w:tcPr>
          <w:p w:rsidR="00642FB4" w:rsidRDefault="00642FB4">
            <w:pPr>
              <w:jc w:val="right"/>
              <w:rPr>
                <w:rFonts w:cs="Arial"/>
                <w:bCs/>
                <w:sz w:val="20"/>
                <w:szCs w:val="20"/>
              </w:rPr>
            </w:pPr>
            <w:r>
              <w:rPr>
                <w:sz w:val="20"/>
              </w:rPr>
              <w:t>0,5</w:t>
            </w:r>
          </w:p>
        </w:tc>
      </w:tr>
      <w:tr w:rsidR="00642FB4">
        <w:trPr>
          <w:jc w:val="center"/>
        </w:trPr>
        <w:tc>
          <w:tcPr>
            <w:tcW w:w="4878" w:type="dxa"/>
            <w:vAlign w:val="center"/>
          </w:tcPr>
          <w:p w:rsidR="00642FB4" w:rsidRDefault="00642FB4">
            <w:pPr>
              <w:jc w:val="both"/>
              <w:rPr>
                <w:rFonts w:cs="Arial"/>
                <w:bCs/>
                <w:sz w:val="20"/>
                <w:szCs w:val="20"/>
              </w:rPr>
            </w:pPr>
            <w:r>
              <w:rPr>
                <w:sz w:val="20"/>
              </w:rPr>
              <w:t>Змішане використання землі</w:t>
            </w:r>
          </w:p>
        </w:tc>
        <w:tc>
          <w:tcPr>
            <w:tcW w:w="1350" w:type="dxa"/>
            <w:vAlign w:val="center"/>
          </w:tcPr>
          <w:p w:rsidR="00642FB4" w:rsidRDefault="00642FB4">
            <w:pPr>
              <w:jc w:val="right"/>
              <w:rPr>
                <w:rFonts w:cs="Arial"/>
                <w:bCs/>
                <w:sz w:val="20"/>
                <w:szCs w:val="20"/>
              </w:rPr>
            </w:pPr>
            <w:r>
              <w:rPr>
                <w:sz w:val="20"/>
              </w:rPr>
              <w:t>29,0</w:t>
            </w:r>
          </w:p>
        </w:tc>
        <w:tc>
          <w:tcPr>
            <w:tcW w:w="933" w:type="dxa"/>
            <w:vAlign w:val="center"/>
          </w:tcPr>
          <w:p w:rsidR="00642FB4" w:rsidRDefault="00642FB4">
            <w:pPr>
              <w:jc w:val="right"/>
              <w:rPr>
                <w:rFonts w:cs="Arial"/>
                <w:bCs/>
                <w:sz w:val="20"/>
                <w:szCs w:val="20"/>
              </w:rPr>
            </w:pPr>
            <w:r>
              <w:rPr>
                <w:sz w:val="20"/>
              </w:rPr>
              <w:t>0,0</w:t>
            </w:r>
          </w:p>
        </w:tc>
      </w:tr>
      <w:tr w:rsidR="00642FB4">
        <w:trPr>
          <w:jc w:val="center"/>
        </w:trPr>
        <w:tc>
          <w:tcPr>
            <w:tcW w:w="4878" w:type="dxa"/>
            <w:vAlign w:val="center"/>
          </w:tcPr>
          <w:p w:rsidR="00642FB4" w:rsidRDefault="00642FB4">
            <w:pPr>
              <w:jc w:val="both"/>
              <w:rPr>
                <w:rFonts w:cs="Arial"/>
                <w:bCs/>
                <w:sz w:val="20"/>
                <w:szCs w:val="20"/>
              </w:rPr>
            </w:pPr>
            <w:r>
              <w:rPr>
                <w:sz w:val="20"/>
              </w:rPr>
              <w:t>Земля, яка використовується для зв'язку і транспорту</w:t>
            </w:r>
          </w:p>
        </w:tc>
        <w:tc>
          <w:tcPr>
            <w:tcW w:w="1350" w:type="dxa"/>
            <w:vAlign w:val="center"/>
          </w:tcPr>
          <w:p w:rsidR="00642FB4" w:rsidRDefault="00642FB4">
            <w:pPr>
              <w:jc w:val="right"/>
              <w:rPr>
                <w:rFonts w:cs="Arial"/>
                <w:bCs/>
                <w:sz w:val="20"/>
                <w:szCs w:val="20"/>
              </w:rPr>
            </w:pPr>
            <w:r>
              <w:rPr>
                <w:sz w:val="20"/>
              </w:rPr>
              <w:t>495,1</w:t>
            </w:r>
          </w:p>
        </w:tc>
        <w:tc>
          <w:tcPr>
            <w:tcW w:w="933" w:type="dxa"/>
            <w:vAlign w:val="center"/>
          </w:tcPr>
          <w:p w:rsidR="00642FB4" w:rsidRDefault="00642FB4">
            <w:pPr>
              <w:jc w:val="right"/>
              <w:rPr>
                <w:rFonts w:cs="Arial"/>
                <w:bCs/>
                <w:sz w:val="20"/>
                <w:szCs w:val="20"/>
              </w:rPr>
            </w:pPr>
            <w:r>
              <w:rPr>
                <w:sz w:val="20"/>
              </w:rPr>
              <w:t>0,8</w:t>
            </w:r>
          </w:p>
        </w:tc>
      </w:tr>
      <w:tr w:rsidR="00642FB4">
        <w:trPr>
          <w:jc w:val="center"/>
        </w:trPr>
        <w:tc>
          <w:tcPr>
            <w:tcW w:w="4878" w:type="dxa"/>
            <w:vAlign w:val="center"/>
          </w:tcPr>
          <w:p w:rsidR="00642FB4" w:rsidRDefault="00642FB4">
            <w:pPr>
              <w:jc w:val="both"/>
              <w:rPr>
                <w:rFonts w:cs="Arial"/>
                <w:bCs/>
                <w:sz w:val="20"/>
                <w:szCs w:val="20"/>
              </w:rPr>
            </w:pPr>
            <w:r>
              <w:rPr>
                <w:sz w:val="20"/>
              </w:rPr>
              <w:t>Земля, яка використовується для технічної інфраструктури</w:t>
            </w:r>
          </w:p>
        </w:tc>
        <w:tc>
          <w:tcPr>
            <w:tcW w:w="1350" w:type="dxa"/>
            <w:vAlign w:val="center"/>
          </w:tcPr>
          <w:p w:rsidR="00642FB4" w:rsidRDefault="00642FB4">
            <w:pPr>
              <w:jc w:val="right"/>
              <w:rPr>
                <w:rFonts w:cs="Arial"/>
                <w:bCs/>
                <w:sz w:val="20"/>
                <w:szCs w:val="20"/>
              </w:rPr>
            </w:pPr>
            <w:r>
              <w:rPr>
                <w:sz w:val="20"/>
              </w:rPr>
              <w:t>68,1</w:t>
            </w:r>
          </w:p>
        </w:tc>
        <w:tc>
          <w:tcPr>
            <w:tcW w:w="933" w:type="dxa"/>
            <w:vAlign w:val="center"/>
          </w:tcPr>
          <w:p w:rsidR="00642FB4" w:rsidRDefault="00642FB4">
            <w:pPr>
              <w:jc w:val="right"/>
              <w:rPr>
                <w:rFonts w:cs="Arial"/>
                <w:bCs/>
                <w:sz w:val="20"/>
                <w:szCs w:val="20"/>
              </w:rPr>
            </w:pPr>
            <w:r>
              <w:rPr>
                <w:sz w:val="20"/>
              </w:rPr>
              <w:t>0,1</w:t>
            </w:r>
          </w:p>
        </w:tc>
      </w:tr>
      <w:tr w:rsidR="00642FB4">
        <w:trPr>
          <w:jc w:val="center"/>
        </w:trPr>
        <w:tc>
          <w:tcPr>
            <w:tcW w:w="4878" w:type="dxa"/>
            <w:vAlign w:val="center"/>
          </w:tcPr>
          <w:p w:rsidR="00642FB4" w:rsidRDefault="00642FB4">
            <w:pPr>
              <w:jc w:val="both"/>
              <w:rPr>
                <w:rFonts w:cs="Arial"/>
                <w:bCs/>
                <w:sz w:val="20"/>
                <w:szCs w:val="20"/>
              </w:rPr>
            </w:pPr>
            <w:r>
              <w:rPr>
                <w:sz w:val="20"/>
              </w:rPr>
              <w:t>Земля, яка використовується для кемпінгу</w:t>
            </w:r>
          </w:p>
        </w:tc>
        <w:tc>
          <w:tcPr>
            <w:tcW w:w="1350" w:type="dxa"/>
            <w:vAlign w:val="center"/>
          </w:tcPr>
          <w:p w:rsidR="00642FB4" w:rsidRDefault="00642FB4">
            <w:pPr>
              <w:jc w:val="right"/>
              <w:rPr>
                <w:rFonts w:cs="Arial"/>
                <w:bCs/>
                <w:sz w:val="20"/>
                <w:szCs w:val="20"/>
              </w:rPr>
            </w:pPr>
            <w:r>
              <w:rPr>
                <w:sz w:val="20"/>
              </w:rPr>
              <w:t>745,4</w:t>
            </w:r>
          </w:p>
        </w:tc>
        <w:tc>
          <w:tcPr>
            <w:tcW w:w="933" w:type="dxa"/>
            <w:vAlign w:val="center"/>
          </w:tcPr>
          <w:p w:rsidR="00642FB4" w:rsidRDefault="00642FB4">
            <w:pPr>
              <w:jc w:val="right"/>
              <w:rPr>
                <w:rFonts w:cs="Arial"/>
                <w:bCs/>
                <w:sz w:val="20"/>
                <w:szCs w:val="20"/>
              </w:rPr>
            </w:pPr>
            <w:r>
              <w:rPr>
                <w:sz w:val="20"/>
              </w:rPr>
              <w:t>1,2</w:t>
            </w:r>
          </w:p>
        </w:tc>
      </w:tr>
      <w:tr w:rsidR="00642FB4">
        <w:trPr>
          <w:jc w:val="center"/>
        </w:trPr>
        <w:tc>
          <w:tcPr>
            <w:tcW w:w="4878" w:type="dxa"/>
            <w:vAlign w:val="center"/>
          </w:tcPr>
          <w:p w:rsidR="00642FB4" w:rsidRDefault="00642FB4">
            <w:pPr>
              <w:jc w:val="both"/>
              <w:rPr>
                <w:rFonts w:cs="Arial"/>
                <w:bCs/>
                <w:sz w:val="20"/>
                <w:szCs w:val="20"/>
              </w:rPr>
            </w:pPr>
            <w:r>
              <w:rPr>
                <w:sz w:val="20"/>
              </w:rPr>
              <w:t xml:space="preserve">Відкриті водно-болотні угіддя </w:t>
            </w:r>
          </w:p>
        </w:tc>
        <w:tc>
          <w:tcPr>
            <w:tcW w:w="1350" w:type="dxa"/>
            <w:vAlign w:val="center"/>
          </w:tcPr>
          <w:p w:rsidR="00642FB4" w:rsidRDefault="00642FB4">
            <w:pPr>
              <w:jc w:val="right"/>
              <w:rPr>
                <w:rFonts w:cs="Arial"/>
                <w:bCs/>
                <w:sz w:val="20"/>
                <w:szCs w:val="20"/>
              </w:rPr>
            </w:pPr>
            <w:r>
              <w:rPr>
                <w:sz w:val="20"/>
              </w:rPr>
              <w:t>980,1</w:t>
            </w:r>
          </w:p>
        </w:tc>
        <w:tc>
          <w:tcPr>
            <w:tcW w:w="933" w:type="dxa"/>
            <w:vAlign w:val="center"/>
          </w:tcPr>
          <w:p w:rsidR="00642FB4" w:rsidRDefault="00642FB4">
            <w:pPr>
              <w:jc w:val="right"/>
              <w:rPr>
                <w:rFonts w:cs="Arial"/>
                <w:bCs/>
                <w:sz w:val="20"/>
                <w:szCs w:val="20"/>
              </w:rPr>
            </w:pPr>
            <w:r>
              <w:rPr>
                <w:sz w:val="20"/>
              </w:rPr>
              <w:t>1,6</w:t>
            </w:r>
          </w:p>
        </w:tc>
      </w:tr>
      <w:tr w:rsidR="00642FB4">
        <w:trPr>
          <w:jc w:val="center"/>
        </w:trPr>
        <w:tc>
          <w:tcPr>
            <w:tcW w:w="4878" w:type="dxa"/>
            <w:vAlign w:val="center"/>
          </w:tcPr>
          <w:p w:rsidR="00642FB4" w:rsidRDefault="00642FB4">
            <w:pPr>
              <w:jc w:val="both"/>
              <w:rPr>
                <w:rFonts w:cs="Arial"/>
                <w:bCs/>
                <w:sz w:val="20"/>
                <w:szCs w:val="20"/>
              </w:rPr>
            </w:pPr>
            <w:r>
              <w:rPr>
                <w:sz w:val="20"/>
              </w:rPr>
              <w:t>Степ</w:t>
            </w:r>
          </w:p>
        </w:tc>
        <w:tc>
          <w:tcPr>
            <w:tcW w:w="1350" w:type="dxa"/>
            <w:vAlign w:val="center"/>
          </w:tcPr>
          <w:p w:rsidR="00642FB4" w:rsidRDefault="00642FB4">
            <w:pPr>
              <w:jc w:val="right"/>
              <w:rPr>
                <w:rFonts w:cs="Arial"/>
                <w:bCs/>
                <w:sz w:val="20"/>
                <w:szCs w:val="20"/>
              </w:rPr>
            </w:pPr>
            <w:r>
              <w:rPr>
                <w:sz w:val="20"/>
              </w:rPr>
              <w:t>17,7</w:t>
            </w:r>
          </w:p>
        </w:tc>
        <w:tc>
          <w:tcPr>
            <w:tcW w:w="933" w:type="dxa"/>
            <w:vAlign w:val="center"/>
          </w:tcPr>
          <w:p w:rsidR="00642FB4" w:rsidRDefault="00642FB4">
            <w:pPr>
              <w:jc w:val="right"/>
              <w:rPr>
                <w:rFonts w:cs="Arial"/>
                <w:bCs/>
                <w:sz w:val="20"/>
                <w:szCs w:val="20"/>
              </w:rPr>
            </w:pPr>
            <w:r>
              <w:rPr>
                <w:sz w:val="20"/>
              </w:rPr>
              <w:t>0,0</w:t>
            </w:r>
          </w:p>
        </w:tc>
      </w:tr>
      <w:tr w:rsidR="00642FB4">
        <w:trPr>
          <w:jc w:val="center"/>
        </w:trPr>
        <w:tc>
          <w:tcPr>
            <w:tcW w:w="4878" w:type="dxa"/>
            <w:vAlign w:val="center"/>
          </w:tcPr>
          <w:p w:rsidR="00642FB4" w:rsidRDefault="00642FB4">
            <w:pPr>
              <w:jc w:val="both"/>
              <w:rPr>
                <w:rFonts w:cs="Arial"/>
                <w:bCs/>
                <w:sz w:val="20"/>
                <w:szCs w:val="20"/>
              </w:rPr>
            </w:pPr>
            <w:r>
              <w:rPr>
                <w:sz w:val="20"/>
              </w:rPr>
              <w:t>Пісок, печери</w:t>
            </w:r>
          </w:p>
        </w:tc>
        <w:tc>
          <w:tcPr>
            <w:tcW w:w="1350" w:type="dxa"/>
            <w:vAlign w:val="center"/>
          </w:tcPr>
          <w:p w:rsidR="00642FB4" w:rsidRDefault="00642FB4">
            <w:pPr>
              <w:jc w:val="right"/>
              <w:rPr>
                <w:rFonts w:cs="Arial"/>
                <w:bCs/>
                <w:sz w:val="20"/>
                <w:szCs w:val="20"/>
              </w:rPr>
            </w:pPr>
            <w:r>
              <w:rPr>
                <w:sz w:val="20"/>
              </w:rPr>
              <w:t>1 022,9</w:t>
            </w:r>
          </w:p>
        </w:tc>
        <w:tc>
          <w:tcPr>
            <w:tcW w:w="933" w:type="dxa"/>
            <w:vAlign w:val="center"/>
          </w:tcPr>
          <w:p w:rsidR="00642FB4" w:rsidRDefault="00642FB4">
            <w:pPr>
              <w:jc w:val="right"/>
              <w:rPr>
                <w:rFonts w:cs="Arial"/>
                <w:bCs/>
                <w:sz w:val="20"/>
                <w:szCs w:val="20"/>
              </w:rPr>
            </w:pPr>
            <w:r>
              <w:rPr>
                <w:sz w:val="20"/>
              </w:rPr>
              <w:t>1,7</w:t>
            </w:r>
          </w:p>
        </w:tc>
      </w:tr>
      <w:tr w:rsidR="00642FB4">
        <w:trPr>
          <w:jc w:val="center"/>
        </w:trPr>
        <w:tc>
          <w:tcPr>
            <w:tcW w:w="4878" w:type="dxa"/>
            <w:vAlign w:val="center"/>
          </w:tcPr>
          <w:p w:rsidR="00642FB4" w:rsidRDefault="00642FB4">
            <w:pPr>
              <w:jc w:val="both"/>
              <w:rPr>
                <w:rFonts w:cs="Arial"/>
                <w:bCs/>
                <w:sz w:val="20"/>
                <w:szCs w:val="20"/>
              </w:rPr>
            </w:pPr>
            <w:r>
              <w:rPr>
                <w:sz w:val="20"/>
              </w:rPr>
              <w:t>Усього землі</w:t>
            </w:r>
          </w:p>
        </w:tc>
        <w:tc>
          <w:tcPr>
            <w:tcW w:w="1350" w:type="dxa"/>
            <w:vAlign w:val="center"/>
          </w:tcPr>
          <w:p w:rsidR="00642FB4" w:rsidRDefault="00642FB4">
            <w:pPr>
              <w:jc w:val="right"/>
              <w:rPr>
                <w:rFonts w:cs="Arial"/>
                <w:bCs/>
                <w:sz w:val="20"/>
                <w:szCs w:val="20"/>
              </w:rPr>
            </w:pPr>
            <w:r>
              <w:rPr>
                <w:sz w:val="20"/>
              </w:rPr>
              <w:t>57 932,1</w:t>
            </w:r>
          </w:p>
        </w:tc>
        <w:tc>
          <w:tcPr>
            <w:tcW w:w="933" w:type="dxa"/>
            <w:vAlign w:val="center"/>
          </w:tcPr>
          <w:p w:rsidR="00642FB4" w:rsidRDefault="00642FB4">
            <w:pPr>
              <w:jc w:val="right"/>
              <w:rPr>
                <w:rFonts w:cs="Arial"/>
                <w:bCs/>
                <w:sz w:val="20"/>
                <w:szCs w:val="20"/>
              </w:rPr>
            </w:pPr>
            <w:r>
              <w:rPr>
                <w:sz w:val="20"/>
              </w:rPr>
              <w:t>96,0</w:t>
            </w:r>
          </w:p>
        </w:tc>
      </w:tr>
      <w:tr w:rsidR="00642FB4">
        <w:trPr>
          <w:jc w:val="center"/>
        </w:trPr>
        <w:tc>
          <w:tcPr>
            <w:tcW w:w="4878" w:type="dxa"/>
            <w:vAlign w:val="center"/>
          </w:tcPr>
          <w:p w:rsidR="00642FB4" w:rsidRDefault="00642FB4">
            <w:pPr>
              <w:jc w:val="both"/>
              <w:rPr>
                <w:rFonts w:cs="Arial"/>
                <w:bCs/>
                <w:sz w:val="20"/>
                <w:szCs w:val="20"/>
              </w:rPr>
            </w:pPr>
            <w:r>
              <w:rPr>
                <w:sz w:val="20"/>
              </w:rPr>
              <w:t>Територія покрита поверхневою водою</w:t>
            </w:r>
          </w:p>
        </w:tc>
        <w:tc>
          <w:tcPr>
            <w:tcW w:w="1350" w:type="dxa"/>
            <w:vAlign w:val="center"/>
          </w:tcPr>
          <w:p w:rsidR="00642FB4" w:rsidRDefault="00642FB4">
            <w:pPr>
              <w:jc w:val="right"/>
              <w:rPr>
                <w:rFonts w:cs="Arial"/>
                <w:bCs/>
                <w:sz w:val="20"/>
                <w:szCs w:val="20"/>
              </w:rPr>
            </w:pPr>
            <w:r>
              <w:rPr>
                <w:sz w:val="20"/>
              </w:rPr>
              <w:t>2 422,8</w:t>
            </w:r>
          </w:p>
        </w:tc>
        <w:tc>
          <w:tcPr>
            <w:tcW w:w="933" w:type="dxa"/>
            <w:vAlign w:val="center"/>
          </w:tcPr>
          <w:p w:rsidR="00642FB4" w:rsidRDefault="00642FB4">
            <w:pPr>
              <w:jc w:val="right"/>
              <w:rPr>
                <w:rFonts w:cs="Arial"/>
                <w:bCs/>
                <w:sz w:val="20"/>
                <w:szCs w:val="20"/>
              </w:rPr>
            </w:pPr>
            <w:r>
              <w:rPr>
                <w:sz w:val="20"/>
              </w:rPr>
              <w:t>4,0</w:t>
            </w:r>
          </w:p>
        </w:tc>
      </w:tr>
      <w:tr w:rsidR="00642FB4">
        <w:trPr>
          <w:jc w:val="center"/>
        </w:trPr>
        <w:tc>
          <w:tcPr>
            <w:tcW w:w="4878" w:type="dxa"/>
            <w:vAlign w:val="center"/>
          </w:tcPr>
          <w:p w:rsidR="00642FB4" w:rsidRDefault="00642FB4">
            <w:pPr>
              <w:jc w:val="both"/>
              <w:rPr>
                <w:rFonts w:cs="Arial"/>
                <w:bCs/>
                <w:sz w:val="20"/>
                <w:szCs w:val="20"/>
              </w:rPr>
            </w:pPr>
            <w:r>
              <w:rPr>
                <w:b/>
                <w:sz w:val="20"/>
              </w:rPr>
              <w:t xml:space="preserve">Усього (регіон) </w:t>
            </w:r>
          </w:p>
        </w:tc>
        <w:tc>
          <w:tcPr>
            <w:tcW w:w="1350" w:type="dxa"/>
            <w:vAlign w:val="center"/>
          </w:tcPr>
          <w:p w:rsidR="00642FB4" w:rsidRDefault="00642FB4">
            <w:pPr>
              <w:jc w:val="right"/>
              <w:rPr>
                <w:rFonts w:cs="Arial"/>
                <w:bCs/>
                <w:sz w:val="20"/>
                <w:szCs w:val="20"/>
              </w:rPr>
            </w:pPr>
            <w:r>
              <w:rPr>
                <w:b/>
                <w:sz w:val="20"/>
              </w:rPr>
              <w:t>60 354,9</w:t>
            </w:r>
          </w:p>
        </w:tc>
        <w:tc>
          <w:tcPr>
            <w:tcW w:w="933" w:type="dxa"/>
            <w:vAlign w:val="center"/>
          </w:tcPr>
          <w:p w:rsidR="00642FB4" w:rsidRDefault="00642FB4">
            <w:pPr>
              <w:jc w:val="right"/>
              <w:rPr>
                <w:rFonts w:cs="Arial"/>
                <w:bCs/>
                <w:sz w:val="20"/>
                <w:szCs w:val="20"/>
              </w:rPr>
            </w:pPr>
            <w:r>
              <w:rPr>
                <w:sz w:val="20"/>
              </w:rPr>
              <w:t>100,0</w:t>
            </w:r>
          </w:p>
        </w:tc>
      </w:tr>
    </w:tbl>
    <w:p w:rsidR="00642FB4" w:rsidRDefault="00642FB4">
      <w:pPr>
        <w:jc w:val="both"/>
        <w:rPr>
          <w:rFonts w:cs="Arial"/>
          <w:u w:val="single"/>
        </w:rPr>
      </w:pPr>
    </w:p>
    <w:p w:rsidR="00642FB4" w:rsidRDefault="00642FB4">
      <w:pPr>
        <w:pStyle w:val="HTMLPreformatted"/>
        <w:spacing w:before="60" w:after="60" w:line="288" w:lineRule="auto"/>
        <w:ind w:firstLine="720"/>
        <w:jc w:val="both"/>
        <w:rPr>
          <w:rFonts w:ascii="Arial" w:hAnsi="Arial" w:cs="Arial"/>
          <w:sz w:val="24"/>
          <w:szCs w:val="24"/>
          <w:lang w:val="ro-RO"/>
        </w:rPr>
      </w:pPr>
      <w:r>
        <w:rPr>
          <w:rFonts w:ascii="Arial" w:hAnsi="Arial"/>
          <w:sz w:val="24"/>
          <w:lang w:val="ro-RO"/>
        </w:rPr>
        <w:t>На екологічний фонд значно впливає землекористування, яке може прямо впливати на види флори і фауни.</w:t>
      </w:r>
    </w:p>
    <w:p w:rsidR="00642FB4" w:rsidRDefault="00642FB4">
      <w:pPr>
        <w:pStyle w:val="HTMLPreformatted"/>
        <w:spacing w:before="60" w:after="60" w:line="288" w:lineRule="auto"/>
        <w:ind w:firstLine="720"/>
        <w:jc w:val="both"/>
        <w:rPr>
          <w:rFonts w:ascii="Arial" w:hAnsi="Arial" w:cs="Arial"/>
          <w:sz w:val="24"/>
          <w:szCs w:val="24"/>
          <w:lang w:val="ro-RO"/>
        </w:rPr>
      </w:pPr>
      <w:r>
        <w:rPr>
          <w:rFonts w:ascii="Arial" w:hAnsi="Arial"/>
          <w:sz w:val="24"/>
          <w:lang w:val="ro-RO"/>
        </w:rPr>
        <w:t>Причиною вплив на землю, насамперед, являється процес деградації, забруднення ґрунту і розвитку сільського господарства.</w:t>
      </w:r>
    </w:p>
    <w:p w:rsidR="00642FB4" w:rsidRDefault="00642FB4">
      <w:pPr>
        <w:pStyle w:val="HTMLPreformatted"/>
        <w:spacing w:before="60" w:after="60" w:line="288" w:lineRule="auto"/>
        <w:ind w:firstLine="720"/>
        <w:jc w:val="both"/>
        <w:rPr>
          <w:rFonts w:ascii="Arial" w:hAnsi="Arial" w:cs="Arial"/>
          <w:sz w:val="24"/>
          <w:szCs w:val="24"/>
        </w:rPr>
      </w:pPr>
      <w:r>
        <w:rPr>
          <w:rFonts w:ascii="Arial" w:hAnsi="Arial"/>
          <w:sz w:val="24"/>
          <w:lang w:val="ro-RO"/>
        </w:rPr>
        <w:t xml:space="preserve">Ґрунти у великих містах забруднені внаслідок промислової діяльності та автомобільного транспорту. </w:t>
      </w:r>
      <w:r>
        <w:rPr>
          <w:rFonts w:ascii="Arial" w:hAnsi="Arial"/>
          <w:sz w:val="24"/>
        </w:rPr>
        <w:t xml:space="preserve">Аварійні забруднення являються проблемою для якості ґрунту. </w:t>
      </w:r>
    </w:p>
    <w:p w:rsidR="00642FB4" w:rsidRDefault="00642FB4">
      <w:pPr>
        <w:pStyle w:val="HTMLPreformatted"/>
        <w:spacing w:before="60" w:after="60" w:line="288" w:lineRule="auto"/>
        <w:ind w:firstLine="720"/>
        <w:jc w:val="both"/>
        <w:rPr>
          <w:rFonts w:ascii="Arial" w:hAnsi="Arial" w:cs="Arial"/>
          <w:sz w:val="24"/>
          <w:szCs w:val="24"/>
        </w:rPr>
        <w:sectPr w:rsidR="00642FB4">
          <w:headerReference w:type="default" r:id="rId27"/>
          <w:footerReference w:type="default" r:id="rId28"/>
          <w:pgSz w:w="11909" w:h="16834" w:code="9"/>
          <w:pgMar w:top="562" w:right="849" w:bottom="562" w:left="1138" w:header="288" w:footer="0" w:gutter="0"/>
          <w:cols w:space="708"/>
          <w:docGrid w:linePitch="360"/>
        </w:sectPr>
      </w:pPr>
    </w:p>
    <w:p w:rsidR="00642FB4" w:rsidRDefault="00642FB4">
      <w:pPr>
        <w:pStyle w:val="Title"/>
        <w:numPr>
          <w:ilvl w:val="0"/>
          <w:numId w:val="5"/>
        </w:numPr>
        <w:jc w:val="both"/>
        <w:rPr>
          <w:rFonts w:ascii="Arial" w:hAnsi="Arial" w:cs="Arial"/>
          <w:sz w:val="24"/>
          <w:szCs w:val="24"/>
        </w:rPr>
      </w:pPr>
      <w:bookmarkStart w:id="26" w:name="_Toc419199667"/>
      <w:bookmarkStart w:id="27" w:name="_Toc412114136"/>
      <w:bookmarkStart w:id="28" w:name="_Toc418279305"/>
      <w:r>
        <w:rPr>
          <w:rFonts w:ascii="Arial" w:hAnsi="Arial"/>
          <w:sz w:val="24"/>
        </w:rPr>
        <w:t>БУДЬ-ЯКІ ІСНУЮЧІ ЕКОЛОГІЧНІ ПРОБЛЕМИ, ЩО МАЮТЬ ВІДНОШЕННЯ ДО ПЛАНУ ЧИ ПРОГРАМИ, У ТОМУ ЧИСЛІ, ЗОКРЕМА, ТІ, ЩО СТОСУЮТЬСЯ БУДЬ-ЯКИХ ОБЛАСТЕЙ З ОСОБЛИВИМ ЕКОЛОГІЧНИМ ЗНАЧЕННЯМ, ТАКИХ, ЯК ОБЛАСТЬ, ПРИЗНАЧЕНІ ВІДПОВІДНО ДО ДИРЕКТИВ 79/409 / ЄЕС ТА 92/43 / ЄЕС</w:t>
      </w:r>
      <w:bookmarkEnd w:id="26"/>
      <w:r>
        <w:rPr>
          <w:rFonts w:ascii="Arial" w:hAnsi="Arial"/>
          <w:sz w:val="24"/>
        </w:rPr>
        <w:t xml:space="preserve"> </w:t>
      </w:r>
      <w:bookmarkEnd w:id="27"/>
      <w:bookmarkEnd w:id="28"/>
    </w:p>
    <w:p w:rsidR="00642FB4" w:rsidRDefault="00642FB4">
      <w:pPr>
        <w:autoSpaceDE w:val="0"/>
        <w:autoSpaceDN w:val="0"/>
        <w:adjustRightInd w:val="0"/>
        <w:spacing w:before="60" w:after="60" w:line="288" w:lineRule="auto"/>
        <w:contextualSpacing/>
        <w:jc w:val="both"/>
        <w:rPr>
          <w:rFonts w:eastAsia="EUAlbertina-Regular-Identity-H" w:cs="Arial"/>
          <w:b/>
        </w:rPr>
      </w:pPr>
    </w:p>
    <w:p w:rsidR="00642FB4" w:rsidRDefault="00642FB4">
      <w:pPr>
        <w:pStyle w:val="Heading1"/>
        <w:jc w:val="both"/>
        <w:rPr>
          <w:rFonts w:ascii="Arial" w:hAnsi="Arial" w:cs="Arial"/>
          <w:sz w:val="24"/>
          <w:szCs w:val="24"/>
        </w:rPr>
      </w:pPr>
      <w:bookmarkStart w:id="29" w:name="_Toc418279306"/>
      <w:bookmarkStart w:id="30" w:name="_Toc419199668"/>
      <w:r>
        <w:rPr>
          <w:rFonts w:ascii="Arial" w:hAnsi="Arial"/>
          <w:sz w:val="24"/>
        </w:rPr>
        <w:t>РУМУНІЯ</w:t>
      </w:r>
      <w:bookmarkEnd w:id="29"/>
      <w:bookmarkEnd w:id="30"/>
    </w:p>
    <w:p w:rsidR="00642FB4" w:rsidRDefault="00642FB4">
      <w:pPr>
        <w:autoSpaceDE w:val="0"/>
        <w:autoSpaceDN w:val="0"/>
        <w:adjustRightInd w:val="0"/>
        <w:spacing w:before="60" w:after="60" w:line="288" w:lineRule="auto"/>
        <w:ind w:firstLine="709"/>
        <w:contextualSpacing/>
        <w:jc w:val="both"/>
      </w:pPr>
      <w:r>
        <w:t xml:space="preserve">Інформація про ділянки комунітарного значення та особливо охоронювані території на території цих чотирьох повітів на прийнятній території були взяті з веб-сторінки Міністерства навколишнього середовища, водних і лісових ресурсів - </w:t>
      </w:r>
      <w:hyperlink r:id="rId29">
        <w:r>
          <w:rPr>
            <w:rStyle w:val="Hyperlink"/>
            <w:rFonts w:eastAsia="Calibri"/>
          </w:rPr>
          <w:t>http://www.mmediu.ro/articol/date-gis/434</w:t>
        </w:r>
      </w:hyperlink>
      <w:r>
        <w:t>.</w:t>
      </w:r>
    </w:p>
    <w:p w:rsidR="002C0454" w:rsidRDefault="002C0454">
      <w:pPr>
        <w:autoSpaceDE w:val="0"/>
        <w:autoSpaceDN w:val="0"/>
        <w:adjustRightInd w:val="0"/>
        <w:spacing w:before="60" w:after="60" w:line="288" w:lineRule="auto"/>
        <w:ind w:firstLine="709"/>
        <w:contextualSpacing/>
        <w:jc w:val="both"/>
        <w:rPr>
          <w:rFonts w:eastAsia="EUAlbertina-Regular-Identity-H" w:cs="Arial"/>
        </w:rPr>
      </w:pPr>
      <w:r w:rsidRPr="002C0454">
        <w:rPr>
          <w:rFonts w:eastAsia="EUAlbertina-Regular-Identity-H" w:cs="Arial"/>
        </w:rPr>
        <w:t xml:space="preserve">Фотографії з Звіту про стан навколишнього середовища у повітах Ботошань, Марамуреш, Сату Маре, Сучава і Тульча за 2013 рік, розміщений на веб-сайтах Агенцій з захисту навколишнього середовища у даних повітах.  </w:t>
      </w:r>
    </w:p>
    <w:p w:rsidR="00642FB4" w:rsidRDefault="00642FB4">
      <w:pPr>
        <w:autoSpaceDE w:val="0"/>
        <w:autoSpaceDN w:val="0"/>
        <w:adjustRightInd w:val="0"/>
        <w:spacing w:before="60" w:after="60" w:line="288" w:lineRule="auto"/>
        <w:contextualSpacing/>
        <w:jc w:val="both"/>
        <w:rPr>
          <w:rFonts w:eastAsia="EUAlbertina-Regular-Identity-H" w:cs="Arial"/>
          <w:b/>
        </w:rPr>
      </w:pPr>
    </w:p>
    <w:p w:rsidR="00642FB4" w:rsidRDefault="00642FB4">
      <w:pPr>
        <w:autoSpaceDE w:val="0"/>
        <w:autoSpaceDN w:val="0"/>
        <w:adjustRightInd w:val="0"/>
        <w:spacing w:before="60" w:after="60" w:line="288" w:lineRule="auto"/>
        <w:ind w:left="1080" w:hanging="360"/>
        <w:contextualSpacing/>
        <w:jc w:val="both"/>
        <w:rPr>
          <w:rFonts w:eastAsia="EUAlbertina-Regular-Identity-H" w:cs="Arial"/>
          <w:b/>
          <w:i/>
        </w:rPr>
      </w:pPr>
      <w:r>
        <w:rPr>
          <w:b/>
          <w:i/>
        </w:rPr>
        <w:t>Повіт Ботошань</w:t>
      </w:r>
    </w:p>
    <w:p w:rsidR="00642FB4" w:rsidRPr="002C0454" w:rsidRDefault="00642FB4">
      <w:pPr>
        <w:autoSpaceDE w:val="0"/>
        <w:autoSpaceDN w:val="0"/>
        <w:adjustRightInd w:val="0"/>
        <w:spacing w:before="60" w:after="60" w:line="288" w:lineRule="auto"/>
        <w:ind w:left="720"/>
        <w:contextualSpacing/>
        <w:jc w:val="both"/>
        <w:rPr>
          <w:rFonts w:eastAsia="EUAlbertina-Regular-Identity-H" w:cs="Arial"/>
        </w:rPr>
      </w:pPr>
    </w:p>
    <w:p w:rsidR="002C0454" w:rsidRPr="002C0454" w:rsidRDefault="002C0454" w:rsidP="002C0454">
      <w:pPr>
        <w:autoSpaceDE w:val="0"/>
        <w:autoSpaceDN w:val="0"/>
        <w:adjustRightInd w:val="0"/>
        <w:spacing w:before="60" w:after="60" w:line="288" w:lineRule="auto"/>
        <w:ind w:firstLine="709"/>
        <w:contextualSpacing/>
        <w:jc w:val="both"/>
        <w:rPr>
          <w:rFonts w:eastAsia="EUAlbertina-Regular-Identity-H" w:cs="Arial"/>
          <w:bCs/>
          <w:lang w:val="uk-UA" w:eastAsia="en-US"/>
        </w:rPr>
      </w:pPr>
      <w:r w:rsidRPr="002C0454">
        <w:rPr>
          <w:rFonts w:eastAsia="EUAlbertina-Regular-Identity-H" w:cs="Arial"/>
          <w:bCs/>
          <w:lang w:val="uk-UA" w:eastAsia="en-US"/>
        </w:rPr>
        <w:t>У Ботошанському повіті існують 7 зон місцевого захисту SCI , 4 зони захисту фауни SPA і природні заповідники. Рис. 5.1 вказує на розміщення SCI, SPA та природних заповідників на всій території Ботошанського повіту.</w:t>
      </w:r>
    </w:p>
    <w:p w:rsidR="002C0454" w:rsidRPr="002C0454" w:rsidRDefault="002C0454" w:rsidP="002C0454">
      <w:pPr>
        <w:autoSpaceDE w:val="0"/>
        <w:autoSpaceDN w:val="0"/>
        <w:adjustRightInd w:val="0"/>
        <w:spacing w:before="60" w:after="60" w:line="288" w:lineRule="auto"/>
        <w:ind w:firstLine="709"/>
        <w:contextualSpacing/>
        <w:jc w:val="both"/>
        <w:rPr>
          <w:rFonts w:eastAsia="EUAlbertina-Regular-Identity-H" w:cs="Arial"/>
          <w:bCs/>
          <w:lang w:val="uk-UA" w:eastAsia="en-US"/>
        </w:rPr>
      </w:pPr>
    </w:p>
    <w:p w:rsidR="00642FB4" w:rsidRPr="00742B3C" w:rsidRDefault="002C0454" w:rsidP="002C0454">
      <w:pPr>
        <w:autoSpaceDE w:val="0"/>
        <w:autoSpaceDN w:val="0"/>
        <w:adjustRightInd w:val="0"/>
        <w:spacing w:before="60" w:after="60" w:line="288" w:lineRule="auto"/>
        <w:ind w:firstLine="709"/>
        <w:contextualSpacing/>
        <w:jc w:val="both"/>
        <w:rPr>
          <w:rFonts w:eastAsia="EUAlbertina-Regular-Identity-H" w:cs="Arial"/>
          <w:highlight w:val="yellow"/>
          <w:lang w:val="uk-UA" w:eastAsia="en-US"/>
        </w:rPr>
      </w:pPr>
      <w:r w:rsidRPr="002C0454">
        <w:rPr>
          <w:rFonts w:eastAsia="EUAlbertina-Regular-Identity-H" w:cs="Arial"/>
          <w:bCs/>
          <w:lang w:val="uk-UA" w:eastAsia="en-US"/>
        </w:rPr>
        <w:t>Природні заповідники розділяються на лісові та флористичні.</w:t>
      </w:r>
      <w:r w:rsidR="00742B3C">
        <w:rPr>
          <w:rFonts w:eastAsia="EUAlbertina-Regular-Identity-H" w:cs="Arial"/>
          <w:bCs/>
          <w:highlight w:val="yellow"/>
          <w:lang w:val="uk-UA" w:eastAsia="en-US"/>
        </w:rPr>
        <w:t xml:space="preserve"> </w:t>
      </w:r>
      <w:r w:rsidR="00642FB4">
        <w:rPr>
          <w:rFonts w:eastAsia="EUAlbertina-Regular-Identity-H" w:cs="Arial"/>
          <w:bCs/>
          <w:highlight w:val="yellow"/>
          <w:lang w:eastAsia="en-US"/>
        </w:rPr>
        <w:t xml:space="preserve"> </w:t>
      </w:r>
      <w:r w:rsidR="00742B3C">
        <w:rPr>
          <w:rFonts w:eastAsia="EUAlbertina-Regular-Identity-H" w:cs="Arial"/>
          <w:bCs/>
          <w:highlight w:val="yellow"/>
          <w:lang w:val="uk-UA" w:eastAsia="en-US"/>
        </w:rPr>
        <w:t xml:space="preserve"> </w:t>
      </w:r>
    </w:p>
    <w:p w:rsidR="00642FB4" w:rsidRDefault="00642FB4">
      <w:pPr>
        <w:autoSpaceDE w:val="0"/>
        <w:autoSpaceDN w:val="0"/>
        <w:adjustRightInd w:val="0"/>
        <w:spacing w:before="60" w:after="60" w:line="288" w:lineRule="auto"/>
        <w:ind w:firstLine="709"/>
        <w:contextualSpacing/>
        <w:jc w:val="both"/>
        <w:rPr>
          <w:rFonts w:eastAsia="EUAlbertina-Regular-Identity-H" w:cs="Arial"/>
          <w:highlight w:val="yellow"/>
          <w:lang w:eastAsia="en-US"/>
        </w:rPr>
      </w:pPr>
    </w:p>
    <w:p w:rsidR="00642FB4" w:rsidRPr="002C0454" w:rsidRDefault="00742B3C">
      <w:pPr>
        <w:numPr>
          <w:ilvl w:val="0"/>
          <w:numId w:val="81"/>
        </w:numPr>
        <w:autoSpaceDE w:val="0"/>
        <w:autoSpaceDN w:val="0"/>
        <w:adjustRightInd w:val="0"/>
        <w:spacing w:before="60" w:after="60" w:line="288" w:lineRule="auto"/>
        <w:contextualSpacing/>
        <w:jc w:val="both"/>
        <w:rPr>
          <w:rFonts w:eastAsia="EUAlbertina-Regular-Identity-H" w:cs="Arial"/>
          <w:b/>
          <w:lang w:eastAsia="en-US"/>
        </w:rPr>
      </w:pPr>
      <w:r w:rsidRPr="002C0454">
        <w:rPr>
          <w:rFonts w:eastAsia="EUAlbertina-Regular-Identity-H" w:cs="Arial"/>
          <w:b/>
          <w:lang w:val="uk-UA" w:eastAsia="en-US"/>
        </w:rPr>
        <w:t>Лісові</w:t>
      </w:r>
      <w:r w:rsidR="00642FB4" w:rsidRPr="002C0454">
        <w:rPr>
          <w:rFonts w:eastAsia="EUAlbertina-Regular-Identity-H" w:cs="Arial"/>
          <w:b/>
          <w:lang w:eastAsia="en-US"/>
        </w:rPr>
        <w:t xml:space="preserve"> </w:t>
      </w:r>
    </w:p>
    <w:p w:rsidR="00642FB4" w:rsidRPr="002C0454" w:rsidRDefault="00742B3C">
      <w:pPr>
        <w:numPr>
          <w:ilvl w:val="0"/>
          <w:numId w:val="82"/>
        </w:numPr>
        <w:autoSpaceDE w:val="0"/>
        <w:autoSpaceDN w:val="0"/>
        <w:adjustRightInd w:val="0"/>
        <w:spacing w:before="60" w:after="60" w:line="288" w:lineRule="auto"/>
        <w:contextualSpacing/>
        <w:jc w:val="both"/>
        <w:rPr>
          <w:rFonts w:eastAsia="EUAlbertina-Regular-Identity-H" w:cs="Arial"/>
          <w:lang w:eastAsia="en-US"/>
        </w:rPr>
      </w:pPr>
      <w:r w:rsidRPr="002C0454">
        <w:rPr>
          <w:rFonts w:eastAsia="EUAlbertina-Regular-Identity-H" w:cs="Arial"/>
          <w:lang w:val="uk-UA" w:eastAsia="en-US"/>
        </w:rPr>
        <w:t>Ліс Тудора</w:t>
      </w:r>
      <w:r w:rsidR="00642FB4" w:rsidRPr="002C0454">
        <w:rPr>
          <w:rFonts w:eastAsia="EUAlbertina-Regular-Identity-H" w:cs="Arial"/>
          <w:lang w:eastAsia="en-US"/>
        </w:rPr>
        <w:tab/>
      </w:r>
      <w:r w:rsidR="00642FB4" w:rsidRPr="002C0454">
        <w:rPr>
          <w:rFonts w:eastAsia="EUAlbertina-Regular-Identity-H" w:cs="Arial"/>
          <w:lang w:eastAsia="en-US"/>
        </w:rPr>
        <w:tab/>
      </w:r>
      <w:r w:rsidR="00642FB4" w:rsidRPr="002C0454">
        <w:rPr>
          <w:rFonts w:eastAsia="EUAlbertina-Regular-Identity-H" w:cs="Arial"/>
          <w:lang w:eastAsia="en-US"/>
        </w:rPr>
        <w:tab/>
        <w:t xml:space="preserve">       119,0 ha; </w:t>
      </w:r>
    </w:p>
    <w:p w:rsidR="00642FB4" w:rsidRPr="002C0454" w:rsidRDefault="00742B3C">
      <w:pPr>
        <w:numPr>
          <w:ilvl w:val="0"/>
          <w:numId w:val="82"/>
        </w:numPr>
        <w:autoSpaceDE w:val="0"/>
        <w:autoSpaceDN w:val="0"/>
        <w:adjustRightInd w:val="0"/>
        <w:spacing w:before="60" w:after="60" w:line="288" w:lineRule="auto"/>
        <w:contextualSpacing/>
        <w:jc w:val="both"/>
        <w:rPr>
          <w:rFonts w:eastAsia="EUAlbertina-Regular-Identity-H" w:cs="Arial"/>
          <w:lang w:eastAsia="en-US"/>
        </w:rPr>
      </w:pPr>
      <w:r w:rsidRPr="002C0454">
        <w:rPr>
          <w:rFonts w:eastAsia="EUAlbertina-Regular-Identity-H" w:cs="Arial"/>
          <w:lang w:val="uk-UA" w:eastAsia="en-US"/>
        </w:rPr>
        <w:t>Ліс Чорногал</w:t>
      </w:r>
      <w:r w:rsidR="00642FB4" w:rsidRPr="002C0454">
        <w:rPr>
          <w:rFonts w:eastAsia="EUAlbertina-Regular-Identity-H" w:cs="Arial"/>
          <w:lang w:eastAsia="en-US"/>
        </w:rPr>
        <w:tab/>
      </w:r>
      <w:r w:rsidR="00642FB4" w:rsidRPr="002C0454">
        <w:rPr>
          <w:rFonts w:eastAsia="EUAlbertina-Regular-Identity-H" w:cs="Arial"/>
          <w:lang w:eastAsia="en-US"/>
        </w:rPr>
        <w:tab/>
      </w:r>
      <w:r w:rsidR="00642FB4" w:rsidRPr="002C0454">
        <w:rPr>
          <w:rFonts w:eastAsia="EUAlbertina-Regular-Identity-H" w:cs="Arial"/>
          <w:lang w:eastAsia="en-US"/>
        </w:rPr>
        <w:tab/>
        <w:t xml:space="preserve">         76,5 ha; </w:t>
      </w:r>
    </w:p>
    <w:p w:rsidR="00642FB4" w:rsidRPr="002C0454" w:rsidRDefault="00742B3C">
      <w:pPr>
        <w:numPr>
          <w:ilvl w:val="0"/>
          <w:numId w:val="82"/>
        </w:numPr>
        <w:autoSpaceDE w:val="0"/>
        <w:autoSpaceDN w:val="0"/>
        <w:adjustRightInd w:val="0"/>
        <w:spacing w:before="60" w:after="60" w:line="288" w:lineRule="auto"/>
        <w:contextualSpacing/>
        <w:jc w:val="both"/>
        <w:rPr>
          <w:rFonts w:eastAsia="EUAlbertina-Regular-Identity-H" w:cs="Arial"/>
          <w:lang w:eastAsia="en-US"/>
        </w:rPr>
      </w:pPr>
      <w:r w:rsidRPr="002C0454">
        <w:rPr>
          <w:rFonts w:eastAsia="EUAlbertina-Regular-Identity-H" w:cs="Arial"/>
          <w:lang w:val="uk-UA" w:eastAsia="en-US"/>
        </w:rPr>
        <w:t>Ліс Горлачені</w:t>
      </w:r>
      <w:r w:rsidR="00642FB4" w:rsidRPr="002C0454">
        <w:rPr>
          <w:rFonts w:eastAsia="EUAlbertina-Regular-Identity-H" w:cs="Arial"/>
          <w:lang w:eastAsia="en-US"/>
        </w:rPr>
        <w:t xml:space="preserve">                            5,0 ha; </w:t>
      </w:r>
    </w:p>
    <w:p w:rsidR="00642FB4" w:rsidRPr="002C0454" w:rsidRDefault="00742B3C">
      <w:pPr>
        <w:numPr>
          <w:ilvl w:val="0"/>
          <w:numId w:val="82"/>
        </w:numPr>
        <w:autoSpaceDE w:val="0"/>
        <w:autoSpaceDN w:val="0"/>
        <w:adjustRightInd w:val="0"/>
        <w:spacing w:before="60" w:after="60" w:line="288" w:lineRule="auto"/>
        <w:contextualSpacing/>
        <w:jc w:val="both"/>
        <w:rPr>
          <w:rFonts w:eastAsia="EUAlbertina-Regular-Identity-H" w:cs="Arial"/>
          <w:lang w:eastAsia="en-US"/>
        </w:rPr>
      </w:pPr>
      <w:r w:rsidRPr="002C0454">
        <w:rPr>
          <w:rFonts w:eastAsia="EUAlbertina-Regular-Identity-H" w:cs="Arial"/>
          <w:lang w:val="uk-UA" w:eastAsia="en-US"/>
        </w:rPr>
        <w:t xml:space="preserve">Ліс Стухоаса </w:t>
      </w:r>
      <w:r w:rsidR="00642FB4" w:rsidRPr="002C0454">
        <w:rPr>
          <w:rFonts w:eastAsia="EUAlbertina-Regular-Identity-H" w:cs="Arial"/>
          <w:lang w:eastAsia="en-US"/>
        </w:rPr>
        <w:t xml:space="preserve">                       0,5 ha. </w:t>
      </w:r>
    </w:p>
    <w:p w:rsidR="00642FB4" w:rsidRPr="002C0454" w:rsidRDefault="00642FB4">
      <w:pPr>
        <w:autoSpaceDE w:val="0"/>
        <w:autoSpaceDN w:val="0"/>
        <w:adjustRightInd w:val="0"/>
        <w:spacing w:before="60" w:after="60" w:line="288" w:lineRule="auto"/>
        <w:ind w:firstLine="709"/>
        <w:contextualSpacing/>
        <w:jc w:val="both"/>
        <w:rPr>
          <w:rFonts w:eastAsia="EUAlbertina-Regular-Identity-H" w:cs="Arial"/>
          <w:lang w:eastAsia="en-US"/>
        </w:rPr>
      </w:pPr>
    </w:p>
    <w:p w:rsidR="00642FB4" w:rsidRPr="002C0454" w:rsidRDefault="00742B3C">
      <w:pPr>
        <w:numPr>
          <w:ilvl w:val="0"/>
          <w:numId w:val="81"/>
        </w:numPr>
        <w:autoSpaceDE w:val="0"/>
        <w:autoSpaceDN w:val="0"/>
        <w:adjustRightInd w:val="0"/>
        <w:spacing w:before="60" w:after="60" w:line="288" w:lineRule="auto"/>
        <w:contextualSpacing/>
        <w:jc w:val="both"/>
        <w:rPr>
          <w:rFonts w:eastAsia="EUAlbertina-Regular-Identity-H" w:cs="Arial"/>
          <w:b/>
          <w:lang w:eastAsia="en-US"/>
        </w:rPr>
      </w:pPr>
      <w:r w:rsidRPr="002C0454">
        <w:rPr>
          <w:rFonts w:eastAsia="EUAlbertina-Regular-Identity-H" w:cs="Arial"/>
          <w:b/>
          <w:lang w:val="uk-UA" w:eastAsia="en-US"/>
        </w:rPr>
        <w:t>Флористичні</w:t>
      </w:r>
    </w:p>
    <w:p w:rsidR="00642FB4" w:rsidRPr="002C0454" w:rsidRDefault="00742B3C">
      <w:pPr>
        <w:numPr>
          <w:ilvl w:val="0"/>
          <w:numId w:val="83"/>
        </w:numPr>
        <w:autoSpaceDE w:val="0"/>
        <w:autoSpaceDN w:val="0"/>
        <w:adjustRightInd w:val="0"/>
        <w:spacing w:before="60" w:after="60" w:line="288" w:lineRule="auto"/>
        <w:contextualSpacing/>
        <w:jc w:val="both"/>
        <w:rPr>
          <w:rFonts w:eastAsia="EUAlbertina-Regular-Identity-H" w:cs="Arial"/>
          <w:lang w:eastAsia="en-US"/>
        </w:rPr>
      </w:pPr>
      <w:r w:rsidRPr="002C0454">
        <w:rPr>
          <w:rFonts w:eastAsia="EUAlbertina-Regular-Identity-H" w:cs="Arial"/>
          <w:lang w:val="uk-UA" w:eastAsia="en-US"/>
        </w:rPr>
        <w:t>Турбарія з Дерски (Лозни)</w:t>
      </w:r>
      <w:r w:rsidR="00642FB4" w:rsidRPr="002C0454">
        <w:rPr>
          <w:rFonts w:eastAsia="EUAlbertina-Regular-Identity-H" w:cs="Arial"/>
          <w:lang w:eastAsia="en-US"/>
        </w:rPr>
        <w:tab/>
        <w:t xml:space="preserve">        10,0 ha; </w:t>
      </w:r>
    </w:p>
    <w:p w:rsidR="00642FB4" w:rsidRPr="002C0454" w:rsidRDefault="00742B3C">
      <w:pPr>
        <w:numPr>
          <w:ilvl w:val="0"/>
          <w:numId w:val="83"/>
        </w:numPr>
        <w:autoSpaceDE w:val="0"/>
        <w:autoSpaceDN w:val="0"/>
        <w:adjustRightInd w:val="0"/>
        <w:spacing w:before="60" w:after="60" w:line="288" w:lineRule="auto"/>
        <w:contextualSpacing/>
        <w:jc w:val="both"/>
        <w:rPr>
          <w:rFonts w:eastAsia="EUAlbertina-Regular-Identity-H" w:cs="Arial"/>
          <w:lang w:eastAsia="en-US"/>
        </w:rPr>
      </w:pPr>
      <w:r w:rsidRPr="002C0454">
        <w:rPr>
          <w:rFonts w:eastAsia="EUAlbertina-Regular-Identity-H" w:cs="Arial"/>
          <w:lang w:val="uk-UA" w:eastAsia="en-US"/>
        </w:rPr>
        <w:t>Бучечя Белці Сірету</w:t>
      </w:r>
      <w:r w:rsidR="00642FB4" w:rsidRPr="002C0454">
        <w:rPr>
          <w:rFonts w:eastAsia="EUAlbertina-Regular-Identity-H" w:cs="Arial"/>
          <w:lang w:eastAsia="en-US"/>
        </w:rPr>
        <w:tab/>
      </w:r>
      <w:r w:rsidR="00642FB4" w:rsidRPr="002C0454">
        <w:rPr>
          <w:rFonts w:eastAsia="EUAlbertina-Regular-Identity-H" w:cs="Arial"/>
          <w:lang w:eastAsia="en-US"/>
        </w:rPr>
        <w:tab/>
        <w:t xml:space="preserve">     </w:t>
      </w:r>
      <w:r w:rsidR="00642FB4" w:rsidRPr="002C0454">
        <w:rPr>
          <w:rFonts w:eastAsia="EUAlbertina-Regular-Identity-H" w:cs="Arial"/>
          <w:lang w:eastAsia="en-US"/>
        </w:rPr>
        <w:tab/>
        <w:t xml:space="preserve">2,0 ha; </w:t>
      </w:r>
    </w:p>
    <w:p w:rsidR="00642FB4" w:rsidRPr="002C0454" w:rsidRDefault="00742B3C">
      <w:pPr>
        <w:numPr>
          <w:ilvl w:val="0"/>
          <w:numId w:val="83"/>
        </w:numPr>
        <w:autoSpaceDE w:val="0"/>
        <w:autoSpaceDN w:val="0"/>
        <w:adjustRightInd w:val="0"/>
        <w:spacing w:before="60" w:after="60" w:line="288" w:lineRule="auto"/>
        <w:contextualSpacing/>
        <w:jc w:val="both"/>
        <w:rPr>
          <w:rFonts w:eastAsia="EUAlbertina-Regular-Identity-H" w:cs="Arial"/>
          <w:lang w:eastAsia="en-US"/>
        </w:rPr>
      </w:pPr>
      <w:r w:rsidRPr="002C0454">
        <w:rPr>
          <w:rFonts w:eastAsia="EUAlbertina-Regular-Identity-H" w:cs="Arial"/>
          <w:lang w:val="uk-UA" w:eastAsia="en-US"/>
        </w:rPr>
        <w:t>Флористичний заповідник Стинка-Стефанешті</w:t>
      </w:r>
      <w:r w:rsidR="00642FB4" w:rsidRPr="002C0454">
        <w:rPr>
          <w:rFonts w:eastAsia="EUAlbertina-Regular-Identity-H" w:cs="Arial"/>
          <w:lang w:eastAsia="en-US"/>
        </w:rPr>
        <w:tab/>
        <w:t xml:space="preserve">1,0 ha; </w:t>
      </w:r>
    </w:p>
    <w:p w:rsidR="00642FB4" w:rsidRPr="002C0454" w:rsidRDefault="00742B3C">
      <w:pPr>
        <w:numPr>
          <w:ilvl w:val="0"/>
          <w:numId w:val="83"/>
        </w:numPr>
        <w:autoSpaceDE w:val="0"/>
        <w:autoSpaceDN w:val="0"/>
        <w:adjustRightInd w:val="0"/>
        <w:spacing w:before="60" w:after="60" w:line="288" w:lineRule="auto"/>
        <w:contextualSpacing/>
        <w:jc w:val="both"/>
        <w:rPr>
          <w:rFonts w:eastAsia="EUAlbertina-Regular-Identity-H" w:cs="Arial"/>
          <w:lang w:eastAsia="en-US"/>
        </w:rPr>
      </w:pPr>
      <w:r w:rsidRPr="002C0454">
        <w:rPr>
          <w:rFonts w:eastAsia="EUAlbertina-Regular-Identity-H" w:cs="Arial"/>
          <w:lang w:val="uk-UA" w:eastAsia="en-US"/>
        </w:rPr>
        <w:t>Флористичний заповідник Ріпічені</w:t>
      </w:r>
      <w:r w:rsidR="00642FB4" w:rsidRPr="002C0454">
        <w:rPr>
          <w:rFonts w:eastAsia="EUAlbertina-Regular-Identity-H" w:cs="Arial"/>
          <w:lang w:eastAsia="en-US"/>
        </w:rPr>
        <w:tab/>
      </w:r>
      <w:r w:rsidR="00642FB4" w:rsidRPr="002C0454">
        <w:rPr>
          <w:rFonts w:eastAsia="EUAlbertina-Regular-Identity-H" w:cs="Arial"/>
          <w:lang w:eastAsia="en-US"/>
        </w:rPr>
        <w:tab/>
        <w:t xml:space="preserve">1,0 ha. </w:t>
      </w:r>
    </w:p>
    <w:p w:rsidR="00642FB4" w:rsidRDefault="00642FB4">
      <w:pPr>
        <w:pStyle w:val="HTMLPreformatted"/>
        <w:spacing w:before="60" w:after="60" w:line="288" w:lineRule="auto"/>
        <w:ind w:firstLine="720"/>
        <w:jc w:val="both"/>
        <w:rPr>
          <w:rFonts w:ascii="Arial" w:hAnsi="Arial" w:cs="Arial"/>
          <w:sz w:val="24"/>
          <w:szCs w:val="24"/>
          <w:lang w:val="ro-RO"/>
        </w:rPr>
      </w:pPr>
    </w:p>
    <w:p w:rsidR="00642FB4" w:rsidRDefault="00642FB4">
      <w:pPr>
        <w:spacing w:before="60" w:after="60" w:line="288" w:lineRule="auto"/>
        <w:jc w:val="both"/>
        <w:rPr>
          <w:b/>
        </w:rPr>
        <w:sectPr w:rsidR="00642FB4">
          <w:footerReference w:type="default" r:id="rId30"/>
          <w:pgSz w:w="11909" w:h="16834" w:code="9"/>
          <w:pgMar w:top="562" w:right="849" w:bottom="562" w:left="1138" w:header="288" w:footer="0" w:gutter="0"/>
          <w:cols w:space="708"/>
          <w:docGrid w:linePitch="360"/>
        </w:sectPr>
      </w:pPr>
    </w:p>
    <w:p w:rsidR="00642FB4" w:rsidRDefault="00642FB4">
      <w:pPr>
        <w:jc w:val="both"/>
        <w:rPr>
          <w:snapToGrid w:val="0"/>
          <w:position w:val="-6"/>
        </w:rPr>
      </w:pPr>
    </w:p>
    <w:p w:rsidR="00642FB4" w:rsidRDefault="001C33BE">
      <w:pPr>
        <w:jc w:val="center"/>
        <w:rPr>
          <w:snapToGrid w:val="0"/>
          <w:position w:val="-6"/>
        </w:rPr>
        <w:sectPr w:rsidR="00642FB4">
          <w:headerReference w:type="default" r:id="rId31"/>
          <w:footerReference w:type="default" r:id="rId32"/>
          <w:pgSz w:w="16834" w:h="11909" w:orient="landscape" w:code="9"/>
          <w:pgMar w:top="1138" w:right="849" w:bottom="475" w:left="562" w:header="288" w:footer="0" w:gutter="0"/>
          <w:cols w:space="708"/>
          <w:docGrid w:linePitch="360"/>
        </w:sectPr>
      </w:pPr>
      <w:r>
        <w:rPr>
          <w:rFonts w:eastAsia="EUAlbertina-Regular-Identity-H" w:cs="Arial"/>
          <w:b/>
          <w:noProof/>
          <w:lang w:val="en-US" w:eastAsia="en-US"/>
        </w:rPr>
        <w:drawing>
          <wp:inline distT="0" distB="0" distL="0" distR="0" wp14:anchorId="0934A364" wp14:editId="436CE262">
            <wp:extent cx="7076440" cy="5009515"/>
            <wp:effectExtent l="19050" t="0" r="0" b="0"/>
            <wp:docPr id="16" name="Рисунок 16" descr="SEA_Botosani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A_Botosani_1"/>
                    <pic:cNvPicPr>
                      <a:picLocks noChangeAspect="1" noChangeArrowheads="1"/>
                    </pic:cNvPicPr>
                  </pic:nvPicPr>
                  <pic:blipFill>
                    <a:blip r:embed="rId33" cstate="print"/>
                    <a:srcRect/>
                    <a:stretch>
                      <a:fillRect/>
                    </a:stretch>
                  </pic:blipFill>
                  <pic:spPr bwMode="auto">
                    <a:xfrm>
                      <a:off x="0" y="0"/>
                      <a:ext cx="7076440" cy="5009515"/>
                    </a:xfrm>
                    <a:prstGeom prst="rect">
                      <a:avLst/>
                    </a:prstGeom>
                    <a:noFill/>
                    <a:ln w="9525">
                      <a:noFill/>
                      <a:miter lim="800000"/>
                      <a:headEnd/>
                      <a:tailEnd/>
                    </a:ln>
                  </pic:spPr>
                </pic:pic>
              </a:graphicData>
            </a:graphic>
          </wp:inline>
        </w:drawing>
      </w:r>
    </w:p>
    <w:p w:rsidR="00642FB4" w:rsidRDefault="00642FB4">
      <w:pPr>
        <w:numPr>
          <w:ilvl w:val="0"/>
          <w:numId w:val="7"/>
        </w:numPr>
        <w:autoSpaceDE w:val="0"/>
        <w:autoSpaceDN w:val="0"/>
        <w:adjustRightInd w:val="0"/>
        <w:spacing w:before="60" w:after="60" w:line="288" w:lineRule="auto"/>
        <w:ind w:hanging="360"/>
        <w:jc w:val="both"/>
        <w:rPr>
          <w:rFonts w:eastAsia="Calibri" w:cs="Arial"/>
          <w:color w:val="000000"/>
        </w:rPr>
      </w:pPr>
      <w:r>
        <w:rPr>
          <w:b/>
          <w:color w:val="000000"/>
        </w:rPr>
        <w:t xml:space="preserve">ОСОБЛИВО ОХОРОНЮВАНІ ТЕРИТОРІЇ  – SPA </w:t>
      </w:r>
    </w:p>
    <w:p w:rsidR="00642FB4" w:rsidRDefault="00642FB4">
      <w:pPr>
        <w:autoSpaceDE w:val="0"/>
        <w:autoSpaceDN w:val="0"/>
        <w:adjustRightInd w:val="0"/>
        <w:spacing w:before="60" w:after="60" w:line="288" w:lineRule="auto"/>
        <w:ind w:left="1080" w:hanging="360"/>
        <w:jc w:val="both"/>
        <w:rPr>
          <w:rFonts w:eastAsia="Calibri" w:cs="Arial"/>
          <w:color w:val="000000"/>
        </w:rPr>
      </w:pPr>
      <w:r>
        <w:rPr>
          <w:color w:val="000000"/>
        </w:rPr>
        <w:t xml:space="preserve">У повіті Ботошань, оголошено </w:t>
      </w:r>
      <w:r>
        <w:rPr>
          <w:b/>
          <w:color w:val="000000"/>
        </w:rPr>
        <w:t>4 Особливо охоронювані території</w:t>
      </w:r>
      <w:r>
        <w:rPr>
          <w:color w:val="000000"/>
        </w:rPr>
        <w:t xml:space="preserve">. </w:t>
      </w:r>
    </w:p>
    <w:p w:rsidR="00642FB4" w:rsidRDefault="00642FB4">
      <w:pPr>
        <w:autoSpaceDE w:val="0"/>
        <w:autoSpaceDN w:val="0"/>
        <w:adjustRightInd w:val="0"/>
        <w:spacing w:before="60" w:after="60" w:line="288" w:lineRule="auto"/>
        <w:ind w:left="1080" w:hanging="360"/>
        <w:jc w:val="both"/>
        <w:rPr>
          <w:rFonts w:eastAsia="Calibri" w:cs="Arial"/>
          <w:color w:val="000000"/>
        </w:rPr>
      </w:pPr>
      <w:r>
        <w:rPr>
          <w:color w:val="000000"/>
        </w:rPr>
        <w:t xml:space="preserve">Загальна площа оголошених SPA складає 29.453,68 га. </w:t>
      </w:r>
    </w:p>
    <w:p w:rsidR="00642FB4" w:rsidRDefault="00642FB4">
      <w:pPr>
        <w:autoSpaceDE w:val="0"/>
        <w:autoSpaceDN w:val="0"/>
        <w:adjustRightInd w:val="0"/>
        <w:spacing w:before="60" w:after="60" w:line="288" w:lineRule="auto"/>
        <w:jc w:val="both"/>
        <w:rPr>
          <w:rFonts w:eastAsia="Calibri" w:cs="Arial"/>
          <w:color w:val="000000"/>
        </w:rPr>
      </w:pPr>
    </w:p>
    <w:p w:rsidR="00642FB4" w:rsidRDefault="00642FB4">
      <w:pPr>
        <w:numPr>
          <w:ilvl w:val="0"/>
          <w:numId w:val="6"/>
        </w:numPr>
        <w:autoSpaceDE w:val="0"/>
        <w:autoSpaceDN w:val="0"/>
        <w:adjustRightInd w:val="0"/>
        <w:spacing w:before="60" w:after="60" w:line="288" w:lineRule="auto"/>
        <w:jc w:val="both"/>
        <w:rPr>
          <w:rFonts w:eastAsia="Calibri" w:cs="Arial"/>
          <w:color w:val="000000"/>
        </w:rPr>
      </w:pPr>
      <w:r>
        <w:rPr>
          <w:b/>
          <w:color w:val="000000"/>
        </w:rPr>
        <w:t xml:space="preserve">ROSPA0058 Озеро Стинка Костешть </w:t>
      </w:r>
    </w:p>
    <w:p w:rsidR="00642FB4" w:rsidRDefault="00642FB4">
      <w:pPr>
        <w:autoSpaceDE w:val="0"/>
        <w:autoSpaceDN w:val="0"/>
        <w:adjustRightInd w:val="0"/>
        <w:spacing w:before="60" w:after="60" w:line="288" w:lineRule="auto"/>
        <w:ind w:left="1080" w:hanging="360"/>
        <w:jc w:val="both"/>
        <w:rPr>
          <w:rFonts w:eastAsia="Calibri" w:cs="Arial"/>
          <w:color w:val="000000"/>
        </w:rPr>
      </w:pPr>
      <w:r>
        <w:rPr>
          <w:i/>
          <w:color w:val="000000"/>
        </w:rPr>
        <w:t>Розташування:</w:t>
      </w:r>
      <w:r>
        <w:rPr>
          <w:color w:val="000000"/>
        </w:rPr>
        <w:t xml:space="preserve"> території міста Штефинешть, с.м.т. Ріпічень та Маноляса; </w:t>
      </w:r>
    </w:p>
    <w:p w:rsidR="00642FB4" w:rsidRDefault="00642FB4">
      <w:pPr>
        <w:autoSpaceDE w:val="0"/>
        <w:autoSpaceDN w:val="0"/>
        <w:adjustRightInd w:val="0"/>
        <w:spacing w:before="60" w:after="60" w:line="288" w:lineRule="auto"/>
        <w:ind w:firstLine="720"/>
        <w:jc w:val="both"/>
        <w:rPr>
          <w:rFonts w:eastAsia="Calibri" w:cs="Arial"/>
          <w:color w:val="000000"/>
        </w:rPr>
      </w:pPr>
      <w:r>
        <w:rPr>
          <w:i/>
          <w:color w:val="000000"/>
        </w:rPr>
        <w:t>Захищені види:</w:t>
      </w:r>
      <w:r>
        <w:rPr>
          <w:color w:val="000000"/>
        </w:rPr>
        <w:t xml:space="preserve"> 44 види диких птахів, згаданих у Додатку 1 до Директиви про птахів - Підорлик великий (clanga Aquila), Чапля жовта (Ardeola ralloides), Пірникоза червоношия (Podiceps auritus), Чернь білоока (Aythya nyroca), Осоїд (</w:t>
      </w:r>
      <w:r>
        <w:rPr>
          <w:i/>
          <w:color w:val="000000"/>
        </w:rPr>
        <w:t>Penis auritus</w:t>
      </w:r>
      <w:r>
        <w:rPr>
          <w:color w:val="000000"/>
        </w:rPr>
        <w:t>);</w:t>
      </w:r>
    </w:p>
    <w:p w:rsidR="00642FB4" w:rsidRDefault="00642FB4">
      <w:pPr>
        <w:autoSpaceDE w:val="0"/>
        <w:autoSpaceDN w:val="0"/>
        <w:adjustRightInd w:val="0"/>
        <w:spacing w:before="60" w:after="60" w:line="288" w:lineRule="auto"/>
        <w:ind w:left="1080" w:hanging="360"/>
        <w:jc w:val="both"/>
        <w:rPr>
          <w:rFonts w:eastAsia="Calibri" w:cs="Arial"/>
          <w:color w:val="000000"/>
        </w:rPr>
      </w:pPr>
      <w:r>
        <w:rPr>
          <w:i/>
          <w:color w:val="000000"/>
        </w:rPr>
        <w:t>Площа:</w:t>
      </w:r>
      <w:r>
        <w:rPr>
          <w:color w:val="000000"/>
        </w:rPr>
        <w:t xml:space="preserve"> 2.161 га.</w:t>
      </w:r>
    </w:p>
    <w:p w:rsidR="00642FB4" w:rsidRDefault="001C33BE">
      <w:pPr>
        <w:autoSpaceDE w:val="0"/>
        <w:autoSpaceDN w:val="0"/>
        <w:adjustRightInd w:val="0"/>
        <w:spacing w:before="60" w:after="60" w:line="288" w:lineRule="auto"/>
        <w:jc w:val="both"/>
        <w:rPr>
          <w:rFonts w:eastAsia="EUAlbertina-Regular-Identity-H" w:cs="Arial"/>
          <w:b/>
        </w:rPr>
      </w:pPr>
      <w:r>
        <w:rPr>
          <w:rFonts w:eastAsia="EUAlbertina-Regular-Identity-H" w:cs="Arial"/>
          <w:b/>
          <w:noProof/>
          <w:lang w:val="en-US" w:eastAsia="en-US"/>
        </w:rPr>
        <w:drawing>
          <wp:inline distT="0" distB="0" distL="0" distR="0" wp14:anchorId="4335A623" wp14:editId="7C337310">
            <wp:extent cx="2639695" cy="1868805"/>
            <wp:effectExtent l="19050" t="0" r="8255" b="0"/>
            <wp:docPr id="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srcRect/>
                    <a:stretch>
                      <a:fillRect/>
                    </a:stretch>
                  </pic:blipFill>
                  <pic:spPr bwMode="auto">
                    <a:xfrm>
                      <a:off x="0" y="0"/>
                      <a:ext cx="2639695" cy="1868805"/>
                    </a:xfrm>
                    <a:prstGeom prst="rect">
                      <a:avLst/>
                    </a:prstGeom>
                    <a:noFill/>
                    <a:ln w="9525">
                      <a:noFill/>
                      <a:miter lim="800000"/>
                      <a:headEnd/>
                      <a:tailEnd/>
                    </a:ln>
                  </pic:spPr>
                </pic:pic>
              </a:graphicData>
            </a:graphic>
          </wp:inline>
        </w:drawing>
      </w:r>
    </w:p>
    <w:p w:rsidR="00642FB4" w:rsidRDefault="00642FB4">
      <w:pPr>
        <w:numPr>
          <w:ilvl w:val="0"/>
          <w:numId w:val="6"/>
        </w:numPr>
        <w:autoSpaceDE w:val="0"/>
        <w:autoSpaceDN w:val="0"/>
        <w:adjustRightInd w:val="0"/>
        <w:spacing w:before="60" w:after="60" w:line="288" w:lineRule="auto"/>
        <w:ind w:left="1080"/>
        <w:jc w:val="both"/>
        <w:rPr>
          <w:rFonts w:eastAsia="Calibri" w:cs="Arial"/>
          <w:color w:val="000000"/>
        </w:rPr>
      </w:pPr>
      <w:r>
        <w:rPr>
          <w:b/>
          <w:color w:val="000000"/>
        </w:rPr>
        <w:t xml:space="preserve">ROSPA0049 Ставки в Долині Ібинесей– Башеулуй - Подрігий </w:t>
      </w:r>
    </w:p>
    <w:p w:rsidR="00642FB4" w:rsidRDefault="00642FB4">
      <w:pPr>
        <w:autoSpaceDE w:val="0"/>
        <w:autoSpaceDN w:val="0"/>
        <w:adjustRightInd w:val="0"/>
        <w:spacing w:before="60" w:after="60" w:line="288" w:lineRule="auto"/>
        <w:ind w:firstLine="720"/>
        <w:jc w:val="both"/>
        <w:rPr>
          <w:rFonts w:eastAsia="Calibri" w:cs="Arial"/>
          <w:color w:val="000000"/>
        </w:rPr>
      </w:pPr>
      <w:r>
        <w:rPr>
          <w:i/>
        </w:rPr>
        <w:t>Місцезнаходження</w:t>
      </w:r>
      <w:r>
        <w:t>:</w:t>
      </w:r>
      <w:r>
        <w:rPr>
          <w:b/>
          <w:color w:val="000000"/>
        </w:rPr>
        <w:t xml:space="preserve"> </w:t>
      </w:r>
      <w:r>
        <w:rPr>
          <w:color w:val="000000"/>
        </w:rPr>
        <w:t xml:space="preserve"> території міст: Дарабань, Савень та смт Кордирень,Гинешть Гудешть, Гавирна, Мілянка, Ворнічень, Унгурень, Штюбіень, Влисинешть, Кончешть;</w:t>
      </w:r>
    </w:p>
    <w:p w:rsidR="00642FB4" w:rsidRDefault="00642FB4">
      <w:pPr>
        <w:autoSpaceDE w:val="0"/>
        <w:autoSpaceDN w:val="0"/>
        <w:adjustRightInd w:val="0"/>
        <w:spacing w:before="60" w:after="60" w:line="288" w:lineRule="auto"/>
        <w:ind w:firstLine="720"/>
        <w:jc w:val="both"/>
        <w:rPr>
          <w:rFonts w:eastAsia="Calibri" w:cs="Arial"/>
          <w:color w:val="000000"/>
        </w:rPr>
      </w:pPr>
      <w:r>
        <w:rPr>
          <w:color w:val="000000"/>
        </w:rPr>
        <w:t xml:space="preserve">Ставки: Негрень, Мілянка, Кал Алб, Ібаняса, Ворнічень, Гавірна, Ганешть; </w:t>
      </w:r>
    </w:p>
    <w:p w:rsidR="00642FB4" w:rsidRDefault="00642FB4">
      <w:pPr>
        <w:autoSpaceDE w:val="0"/>
        <w:autoSpaceDN w:val="0"/>
        <w:adjustRightInd w:val="0"/>
        <w:spacing w:before="60" w:after="60" w:line="288" w:lineRule="auto"/>
        <w:ind w:firstLine="720"/>
        <w:jc w:val="both"/>
        <w:rPr>
          <w:rFonts w:eastAsia="Calibri" w:cs="Arial"/>
          <w:i/>
          <w:iCs/>
          <w:color w:val="000000"/>
        </w:rPr>
      </w:pPr>
      <w:r>
        <w:rPr>
          <w:i/>
          <w:color w:val="000000"/>
        </w:rPr>
        <w:t>Захищені види:</w:t>
      </w:r>
      <w:r>
        <w:rPr>
          <w:color w:val="000000"/>
        </w:rPr>
        <w:t xml:space="preserve"> 20 видів птахів, згаданих у Додатку I Директиви про птахів – Лунь очеретяний (</w:t>
      </w:r>
      <w:r>
        <w:rPr>
          <w:i/>
          <w:color w:val="000000"/>
        </w:rPr>
        <w:t>Circus aeroginosus</w:t>
      </w:r>
      <w:r>
        <w:rPr>
          <w:color w:val="000000"/>
        </w:rPr>
        <w:t>)</w:t>
      </w:r>
      <w:r>
        <w:rPr>
          <w:b/>
          <w:color w:val="000000"/>
        </w:rPr>
        <w:t xml:space="preserve">, </w:t>
      </w:r>
      <w:r>
        <w:rPr>
          <w:color w:val="000000"/>
        </w:rPr>
        <w:t xml:space="preserve">мала курочка </w:t>
      </w:r>
      <w:r>
        <w:rPr>
          <w:i/>
          <w:color w:val="000000"/>
        </w:rPr>
        <w:t>(Porzana parva)</w:t>
      </w:r>
      <w:r>
        <w:rPr>
          <w:color w:val="000000"/>
        </w:rPr>
        <w:t xml:space="preserve">, Велика біла чапля </w:t>
      </w:r>
      <w:r>
        <w:rPr>
          <w:i/>
          <w:color w:val="000000"/>
        </w:rPr>
        <w:t>(Egreta alba</w:t>
      </w:r>
      <w:r>
        <w:rPr>
          <w:color w:val="000000"/>
        </w:rPr>
        <w:t xml:space="preserve">), Чапля руда </w:t>
      </w:r>
      <w:r>
        <w:rPr>
          <w:i/>
          <w:color w:val="000000"/>
        </w:rPr>
        <w:t>(Ardeea pupurea</w:t>
      </w:r>
      <w:r>
        <w:rPr>
          <w:color w:val="000000"/>
        </w:rPr>
        <w:t xml:space="preserve">), Крячок річковий </w:t>
      </w:r>
      <w:r>
        <w:rPr>
          <w:i/>
          <w:color w:val="000000"/>
        </w:rPr>
        <w:t>(Sterna hirundo).</w:t>
      </w:r>
    </w:p>
    <w:p w:rsidR="00642FB4" w:rsidRDefault="00642FB4">
      <w:pPr>
        <w:autoSpaceDE w:val="0"/>
        <w:autoSpaceDN w:val="0"/>
        <w:adjustRightInd w:val="0"/>
        <w:spacing w:before="60" w:after="60" w:line="288" w:lineRule="auto"/>
        <w:ind w:firstLine="720"/>
        <w:jc w:val="both"/>
        <w:rPr>
          <w:rFonts w:eastAsia="EUAlbertina-Regular-Identity-H" w:cs="Arial"/>
          <w:b/>
        </w:rPr>
      </w:pPr>
      <w:r>
        <w:rPr>
          <w:i/>
          <w:color w:val="000000"/>
        </w:rPr>
        <w:t xml:space="preserve"> Площа:</w:t>
      </w:r>
      <w:r>
        <w:rPr>
          <w:color w:val="000000"/>
        </w:rPr>
        <w:t xml:space="preserve"> 2.705 га.</w:t>
      </w:r>
    </w:p>
    <w:p w:rsidR="00642FB4" w:rsidRDefault="00642FB4">
      <w:pPr>
        <w:autoSpaceDE w:val="0"/>
        <w:autoSpaceDN w:val="0"/>
        <w:adjustRightInd w:val="0"/>
        <w:spacing w:before="60" w:after="60" w:line="288" w:lineRule="auto"/>
        <w:jc w:val="both"/>
        <w:rPr>
          <w:rFonts w:eastAsia="EUAlbertina-Regular-Identity-H" w:cs="Arial"/>
          <w:b/>
        </w:rPr>
      </w:pPr>
    </w:p>
    <w:p w:rsidR="00642FB4" w:rsidRDefault="001C33BE">
      <w:pPr>
        <w:autoSpaceDE w:val="0"/>
        <w:autoSpaceDN w:val="0"/>
        <w:adjustRightInd w:val="0"/>
        <w:spacing w:before="60" w:after="60" w:line="288" w:lineRule="auto"/>
        <w:jc w:val="both"/>
        <w:rPr>
          <w:rFonts w:eastAsia="EUAlbertina-Regular-Identity-H" w:cs="Arial"/>
          <w:b/>
        </w:rPr>
      </w:pPr>
      <w:r>
        <w:rPr>
          <w:rFonts w:eastAsia="EUAlbertina-Regular-Identity-H" w:cs="Arial"/>
          <w:b/>
          <w:noProof/>
          <w:lang w:val="en-US" w:eastAsia="en-US"/>
        </w:rPr>
        <w:drawing>
          <wp:inline distT="0" distB="0" distL="0" distR="0" wp14:anchorId="5CD231A9" wp14:editId="06C7FC2F">
            <wp:extent cx="4913630" cy="2433320"/>
            <wp:effectExtent l="19050" t="19050" r="20320" b="24130"/>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srcRect/>
                    <a:stretch>
                      <a:fillRect/>
                    </a:stretch>
                  </pic:blipFill>
                  <pic:spPr bwMode="auto">
                    <a:xfrm>
                      <a:off x="0" y="0"/>
                      <a:ext cx="4913630" cy="2433320"/>
                    </a:xfrm>
                    <a:prstGeom prst="rect">
                      <a:avLst/>
                    </a:prstGeom>
                    <a:noFill/>
                    <a:ln w="6350" cmpd="sng">
                      <a:solidFill>
                        <a:srgbClr val="000000"/>
                      </a:solidFill>
                      <a:miter lim="800000"/>
                      <a:headEnd/>
                      <a:tailEnd/>
                    </a:ln>
                    <a:effectLst/>
                  </pic:spPr>
                </pic:pic>
              </a:graphicData>
            </a:graphic>
          </wp:inline>
        </w:drawing>
      </w:r>
    </w:p>
    <w:p w:rsidR="00642FB4" w:rsidRDefault="00642FB4">
      <w:pPr>
        <w:autoSpaceDE w:val="0"/>
        <w:autoSpaceDN w:val="0"/>
        <w:adjustRightInd w:val="0"/>
        <w:spacing w:before="60" w:after="60" w:line="288" w:lineRule="auto"/>
        <w:jc w:val="both"/>
        <w:rPr>
          <w:rFonts w:eastAsia="EUAlbertina-Regular-Identity-H" w:cs="Arial"/>
          <w:b/>
        </w:rPr>
      </w:pPr>
    </w:p>
    <w:p w:rsidR="00642FB4" w:rsidRDefault="00642FB4">
      <w:pPr>
        <w:autoSpaceDE w:val="0"/>
        <w:autoSpaceDN w:val="0"/>
        <w:adjustRightInd w:val="0"/>
        <w:spacing w:before="60" w:after="60" w:line="288" w:lineRule="auto"/>
        <w:jc w:val="both"/>
        <w:rPr>
          <w:rFonts w:eastAsia="EUAlbertina-Regular-Identity-H" w:cs="Arial"/>
          <w:b/>
        </w:rPr>
      </w:pPr>
    </w:p>
    <w:p w:rsidR="00642FB4" w:rsidRDefault="00642FB4">
      <w:pPr>
        <w:numPr>
          <w:ilvl w:val="0"/>
          <w:numId w:val="6"/>
        </w:numPr>
        <w:tabs>
          <w:tab w:val="left" w:pos="1080"/>
        </w:tabs>
        <w:autoSpaceDE w:val="0"/>
        <w:autoSpaceDN w:val="0"/>
        <w:adjustRightInd w:val="0"/>
        <w:spacing w:before="60" w:after="60" w:line="288" w:lineRule="auto"/>
        <w:ind w:left="1080"/>
        <w:jc w:val="both"/>
        <w:rPr>
          <w:rFonts w:eastAsia="Calibri" w:cs="Arial"/>
          <w:color w:val="000000"/>
        </w:rPr>
      </w:pPr>
      <w:r>
        <w:rPr>
          <w:b/>
          <w:color w:val="000000"/>
        </w:rPr>
        <w:t xml:space="preserve">ROSPA0110 Водосховища Рогожень Бучечя </w:t>
      </w:r>
    </w:p>
    <w:p w:rsidR="00642FB4" w:rsidRDefault="00642FB4">
      <w:pPr>
        <w:autoSpaceDE w:val="0"/>
        <w:autoSpaceDN w:val="0"/>
        <w:adjustRightInd w:val="0"/>
        <w:spacing w:before="60" w:after="60" w:line="288" w:lineRule="auto"/>
        <w:ind w:firstLine="720"/>
        <w:jc w:val="both"/>
        <w:rPr>
          <w:rFonts w:eastAsia="Calibri" w:cs="Arial"/>
          <w:color w:val="000000"/>
        </w:rPr>
      </w:pPr>
      <w:r>
        <w:rPr>
          <w:i/>
        </w:rPr>
        <w:t>Розташування</w:t>
      </w:r>
      <w:r>
        <w:rPr>
          <w:color w:val="000000"/>
        </w:rPr>
        <w:t xml:space="preserve">: повіт Ботошань, смт. Міхийлень, Вирфул Кимпулуй і території повіту Сучава; </w:t>
      </w:r>
    </w:p>
    <w:p w:rsidR="00642FB4" w:rsidRDefault="00642FB4">
      <w:pPr>
        <w:autoSpaceDE w:val="0"/>
        <w:autoSpaceDN w:val="0"/>
        <w:adjustRightInd w:val="0"/>
        <w:spacing w:before="60" w:after="60" w:line="288" w:lineRule="auto"/>
        <w:ind w:firstLine="720"/>
        <w:jc w:val="both"/>
        <w:rPr>
          <w:rFonts w:eastAsia="Calibri" w:cs="Arial"/>
          <w:color w:val="000000"/>
        </w:rPr>
      </w:pPr>
      <w:r>
        <w:rPr>
          <w:i/>
          <w:color w:val="000000"/>
        </w:rPr>
        <w:t xml:space="preserve">Захищені види: </w:t>
      </w:r>
      <w:r>
        <w:rPr>
          <w:color w:val="000000"/>
        </w:rPr>
        <w:t xml:space="preserve">22 види у Додатку 1 Директиви про птахів; </w:t>
      </w:r>
    </w:p>
    <w:p w:rsidR="00642FB4" w:rsidRDefault="00642FB4">
      <w:pPr>
        <w:autoSpaceDE w:val="0"/>
        <w:autoSpaceDN w:val="0"/>
        <w:adjustRightInd w:val="0"/>
        <w:spacing w:before="60" w:after="60" w:line="288" w:lineRule="auto"/>
        <w:ind w:firstLine="720"/>
        <w:jc w:val="both"/>
        <w:rPr>
          <w:rFonts w:eastAsia="EUAlbertina-Regular-Identity-H" w:cs="Arial"/>
          <w:b/>
        </w:rPr>
      </w:pPr>
      <w:r>
        <w:rPr>
          <w:i/>
        </w:rPr>
        <w:t>Площа</w:t>
      </w:r>
      <w:r>
        <w:t>:</w:t>
      </w:r>
      <w:r>
        <w:rPr>
          <w:color w:val="000000"/>
        </w:rPr>
        <w:t xml:space="preserve"> 1.537,38 га у повіті Ботошань.</w:t>
      </w:r>
    </w:p>
    <w:p w:rsidR="00642FB4" w:rsidRDefault="001C33BE">
      <w:pPr>
        <w:autoSpaceDE w:val="0"/>
        <w:autoSpaceDN w:val="0"/>
        <w:adjustRightInd w:val="0"/>
        <w:spacing w:before="60" w:after="60" w:line="288" w:lineRule="auto"/>
        <w:jc w:val="both"/>
        <w:rPr>
          <w:rFonts w:eastAsia="EUAlbertina-Regular-Identity-H" w:cs="Arial"/>
          <w:b/>
        </w:rPr>
      </w:pPr>
      <w:r>
        <w:rPr>
          <w:rFonts w:eastAsia="EUAlbertina-Regular-Identity-H" w:cs="Arial"/>
          <w:b/>
          <w:noProof/>
          <w:lang w:val="en-US" w:eastAsia="en-US"/>
        </w:rPr>
        <w:drawing>
          <wp:inline distT="0" distB="0" distL="0" distR="0" wp14:anchorId="41225E1B" wp14:editId="5E811324">
            <wp:extent cx="5764530" cy="2250440"/>
            <wp:effectExtent l="19050" t="19050" r="26670" b="16510"/>
            <wp:docPr id="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5764530" cy="2250440"/>
                    </a:xfrm>
                    <a:prstGeom prst="rect">
                      <a:avLst/>
                    </a:prstGeom>
                    <a:noFill/>
                    <a:ln w="6350" cmpd="sng">
                      <a:solidFill>
                        <a:srgbClr val="000000"/>
                      </a:solidFill>
                      <a:miter lim="800000"/>
                      <a:headEnd/>
                      <a:tailEnd/>
                    </a:ln>
                    <a:effectLst/>
                  </pic:spPr>
                </pic:pic>
              </a:graphicData>
            </a:graphic>
          </wp:inline>
        </w:drawing>
      </w:r>
    </w:p>
    <w:p w:rsidR="00642FB4" w:rsidRDefault="00642FB4">
      <w:pPr>
        <w:autoSpaceDE w:val="0"/>
        <w:autoSpaceDN w:val="0"/>
        <w:adjustRightInd w:val="0"/>
        <w:spacing w:before="60" w:after="60" w:line="288" w:lineRule="auto"/>
        <w:jc w:val="both"/>
        <w:rPr>
          <w:rFonts w:eastAsia="EUAlbertina-Regular-Identity-H" w:cs="Arial"/>
          <w:b/>
        </w:rPr>
      </w:pPr>
    </w:p>
    <w:p w:rsidR="00642FB4" w:rsidRDefault="00642FB4">
      <w:pPr>
        <w:autoSpaceDE w:val="0"/>
        <w:autoSpaceDN w:val="0"/>
        <w:adjustRightInd w:val="0"/>
        <w:spacing w:before="60" w:after="60" w:line="288" w:lineRule="auto"/>
        <w:jc w:val="both"/>
        <w:rPr>
          <w:rFonts w:eastAsia="EUAlbertina-Regular-Identity-H" w:cs="Arial"/>
          <w:b/>
        </w:rPr>
      </w:pPr>
    </w:p>
    <w:p w:rsidR="00642FB4" w:rsidRDefault="00642FB4">
      <w:pPr>
        <w:numPr>
          <w:ilvl w:val="0"/>
          <w:numId w:val="6"/>
        </w:numPr>
        <w:autoSpaceDE w:val="0"/>
        <w:autoSpaceDN w:val="0"/>
        <w:adjustRightInd w:val="0"/>
        <w:spacing w:before="60" w:after="60" w:line="288" w:lineRule="auto"/>
        <w:ind w:left="1080"/>
        <w:jc w:val="both"/>
        <w:rPr>
          <w:rFonts w:eastAsia="Calibri" w:cs="Arial"/>
          <w:color w:val="000000"/>
        </w:rPr>
      </w:pPr>
      <w:r>
        <w:rPr>
          <w:b/>
          <w:color w:val="000000"/>
        </w:rPr>
        <w:t xml:space="preserve">ROSPA0116 Дорохой Шауа Бучечей </w:t>
      </w:r>
    </w:p>
    <w:p w:rsidR="00642FB4" w:rsidRDefault="00642FB4">
      <w:pPr>
        <w:autoSpaceDE w:val="0"/>
        <w:autoSpaceDN w:val="0"/>
        <w:adjustRightInd w:val="0"/>
        <w:spacing w:before="60" w:after="60" w:line="288" w:lineRule="auto"/>
        <w:ind w:firstLine="720"/>
        <w:jc w:val="both"/>
        <w:rPr>
          <w:rFonts w:eastAsia="Calibri" w:cs="Arial"/>
          <w:color w:val="000000"/>
        </w:rPr>
      </w:pPr>
      <w:r>
        <w:rPr>
          <w:i/>
        </w:rPr>
        <w:t>Розташування</w:t>
      </w:r>
      <w:r>
        <w:rPr>
          <w:i/>
          <w:color w:val="000000"/>
        </w:rPr>
        <w:t>:</w:t>
      </w:r>
      <w:r>
        <w:rPr>
          <w:color w:val="000000"/>
        </w:rPr>
        <w:t xml:space="preserve"> території повітів Ботошань, Сучава і Ясси;</w:t>
      </w:r>
    </w:p>
    <w:p w:rsidR="00642FB4" w:rsidRDefault="00642FB4">
      <w:pPr>
        <w:autoSpaceDE w:val="0"/>
        <w:autoSpaceDN w:val="0"/>
        <w:adjustRightInd w:val="0"/>
        <w:spacing w:before="60" w:after="60" w:line="288" w:lineRule="auto"/>
        <w:ind w:firstLine="720"/>
        <w:jc w:val="both"/>
        <w:rPr>
          <w:rFonts w:eastAsia="Calibri" w:cs="Arial"/>
          <w:color w:val="000000"/>
        </w:rPr>
      </w:pPr>
      <w:r>
        <w:rPr>
          <w:i/>
        </w:rPr>
        <w:t>Захищені види</w:t>
      </w:r>
      <w:r>
        <w:t>:</w:t>
      </w:r>
      <w:r>
        <w:rPr>
          <w:color w:val="000000"/>
        </w:rPr>
        <w:t xml:space="preserve"> 15 видів у Додатку 1 Директиви про птахів; Площа: На території повіту Ботошань;</w:t>
      </w:r>
    </w:p>
    <w:p w:rsidR="00642FB4" w:rsidRDefault="00642FB4">
      <w:pPr>
        <w:autoSpaceDE w:val="0"/>
        <w:autoSpaceDN w:val="0"/>
        <w:adjustRightInd w:val="0"/>
        <w:spacing w:before="60" w:after="60" w:line="288" w:lineRule="auto"/>
        <w:ind w:firstLine="720"/>
        <w:jc w:val="both"/>
        <w:rPr>
          <w:rFonts w:eastAsia="Calibri" w:cs="Arial"/>
          <w:color w:val="000000"/>
        </w:rPr>
      </w:pPr>
      <w:r>
        <w:rPr>
          <w:i/>
          <w:color w:val="000000"/>
        </w:rPr>
        <w:t>Площа:</w:t>
      </w:r>
      <w:r>
        <w:rPr>
          <w:color w:val="000000"/>
        </w:rPr>
        <w:t xml:space="preserve"> 23.050,3 га.</w:t>
      </w:r>
    </w:p>
    <w:p w:rsidR="00642FB4" w:rsidRDefault="00642FB4">
      <w:pPr>
        <w:autoSpaceDE w:val="0"/>
        <w:autoSpaceDN w:val="0"/>
        <w:adjustRightInd w:val="0"/>
        <w:spacing w:before="60" w:after="60" w:line="288" w:lineRule="auto"/>
        <w:jc w:val="both"/>
        <w:rPr>
          <w:rFonts w:eastAsia="Calibri" w:cs="Arial"/>
          <w:color w:val="000000"/>
        </w:rPr>
      </w:pPr>
    </w:p>
    <w:p w:rsidR="00642FB4" w:rsidRDefault="00642FB4">
      <w:pPr>
        <w:numPr>
          <w:ilvl w:val="0"/>
          <w:numId w:val="7"/>
        </w:numPr>
        <w:autoSpaceDE w:val="0"/>
        <w:autoSpaceDN w:val="0"/>
        <w:adjustRightInd w:val="0"/>
        <w:spacing w:before="60" w:after="60" w:line="288" w:lineRule="auto"/>
        <w:ind w:left="1004"/>
        <w:jc w:val="both"/>
        <w:rPr>
          <w:rFonts w:eastAsia="Calibri" w:cs="Arial"/>
          <w:color w:val="000000"/>
        </w:rPr>
      </w:pPr>
      <w:r>
        <w:rPr>
          <w:b/>
          <w:color w:val="000000"/>
        </w:rPr>
        <w:t xml:space="preserve">ДІЛЯНКИ КОМУНІТАРНОГО ЗНАЧЕННЯ-SCI </w:t>
      </w:r>
    </w:p>
    <w:p w:rsidR="00642FB4" w:rsidRDefault="00642FB4">
      <w:pPr>
        <w:autoSpaceDE w:val="0"/>
        <w:autoSpaceDN w:val="0"/>
        <w:adjustRightInd w:val="0"/>
        <w:spacing w:before="60" w:after="60" w:line="288" w:lineRule="auto"/>
        <w:ind w:left="1080"/>
        <w:jc w:val="both"/>
        <w:rPr>
          <w:rFonts w:eastAsia="Calibri" w:cs="Arial"/>
          <w:color w:val="000000"/>
        </w:rPr>
      </w:pPr>
    </w:p>
    <w:p w:rsidR="00642FB4" w:rsidRDefault="00642FB4">
      <w:pPr>
        <w:autoSpaceDE w:val="0"/>
        <w:autoSpaceDN w:val="0"/>
        <w:adjustRightInd w:val="0"/>
        <w:spacing w:before="60" w:after="60" w:line="288" w:lineRule="auto"/>
        <w:ind w:firstLine="720"/>
        <w:jc w:val="both"/>
        <w:rPr>
          <w:rFonts w:eastAsia="Calibri" w:cs="Arial"/>
          <w:color w:val="000000"/>
        </w:rPr>
      </w:pPr>
      <w:r>
        <w:rPr>
          <w:color w:val="000000"/>
        </w:rPr>
        <w:t xml:space="preserve">На даний час у повіті Ботошань існують 7 Ділянок комунітарного значення. </w:t>
      </w:r>
    </w:p>
    <w:p w:rsidR="00642FB4" w:rsidRDefault="00642FB4">
      <w:pPr>
        <w:autoSpaceDE w:val="0"/>
        <w:autoSpaceDN w:val="0"/>
        <w:adjustRightInd w:val="0"/>
        <w:spacing w:before="60" w:after="60" w:line="288" w:lineRule="auto"/>
        <w:ind w:firstLine="720"/>
        <w:jc w:val="both"/>
        <w:rPr>
          <w:rFonts w:eastAsia="EUAlbertina-Regular-Identity-H" w:cs="Arial"/>
          <w:b/>
        </w:rPr>
      </w:pPr>
      <w:r>
        <w:rPr>
          <w:color w:val="000000"/>
        </w:rPr>
        <w:t>Загальна площа оголошених SIC складає 16978,17 га.</w:t>
      </w:r>
    </w:p>
    <w:p w:rsidR="00642FB4" w:rsidRDefault="00642FB4">
      <w:pPr>
        <w:autoSpaceDE w:val="0"/>
        <w:autoSpaceDN w:val="0"/>
        <w:adjustRightInd w:val="0"/>
        <w:spacing w:before="60" w:after="60" w:line="288" w:lineRule="auto"/>
        <w:jc w:val="both"/>
        <w:rPr>
          <w:rFonts w:eastAsia="EUAlbertina-Regular-Identity-H" w:cs="Arial"/>
          <w:b/>
        </w:rPr>
      </w:pPr>
    </w:p>
    <w:p w:rsidR="00642FB4" w:rsidRDefault="00642FB4">
      <w:pPr>
        <w:numPr>
          <w:ilvl w:val="0"/>
          <w:numId w:val="6"/>
        </w:numPr>
        <w:autoSpaceDE w:val="0"/>
        <w:autoSpaceDN w:val="0"/>
        <w:adjustRightInd w:val="0"/>
        <w:spacing w:before="60" w:after="60" w:line="288" w:lineRule="auto"/>
        <w:ind w:left="1080"/>
        <w:jc w:val="both"/>
        <w:rPr>
          <w:rFonts w:eastAsia="Calibri" w:cs="Arial"/>
          <w:color w:val="000000"/>
        </w:rPr>
      </w:pPr>
      <w:r>
        <w:rPr>
          <w:b/>
          <w:color w:val="000000"/>
        </w:rPr>
        <w:t xml:space="preserve">ROSCI 0141 Ліс Чорнохал </w:t>
      </w:r>
    </w:p>
    <w:p w:rsidR="00642FB4" w:rsidRDefault="00642FB4">
      <w:pPr>
        <w:autoSpaceDE w:val="0"/>
        <w:autoSpaceDN w:val="0"/>
        <w:adjustRightInd w:val="0"/>
        <w:spacing w:before="60" w:after="60" w:line="288" w:lineRule="auto"/>
        <w:ind w:firstLine="720"/>
        <w:jc w:val="both"/>
        <w:rPr>
          <w:rFonts w:eastAsia="Calibri" w:cs="Arial"/>
          <w:color w:val="000000"/>
        </w:rPr>
      </w:pPr>
      <w:r>
        <w:rPr>
          <w:i/>
        </w:rPr>
        <w:t>Розташування</w:t>
      </w:r>
      <w:r>
        <w:rPr>
          <w:i/>
          <w:color w:val="000000"/>
        </w:rPr>
        <w:t>:</w:t>
      </w:r>
      <w:r>
        <w:rPr>
          <w:color w:val="000000"/>
        </w:rPr>
        <w:t xml:space="preserve"> смт Килираш; </w:t>
      </w:r>
    </w:p>
    <w:p w:rsidR="00642FB4" w:rsidRDefault="00642FB4">
      <w:pPr>
        <w:autoSpaceDE w:val="0"/>
        <w:autoSpaceDN w:val="0"/>
        <w:adjustRightInd w:val="0"/>
        <w:spacing w:before="60" w:after="60" w:line="288" w:lineRule="auto"/>
        <w:ind w:firstLine="720"/>
        <w:jc w:val="both"/>
        <w:rPr>
          <w:rFonts w:eastAsia="Calibri" w:cs="Arial"/>
          <w:color w:val="000000"/>
        </w:rPr>
      </w:pPr>
      <w:r>
        <w:rPr>
          <w:i/>
          <w:color w:val="000000"/>
        </w:rPr>
        <w:t>Тип комунітарного середовища проживання:</w:t>
      </w:r>
      <w:r>
        <w:rPr>
          <w:color w:val="000000"/>
        </w:rPr>
        <w:t xml:space="preserve"> Даккські дубові і грабові ліси; </w:t>
      </w:r>
    </w:p>
    <w:p w:rsidR="00642FB4" w:rsidRDefault="00642FB4">
      <w:pPr>
        <w:autoSpaceDE w:val="0"/>
        <w:autoSpaceDN w:val="0"/>
        <w:adjustRightInd w:val="0"/>
        <w:spacing w:before="60" w:after="60" w:line="288" w:lineRule="auto"/>
        <w:ind w:firstLine="720"/>
        <w:jc w:val="both"/>
        <w:rPr>
          <w:rFonts w:eastAsia="Calibri" w:cs="Arial"/>
          <w:color w:val="000000"/>
        </w:rPr>
      </w:pPr>
      <w:r>
        <w:rPr>
          <w:i/>
          <w:color w:val="000000"/>
        </w:rPr>
        <w:t xml:space="preserve">Флористичні види комунітарного значення: Півники угорські; </w:t>
      </w:r>
    </w:p>
    <w:p w:rsidR="00642FB4" w:rsidRDefault="00642FB4">
      <w:pPr>
        <w:autoSpaceDE w:val="0"/>
        <w:autoSpaceDN w:val="0"/>
        <w:adjustRightInd w:val="0"/>
        <w:spacing w:before="60" w:after="60" w:line="288" w:lineRule="auto"/>
        <w:ind w:firstLine="720"/>
        <w:jc w:val="both"/>
        <w:rPr>
          <w:rFonts w:eastAsia="EUAlbertina-Regular-Identity-H" w:cs="Arial"/>
          <w:b/>
        </w:rPr>
      </w:pPr>
      <w:r>
        <w:rPr>
          <w:i/>
          <w:color w:val="000000"/>
        </w:rPr>
        <w:t>Площа:</w:t>
      </w:r>
      <w:r>
        <w:rPr>
          <w:color w:val="000000"/>
        </w:rPr>
        <w:t xml:space="preserve"> 265 га.</w:t>
      </w:r>
    </w:p>
    <w:p w:rsidR="00642FB4" w:rsidRDefault="001C33BE">
      <w:pPr>
        <w:autoSpaceDE w:val="0"/>
        <w:autoSpaceDN w:val="0"/>
        <w:adjustRightInd w:val="0"/>
        <w:spacing w:before="60" w:after="60" w:line="288" w:lineRule="auto"/>
        <w:jc w:val="both"/>
        <w:rPr>
          <w:rFonts w:eastAsia="EUAlbertina-Regular-Identity-H" w:cs="Arial"/>
          <w:b/>
        </w:rPr>
      </w:pPr>
      <w:r>
        <w:rPr>
          <w:rFonts w:eastAsia="EUAlbertina-Regular-Identity-H" w:cs="Arial"/>
          <w:b/>
          <w:noProof/>
          <w:lang w:val="en-US" w:eastAsia="en-US"/>
        </w:rPr>
        <w:drawing>
          <wp:inline distT="0" distB="0" distL="0" distR="0" wp14:anchorId="18C8240C" wp14:editId="511B9D46">
            <wp:extent cx="5279390" cy="2210435"/>
            <wp:effectExtent l="19050" t="19050" r="16510" b="18415"/>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srcRect/>
                    <a:stretch>
                      <a:fillRect/>
                    </a:stretch>
                  </pic:blipFill>
                  <pic:spPr bwMode="auto">
                    <a:xfrm>
                      <a:off x="0" y="0"/>
                      <a:ext cx="5279390" cy="2210435"/>
                    </a:xfrm>
                    <a:prstGeom prst="rect">
                      <a:avLst/>
                    </a:prstGeom>
                    <a:noFill/>
                    <a:ln w="6350" cmpd="sng">
                      <a:solidFill>
                        <a:srgbClr val="000000"/>
                      </a:solidFill>
                      <a:miter lim="800000"/>
                      <a:headEnd/>
                      <a:tailEnd/>
                    </a:ln>
                    <a:effectLst/>
                  </pic:spPr>
                </pic:pic>
              </a:graphicData>
            </a:graphic>
          </wp:inline>
        </w:drawing>
      </w:r>
    </w:p>
    <w:p w:rsidR="00642FB4" w:rsidRDefault="00642FB4">
      <w:pPr>
        <w:autoSpaceDE w:val="0"/>
        <w:autoSpaceDN w:val="0"/>
        <w:adjustRightInd w:val="0"/>
        <w:spacing w:before="60" w:after="60" w:line="288" w:lineRule="auto"/>
        <w:jc w:val="both"/>
        <w:rPr>
          <w:rFonts w:eastAsia="EUAlbertina-Regular-Identity-H" w:cs="Arial"/>
          <w:b/>
        </w:rPr>
      </w:pPr>
    </w:p>
    <w:p w:rsidR="00642FB4" w:rsidRDefault="00642FB4">
      <w:pPr>
        <w:numPr>
          <w:ilvl w:val="0"/>
          <w:numId w:val="6"/>
        </w:numPr>
        <w:autoSpaceDE w:val="0"/>
        <w:autoSpaceDN w:val="0"/>
        <w:adjustRightInd w:val="0"/>
        <w:spacing w:before="60" w:after="60" w:line="288" w:lineRule="auto"/>
        <w:ind w:left="1080"/>
        <w:jc w:val="both"/>
        <w:rPr>
          <w:rFonts w:eastAsia="Calibri" w:cs="Arial"/>
          <w:color w:val="000000"/>
        </w:rPr>
      </w:pPr>
      <w:r>
        <w:rPr>
          <w:b/>
          <w:color w:val="000000"/>
        </w:rPr>
        <w:t xml:space="preserve">ROSCI0076 Дялу Маре - Гирлиу </w:t>
      </w:r>
    </w:p>
    <w:p w:rsidR="00642FB4" w:rsidRDefault="00642FB4">
      <w:pPr>
        <w:autoSpaceDE w:val="0"/>
        <w:autoSpaceDN w:val="0"/>
        <w:adjustRightInd w:val="0"/>
        <w:spacing w:before="60" w:after="60" w:line="288" w:lineRule="auto"/>
        <w:ind w:firstLine="630"/>
        <w:jc w:val="both"/>
        <w:rPr>
          <w:rFonts w:eastAsia="Calibri" w:cs="Arial"/>
          <w:color w:val="000000"/>
        </w:rPr>
      </w:pPr>
      <w:r>
        <w:rPr>
          <w:i/>
        </w:rPr>
        <w:t>Розташування</w:t>
      </w:r>
      <w:r>
        <w:rPr>
          <w:i/>
          <w:color w:val="000000"/>
        </w:rPr>
        <w:t>:</w:t>
      </w:r>
      <w:r>
        <w:rPr>
          <w:color w:val="000000"/>
        </w:rPr>
        <w:t xml:space="preserve"> території повітів Ботошань, Ясси і Васлуй; </w:t>
      </w:r>
    </w:p>
    <w:p w:rsidR="00642FB4" w:rsidRDefault="00642FB4">
      <w:pPr>
        <w:autoSpaceDE w:val="0"/>
        <w:autoSpaceDN w:val="0"/>
        <w:adjustRightInd w:val="0"/>
        <w:spacing w:before="60" w:after="60" w:line="288" w:lineRule="auto"/>
        <w:ind w:firstLine="630"/>
        <w:jc w:val="both"/>
        <w:rPr>
          <w:rFonts w:eastAsia="Calibri" w:cs="Arial"/>
          <w:color w:val="000000"/>
        </w:rPr>
      </w:pPr>
      <w:r>
        <w:rPr>
          <w:i/>
        </w:rPr>
        <w:t>Тип середовищ проживання, комунітарного значення:</w:t>
      </w:r>
      <w:r>
        <w:rPr>
          <w:color w:val="000000"/>
        </w:rPr>
        <w:t xml:space="preserve"> Дакські дубові і грабові ліси, Букові ліси типу Asperulo fagetum;  </w:t>
      </w:r>
    </w:p>
    <w:p w:rsidR="00642FB4" w:rsidRDefault="00642FB4">
      <w:pPr>
        <w:autoSpaceDE w:val="0"/>
        <w:autoSpaceDN w:val="0"/>
        <w:adjustRightInd w:val="0"/>
        <w:spacing w:before="60" w:after="60" w:line="288" w:lineRule="auto"/>
        <w:ind w:firstLine="630"/>
        <w:jc w:val="both"/>
        <w:rPr>
          <w:rFonts w:eastAsia="Calibri" w:cs="Arial"/>
        </w:rPr>
      </w:pPr>
      <w:r>
        <w:rPr>
          <w:i/>
        </w:rPr>
        <w:t>Площа:</w:t>
      </w:r>
      <w:r>
        <w:t xml:space="preserve"> 14.565 га на території повітів Ботошань - території смт. Копилиу, Корнь, Кошула, Крістешть, Куртешть Флиминзь, Фрумушіка, Тудора, Влидень, Ворона.</w:t>
      </w:r>
    </w:p>
    <w:p w:rsidR="00642FB4" w:rsidRDefault="001C33BE">
      <w:pPr>
        <w:autoSpaceDE w:val="0"/>
        <w:autoSpaceDN w:val="0"/>
        <w:adjustRightInd w:val="0"/>
        <w:spacing w:before="60" w:after="60" w:line="288" w:lineRule="auto"/>
        <w:jc w:val="both"/>
        <w:rPr>
          <w:rFonts w:eastAsia="EUAlbertina-Regular-Identity-H" w:cs="Arial"/>
          <w:b/>
        </w:rPr>
      </w:pPr>
      <w:r>
        <w:rPr>
          <w:rFonts w:eastAsia="EUAlbertina-Regular-Identity-H" w:cs="Arial"/>
          <w:b/>
          <w:noProof/>
          <w:lang w:val="en-US" w:eastAsia="en-US"/>
        </w:rPr>
        <w:drawing>
          <wp:inline distT="0" distB="0" distL="0" distR="0" wp14:anchorId="2B6D7A1F" wp14:editId="21F2BC1F">
            <wp:extent cx="5661025" cy="1924050"/>
            <wp:effectExtent l="19050" t="19050" r="15875" b="1905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a:stretch>
                      <a:fillRect/>
                    </a:stretch>
                  </pic:blipFill>
                  <pic:spPr bwMode="auto">
                    <a:xfrm>
                      <a:off x="0" y="0"/>
                      <a:ext cx="5661025" cy="1924050"/>
                    </a:xfrm>
                    <a:prstGeom prst="rect">
                      <a:avLst/>
                    </a:prstGeom>
                    <a:noFill/>
                    <a:ln w="6350" cmpd="sng">
                      <a:solidFill>
                        <a:srgbClr val="000000"/>
                      </a:solidFill>
                      <a:miter lim="800000"/>
                      <a:headEnd/>
                      <a:tailEnd/>
                    </a:ln>
                    <a:effectLst/>
                  </pic:spPr>
                </pic:pic>
              </a:graphicData>
            </a:graphic>
          </wp:inline>
        </w:drawing>
      </w:r>
    </w:p>
    <w:p w:rsidR="00642FB4" w:rsidRDefault="00642FB4">
      <w:pPr>
        <w:autoSpaceDE w:val="0"/>
        <w:autoSpaceDN w:val="0"/>
        <w:adjustRightInd w:val="0"/>
        <w:spacing w:before="60" w:after="60" w:line="288" w:lineRule="auto"/>
        <w:jc w:val="both"/>
        <w:rPr>
          <w:rFonts w:eastAsia="EUAlbertina-Regular-Identity-H" w:cs="Arial"/>
          <w:b/>
        </w:rPr>
      </w:pPr>
    </w:p>
    <w:p w:rsidR="00642FB4" w:rsidRDefault="00642FB4">
      <w:pPr>
        <w:numPr>
          <w:ilvl w:val="0"/>
          <w:numId w:val="6"/>
        </w:numPr>
        <w:autoSpaceDE w:val="0"/>
        <w:autoSpaceDN w:val="0"/>
        <w:adjustRightInd w:val="0"/>
        <w:spacing w:before="60" w:after="60" w:line="288" w:lineRule="auto"/>
        <w:ind w:left="1080"/>
        <w:jc w:val="both"/>
        <w:rPr>
          <w:rFonts w:eastAsia="Calibri" w:cs="Arial"/>
          <w:color w:val="000000"/>
        </w:rPr>
      </w:pPr>
      <w:r>
        <w:rPr>
          <w:b/>
          <w:color w:val="000000"/>
        </w:rPr>
        <w:t xml:space="preserve">ROSCI0255 Торф'яник Лозна (Дерска) </w:t>
      </w:r>
    </w:p>
    <w:p w:rsidR="00642FB4" w:rsidRDefault="00642FB4">
      <w:pPr>
        <w:autoSpaceDE w:val="0"/>
        <w:autoSpaceDN w:val="0"/>
        <w:adjustRightInd w:val="0"/>
        <w:spacing w:before="60" w:after="60" w:line="288" w:lineRule="auto"/>
        <w:ind w:firstLine="720"/>
        <w:jc w:val="both"/>
        <w:rPr>
          <w:rFonts w:eastAsia="Calibri" w:cs="Arial"/>
          <w:color w:val="000000"/>
        </w:rPr>
      </w:pPr>
      <w:r>
        <w:rPr>
          <w:i/>
          <w:color w:val="000000"/>
        </w:rPr>
        <w:t>Розташування</w:t>
      </w:r>
      <w:r>
        <w:rPr>
          <w:color w:val="000000"/>
        </w:rPr>
        <w:t xml:space="preserve">: смт. Лозна; </w:t>
      </w:r>
    </w:p>
    <w:p w:rsidR="00642FB4" w:rsidRDefault="00642FB4">
      <w:pPr>
        <w:autoSpaceDE w:val="0"/>
        <w:autoSpaceDN w:val="0"/>
        <w:adjustRightInd w:val="0"/>
        <w:spacing w:before="60" w:after="60" w:line="288" w:lineRule="auto"/>
        <w:ind w:firstLine="720"/>
        <w:jc w:val="both"/>
        <w:rPr>
          <w:rFonts w:eastAsia="Calibri" w:cs="Arial"/>
          <w:color w:val="000000"/>
        </w:rPr>
      </w:pPr>
      <w:r>
        <w:rPr>
          <w:i/>
          <w:color w:val="000000"/>
        </w:rPr>
        <w:t>Тип комунітарного середовища проживання:</w:t>
      </w:r>
      <w:r>
        <w:rPr>
          <w:color w:val="000000"/>
        </w:rPr>
        <w:t xml:space="preserve"> Природні евтрофні озера з типом рослинності Magnopotamion або Hydrocharition та Торф'яники, здатні до природної регенерації; </w:t>
      </w:r>
    </w:p>
    <w:p w:rsidR="00642FB4" w:rsidRDefault="00642FB4">
      <w:pPr>
        <w:autoSpaceDE w:val="0"/>
        <w:autoSpaceDN w:val="0"/>
        <w:adjustRightInd w:val="0"/>
        <w:spacing w:before="60" w:after="60" w:line="288" w:lineRule="auto"/>
        <w:ind w:firstLine="720"/>
        <w:jc w:val="both"/>
        <w:rPr>
          <w:rFonts w:eastAsia="Calibri" w:cs="Arial"/>
          <w:color w:val="000000"/>
        </w:rPr>
      </w:pPr>
      <w:r>
        <w:rPr>
          <w:i/>
          <w:color w:val="000000"/>
        </w:rPr>
        <w:t xml:space="preserve">Флористичні види комунітарного значення: </w:t>
      </w:r>
      <w:r>
        <w:rPr>
          <w:color w:val="000000"/>
        </w:rPr>
        <w:t xml:space="preserve">Angelica palustris (Дудник болотний). </w:t>
      </w:r>
    </w:p>
    <w:p w:rsidR="00642FB4" w:rsidRDefault="00642FB4">
      <w:pPr>
        <w:autoSpaceDE w:val="0"/>
        <w:autoSpaceDN w:val="0"/>
        <w:adjustRightInd w:val="0"/>
        <w:spacing w:before="60" w:after="60" w:line="288" w:lineRule="auto"/>
        <w:ind w:firstLine="720"/>
        <w:jc w:val="both"/>
        <w:rPr>
          <w:rFonts w:eastAsia="EUAlbertina-Regular-Identity-H" w:cs="Arial"/>
          <w:b/>
        </w:rPr>
      </w:pPr>
      <w:r>
        <w:rPr>
          <w:i/>
          <w:color w:val="000000"/>
        </w:rPr>
        <w:t>Площа:</w:t>
      </w:r>
      <w:r>
        <w:rPr>
          <w:color w:val="000000"/>
        </w:rPr>
        <w:t xml:space="preserve"> 12 га</w:t>
      </w:r>
    </w:p>
    <w:p w:rsidR="00642FB4" w:rsidRDefault="001C33BE">
      <w:pPr>
        <w:autoSpaceDE w:val="0"/>
        <w:autoSpaceDN w:val="0"/>
        <w:adjustRightInd w:val="0"/>
        <w:spacing w:before="60" w:after="60" w:line="288" w:lineRule="auto"/>
        <w:jc w:val="both"/>
        <w:rPr>
          <w:rFonts w:eastAsia="EUAlbertina-Regular-Identity-H" w:cs="Arial"/>
          <w:b/>
        </w:rPr>
      </w:pPr>
      <w:r>
        <w:rPr>
          <w:rFonts w:eastAsia="EUAlbertina-Regular-Identity-H" w:cs="Arial"/>
          <w:b/>
          <w:noProof/>
          <w:lang w:val="en-US" w:eastAsia="en-US"/>
        </w:rPr>
        <w:drawing>
          <wp:inline distT="0" distB="0" distL="0" distR="0" wp14:anchorId="7827C853" wp14:editId="293D1AE7">
            <wp:extent cx="5764530" cy="2106930"/>
            <wp:effectExtent l="19050" t="19050" r="26670" b="26670"/>
            <wp:docPr id="2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srcRect/>
                    <a:stretch>
                      <a:fillRect/>
                    </a:stretch>
                  </pic:blipFill>
                  <pic:spPr bwMode="auto">
                    <a:xfrm>
                      <a:off x="0" y="0"/>
                      <a:ext cx="5764530" cy="2106930"/>
                    </a:xfrm>
                    <a:prstGeom prst="rect">
                      <a:avLst/>
                    </a:prstGeom>
                    <a:noFill/>
                    <a:ln w="6350" cmpd="sng">
                      <a:solidFill>
                        <a:srgbClr val="000000"/>
                      </a:solidFill>
                      <a:miter lim="800000"/>
                      <a:headEnd/>
                      <a:tailEnd/>
                    </a:ln>
                    <a:effectLst/>
                  </pic:spPr>
                </pic:pic>
              </a:graphicData>
            </a:graphic>
          </wp:inline>
        </w:drawing>
      </w:r>
    </w:p>
    <w:p w:rsidR="00642FB4" w:rsidRDefault="00642FB4">
      <w:pPr>
        <w:autoSpaceDE w:val="0"/>
        <w:autoSpaceDN w:val="0"/>
        <w:adjustRightInd w:val="0"/>
        <w:spacing w:before="60" w:after="60" w:line="288" w:lineRule="auto"/>
        <w:jc w:val="both"/>
        <w:rPr>
          <w:rFonts w:eastAsia="EUAlbertina-Regular-Identity-H" w:cs="Arial"/>
          <w:b/>
        </w:rPr>
      </w:pPr>
    </w:p>
    <w:p w:rsidR="00642FB4" w:rsidRDefault="00642FB4">
      <w:pPr>
        <w:numPr>
          <w:ilvl w:val="0"/>
          <w:numId w:val="6"/>
        </w:numPr>
        <w:autoSpaceDE w:val="0"/>
        <w:autoSpaceDN w:val="0"/>
        <w:adjustRightInd w:val="0"/>
        <w:spacing w:before="60" w:after="60" w:line="288" w:lineRule="auto"/>
        <w:ind w:left="1080"/>
        <w:jc w:val="both"/>
        <w:rPr>
          <w:rFonts w:eastAsia="Calibri" w:cs="Arial"/>
          <w:color w:val="000000"/>
        </w:rPr>
      </w:pPr>
      <w:r>
        <w:rPr>
          <w:b/>
          <w:color w:val="000000"/>
        </w:rPr>
        <w:t xml:space="preserve">ROSCI0234 Стинка Штефиништь </w:t>
      </w:r>
    </w:p>
    <w:p w:rsidR="00642FB4" w:rsidRDefault="00642FB4">
      <w:pPr>
        <w:autoSpaceDE w:val="0"/>
        <w:autoSpaceDN w:val="0"/>
        <w:adjustRightInd w:val="0"/>
        <w:spacing w:before="60" w:after="60" w:line="288" w:lineRule="auto"/>
        <w:ind w:firstLine="720"/>
        <w:jc w:val="both"/>
        <w:rPr>
          <w:rFonts w:eastAsia="Calibri" w:cs="Arial"/>
          <w:color w:val="000000"/>
        </w:rPr>
      </w:pPr>
      <w:r>
        <w:rPr>
          <w:i/>
          <w:color w:val="000000"/>
        </w:rPr>
        <w:t>Місцезнаходження:</w:t>
      </w:r>
      <w:r>
        <w:rPr>
          <w:color w:val="000000"/>
        </w:rPr>
        <w:t xml:space="preserve"> Стинка, м. Штефиништь;</w:t>
      </w:r>
    </w:p>
    <w:p w:rsidR="00642FB4" w:rsidRDefault="00642FB4">
      <w:pPr>
        <w:autoSpaceDE w:val="0"/>
        <w:autoSpaceDN w:val="0"/>
        <w:adjustRightInd w:val="0"/>
        <w:spacing w:before="60" w:after="60" w:line="288" w:lineRule="auto"/>
        <w:ind w:firstLine="720"/>
        <w:jc w:val="both"/>
        <w:rPr>
          <w:rFonts w:eastAsia="Calibri" w:cs="Arial"/>
          <w:color w:val="000000"/>
        </w:rPr>
      </w:pPr>
      <w:r>
        <w:rPr>
          <w:i/>
          <w:color w:val="000000"/>
        </w:rPr>
        <w:t>Тип ідентифікованого комунітарного середовища проживання:</w:t>
      </w:r>
      <w:r>
        <w:rPr>
          <w:color w:val="000000"/>
        </w:rPr>
        <w:t xml:space="preserve"> Скельні кальцінозні рослини або луки Alysso - sedion albi. </w:t>
      </w:r>
    </w:p>
    <w:p w:rsidR="00642FB4" w:rsidRDefault="00642FB4">
      <w:pPr>
        <w:autoSpaceDE w:val="0"/>
        <w:autoSpaceDN w:val="0"/>
        <w:adjustRightInd w:val="0"/>
        <w:spacing w:before="60" w:after="60" w:line="288" w:lineRule="auto"/>
        <w:ind w:firstLine="720"/>
        <w:jc w:val="both"/>
        <w:rPr>
          <w:rFonts w:eastAsia="Calibri" w:cs="Arial"/>
          <w:color w:val="000000"/>
        </w:rPr>
      </w:pPr>
      <w:r>
        <w:rPr>
          <w:i/>
          <w:color w:val="000000"/>
        </w:rPr>
        <w:t>Площа:</w:t>
      </w:r>
      <w:r>
        <w:rPr>
          <w:color w:val="000000"/>
        </w:rPr>
        <w:t xml:space="preserve"> 1 га.</w:t>
      </w:r>
    </w:p>
    <w:p w:rsidR="00642FB4" w:rsidRDefault="001C33BE">
      <w:pPr>
        <w:autoSpaceDE w:val="0"/>
        <w:autoSpaceDN w:val="0"/>
        <w:adjustRightInd w:val="0"/>
        <w:spacing w:before="60" w:after="60" w:line="288" w:lineRule="auto"/>
        <w:jc w:val="both"/>
        <w:rPr>
          <w:rFonts w:eastAsia="EUAlbertina-Regular-Identity-H" w:cs="Arial"/>
          <w:b/>
        </w:rPr>
      </w:pPr>
      <w:r>
        <w:rPr>
          <w:rFonts w:eastAsia="EUAlbertina-Regular-Identity-H" w:cs="Arial"/>
          <w:b/>
          <w:noProof/>
          <w:lang w:val="en-US" w:eastAsia="en-US"/>
        </w:rPr>
        <w:drawing>
          <wp:inline distT="0" distB="0" distL="0" distR="0" wp14:anchorId="283DE869" wp14:editId="6A09CB79">
            <wp:extent cx="5756910" cy="2456815"/>
            <wp:effectExtent l="19050" t="19050" r="15240" b="19685"/>
            <wp:docPr id="2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cstate="print"/>
                    <a:srcRect/>
                    <a:stretch>
                      <a:fillRect/>
                    </a:stretch>
                  </pic:blipFill>
                  <pic:spPr bwMode="auto">
                    <a:xfrm>
                      <a:off x="0" y="0"/>
                      <a:ext cx="5756910" cy="2456815"/>
                    </a:xfrm>
                    <a:prstGeom prst="rect">
                      <a:avLst/>
                    </a:prstGeom>
                    <a:noFill/>
                    <a:ln w="6350" cmpd="sng">
                      <a:solidFill>
                        <a:srgbClr val="000000"/>
                      </a:solidFill>
                      <a:miter lim="800000"/>
                      <a:headEnd/>
                      <a:tailEnd/>
                    </a:ln>
                    <a:effectLst/>
                  </pic:spPr>
                </pic:pic>
              </a:graphicData>
            </a:graphic>
          </wp:inline>
        </w:drawing>
      </w:r>
    </w:p>
    <w:p w:rsidR="00642FB4" w:rsidRDefault="00642FB4">
      <w:pPr>
        <w:autoSpaceDE w:val="0"/>
        <w:autoSpaceDN w:val="0"/>
        <w:adjustRightInd w:val="0"/>
        <w:spacing w:before="60" w:after="60" w:line="288" w:lineRule="auto"/>
        <w:jc w:val="both"/>
        <w:rPr>
          <w:rFonts w:eastAsia="EUAlbertina-Regular-Identity-H" w:cs="Arial"/>
          <w:b/>
        </w:rPr>
      </w:pPr>
    </w:p>
    <w:p w:rsidR="00642FB4" w:rsidRDefault="00642FB4">
      <w:pPr>
        <w:numPr>
          <w:ilvl w:val="0"/>
          <w:numId w:val="6"/>
        </w:numPr>
        <w:autoSpaceDE w:val="0"/>
        <w:autoSpaceDN w:val="0"/>
        <w:adjustRightInd w:val="0"/>
        <w:spacing w:before="60" w:after="60" w:line="288" w:lineRule="auto"/>
        <w:ind w:left="1080"/>
        <w:jc w:val="both"/>
        <w:rPr>
          <w:rFonts w:eastAsia="Calibri" w:cs="Arial"/>
          <w:color w:val="000000"/>
        </w:rPr>
      </w:pPr>
      <w:r>
        <w:rPr>
          <w:b/>
          <w:color w:val="000000"/>
        </w:rPr>
        <w:t xml:space="preserve">ROSCI 0399 Сугариу Дарабань </w:t>
      </w:r>
    </w:p>
    <w:p w:rsidR="00642FB4" w:rsidRDefault="00642FB4">
      <w:pPr>
        <w:autoSpaceDE w:val="0"/>
        <w:autoSpaceDN w:val="0"/>
        <w:adjustRightInd w:val="0"/>
        <w:spacing w:before="60" w:after="60" w:line="288" w:lineRule="auto"/>
        <w:ind w:firstLine="720"/>
        <w:jc w:val="both"/>
        <w:rPr>
          <w:rFonts w:eastAsia="Calibri" w:cs="Arial"/>
          <w:color w:val="000000"/>
        </w:rPr>
      </w:pPr>
      <w:r>
        <w:rPr>
          <w:i/>
        </w:rPr>
        <w:t>Розташування</w:t>
      </w:r>
      <w:r>
        <w:rPr>
          <w:i/>
          <w:color w:val="000000"/>
        </w:rPr>
        <w:t>:</w:t>
      </w:r>
      <w:r>
        <w:rPr>
          <w:color w:val="000000"/>
        </w:rPr>
        <w:t xml:space="preserve"> адміністративні території с. Кончешть, Дарабань, Гудешть, Сугариу; </w:t>
      </w:r>
    </w:p>
    <w:p w:rsidR="00642FB4" w:rsidRDefault="00642FB4">
      <w:pPr>
        <w:autoSpaceDE w:val="0"/>
        <w:autoSpaceDN w:val="0"/>
        <w:adjustRightInd w:val="0"/>
        <w:spacing w:before="60" w:after="60" w:line="288" w:lineRule="auto"/>
        <w:ind w:firstLine="720"/>
        <w:jc w:val="both"/>
        <w:rPr>
          <w:rFonts w:eastAsia="Calibri" w:cs="Arial"/>
          <w:color w:val="000000"/>
        </w:rPr>
      </w:pPr>
      <w:r>
        <w:rPr>
          <w:i/>
        </w:rPr>
        <w:t>Середовища проживання, комунітарного значення</w:t>
      </w:r>
      <w:r>
        <w:rPr>
          <w:color w:val="000000"/>
        </w:rPr>
        <w:t xml:space="preserve">: букові ліси типу Asperulo fagetum, дакські дубові і грабові ліси, Понтійські сарматські степи, Чагарники з твердою понтійською сарматською деревиною; </w:t>
      </w:r>
    </w:p>
    <w:p w:rsidR="00642FB4" w:rsidRDefault="00642FB4">
      <w:pPr>
        <w:autoSpaceDE w:val="0"/>
        <w:autoSpaceDN w:val="0"/>
        <w:adjustRightInd w:val="0"/>
        <w:spacing w:before="60" w:after="60" w:line="288" w:lineRule="auto"/>
        <w:ind w:firstLine="720"/>
        <w:jc w:val="both"/>
        <w:rPr>
          <w:rFonts w:eastAsia="Calibri" w:cs="Arial"/>
          <w:color w:val="000000"/>
        </w:rPr>
      </w:pPr>
      <w:r>
        <w:rPr>
          <w:i/>
          <w:color w:val="000000"/>
        </w:rPr>
        <w:t xml:space="preserve">Площа: </w:t>
      </w:r>
      <w:r>
        <w:rPr>
          <w:color w:val="000000"/>
        </w:rPr>
        <w:t xml:space="preserve">1.936 га. </w:t>
      </w:r>
    </w:p>
    <w:p w:rsidR="00642FB4" w:rsidRDefault="00642FB4">
      <w:pPr>
        <w:autoSpaceDE w:val="0"/>
        <w:autoSpaceDN w:val="0"/>
        <w:adjustRightInd w:val="0"/>
        <w:spacing w:before="60" w:after="60" w:line="288" w:lineRule="auto"/>
        <w:jc w:val="both"/>
        <w:rPr>
          <w:rFonts w:eastAsia="Calibri" w:cs="Arial"/>
          <w:color w:val="000000"/>
        </w:rPr>
      </w:pPr>
    </w:p>
    <w:p w:rsidR="00642FB4" w:rsidRDefault="00642FB4">
      <w:pPr>
        <w:numPr>
          <w:ilvl w:val="0"/>
          <w:numId w:val="6"/>
        </w:numPr>
        <w:autoSpaceDE w:val="0"/>
        <w:autoSpaceDN w:val="0"/>
        <w:adjustRightInd w:val="0"/>
        <w:spacing w:before="60" w:after="60" w:line="288" w:lineRule="auto"/>
        <w:ind w:left="1080" w:hanging="450"/>
        <w:jc w:val="both"/>
        <w:rPr>
          <w:rFonts w:eastAsia="Calibri" w:cs="Arial"/>
          <w:color w:val="000000"/>
        </w:rPr>
      </w:pPr>
      <w:r>
        <w:rPr>
          <w:b/>
          <w:color w:val="000000"/>
        </w:rPr>
        <w:t xml:space="preserve">ROSCI0391 Середній Сірет Бучечя </w:t>
      </w:r>
    </w:p>
    <w:p w:rsidR="00642FB4" w:rsidRDefault="00642FB4">
      <w:pPr>
        <w:autoSpaceDE w:val="0"/>
        <w:autoSpaceDN w:val="0"/>
        <w:adjustRightInd w:val="0"/>
        <w:spacing w:before="60" w:after="60" w:line="288" w:lineRule="auto"/>
        <w:ind w:firstLine="720"/>
        <w:jc w:val="both"/>
        <w:rPr>
          <w:rFonts w:eastAsia="Calibri" w:cs="Arial"/>
          <w:color w:val="000000"/>
        </w:rPr>
      </w:pPr>
      <w:r>
        <w:rPr>
          <w:i/>
          <w:color w:val="000000"/>
        </w:rPr>
        <w:t>Розташування</w:t>
      </w:r>
      <w:r>
        <w:rPr>
          <w:color w:val="000000"/>
        </w:rPr>
        <w:t xml:space="preserve">: адміністративні території повітів Ботошань та Сучава, на території повіту Ботошань – м.  Бучечя 3% і смт. Вирфул Кимпулуй 1%; </w:t>
      </w:r>
    </w:p>
    <w:p w:rsidR="00642FB4" w:rsidRDefault="00642FB4">
      <w:pPr>
        <w:autoSpaceDE w:val="0"/>
        <w:autoSpaceDN w:val="0"/>
        <w:adjustRightInd w:val="0"/>
        <w:spacing w:before="60" w:after="60" w:line="288" w:lineRule="auto"/>
        <w:ind w:firstLine="720"/>
        <w:jc w:val="both"/>
        <w:rPr>
          <w:rFonts w:eastAsia="Calibri" w:cs="Arial"/>
          <w:color w:val="000000"/>
        </w:rPr>
      </w:pPr>
      <w:r>
        <w:rPr>
          <w:i/>
        </w:rPr>
        <w:t>Середовища проживання, комунітарного значення</w:t>
      </w:r>
      <w:r>
        <w:rPr>
          <w:i/>
          <w:color w:val="000000"/>
        </w:rPr>
        <w:t>:</w:t>
      </w:r>
      <w:r>
        <w:rPr>
          <w:color w:val="000000"/>
        </w:rPr>
        <w:t xml:space="preserve"> узлісся з високими травами теплолюбними від рівнин до високих гір; </w:t>
      </w:r>
    </w:p>
    <w:p w:rsidR="00642FB4" w:rsidRDefault="00642FB4">
      <w:pPr>
        <w:autoSpaceDE w:val="0"/>
        <w:autoSpaceDN w:val="0"/>
        <w:adjustRightInd w:val="0"/>
        <w:spacing w:before="60" w:after="60" w:line="288" w:lineRule="auto"/>
        <w:ind w:firstLine="720"/>
        <w:jc w:val="both"/>
        <w:rPr>
          <w:rFonts w:eastAsia="Calibri" w:cs="Arial"/>
          <w:i/>
          <w:iCs/>
          <w:color w:val="000000"/>
        </w:rPr>
      </w:pPr>
      <w:r>
        <w:rPr>
          <w:color w:val="000000"/>
        </w:rPr>
        <w:t xml:space="preserve">Види риб у Додатку 2 Директиви про Середовища проживання </w:t>
      </w:r>
      <w:r>
        <w:rPr>
          <w:i/>
          <w:color w:val="000000"/>
        </w:rPr>
        <w:t xml:space="preserve">Aspius aspius, Gobio kessleri, Cobitis taenia. </w:t>
      </w:r>
    </w:p>
    <w:p w:rsidR="00642FB4" w:rsidRDefault="00642FB4">
      <w:pPr>
        <w:autoSpaceDE w:val="0"/>
        <w:autoSpaceDN w:val="0"/>
        <w:adjustRightInd w:val="0"/>
        <w:spacing w:before="60" w:after="60" w:line="288" w:lineRule="auto"/>
        <w:ind w:firstLine="720"/>
        <w:jc w:val="both"/>
        <w:rPr>
          <w:rFonts w:eastAsia="Calibri" w:cs="Arial"/>
          <w:color w:val="000000"/>
        </w:rPr>
      </w:pPr>
      <w:r>
        <w:rPr>
          <w:i/>
          <w:color w:val="000000"/>
        </w:rPr>
        <w:t>Площа:</w:t>
      </w:r>
      <w:r>
        <w:rPr>
          <w:color w:val="000000"/>
        </w:rPr>
        <w:t xml:space="preserve"> 125,4 га </w:t>
      </w:r>
    </w:p>
    <w:p w:rsidR="00642FB4" w:rsidRDefault="00642FB4">
      <w:pPr>
        <w:autoSpaceDE w:val="0"/>
        <w:autoSpaceDN w:val="0"/>
        <w:adjustRightInd w:val="0"/>
        <w:spacing w:before="60" w:after="60" w:line="288" w:lineRule="auto"/>
        <w:jc w:val="both"/>
        <w:rPr>
          <w:rFonts w:eastAsia="Calibri" w:cs="Arial"/>
          <w:color w:val="000000"/>
        </w:rPr>
      </w:pPr>
    </w:p>
    <w:p w:rsidR="00642FB4" w:rsidRDefault="00642FB4">
      <w:pPr>
        <w:numPr>
          <w:ilvl w:val="0"/>
          <w:numId w:val="6"/>
        </w:numPr>
        <w:autoSpaceDE w:val="0"/>
        <w:autoSpaceDN w:val="0"/>
        <w:adjustRightInd w:val="0"/>
        <w:spacing w:before="60" w:after="60" w:line="288" w:lineRule="auto"/>
        <w:ind w:left="1080"/>
        <w:jc w:val="both"/>
        <w:rPr>
          <w:rFonts w:eastAsia="Calibri" w:cs="Arial"/>
          <w:color w:val="000000"/>
        </w:rPr>
      </w:pPr>
      <w:r>
        <w:rPr>
          <w:b/>
          <w:color w:val="000000"/>
        </w:rPr>
        <w:t xml:space="preserve">ROSCI0184 Ліс Замостя Лунки  </w:t>
      </w:r>
    </w:p>
    <w:p w:rsidR="00642FB4" w:rsidRDefault="00642FB4">
      <w:pPr>
        <w:autoSpaceDE w:val="0"/>
        <w:autoSpaceDN w:val="0"/>
        <w:adjustRightInd w:val="0"/>
        <w:spacing w:before="60" w:after="60" w:line="288" w:lineRule="auto"/>
        <w:ind w:firstLine="720"/>
        <w:jc w:val="both"/>
        <w:rPr>
          <w:rFonts w:eastAsia="Calibri" w:cs="Arial"/>
          <w:color w:val="000000"/>
        </w:rPr>
      </w:pPr>
      <w:r>
        <w:rPr>
          <w:i/>
          <w:color w:val="000000"/>
        </w:rPr>
        <w:t>Розташування:</w:t>
      </w:r>
      <w:r>
        <w:rPr>
          <w:color w:val="000000"/>
        </w:rPr>
        <w:t xml:space="preserve"> повіт Ботошань і Сучава, на території повіту Ботошань: території смт. Киндешть і Вирфул Кимпулуй; </w:t>
      </w:r>
    </w:p>
    <w:p w:rsidR="00642FB4" w:rsidRDefault="00642FB4">
      <w:pPr>
        <w:autoSpaceDE w:val="0"/>
        <w:autoSpaceDN w:val="0"/>
        <w:adjustRightInd w:val="0"/>
        <w:spacing w:before="60" w:after="60" w:line="288" w:lineRule="auto"/>
        <w:ind w:firstLine="720"/>
        <w:jc w:val="both"/>
        <w:rPr>
          <w:rFonts w:eastAsia="Calibri" w:cs="Arial"/>
          <w:color w:val="000000"/>
        </w:rPr>
      </w:pPr>
      <w:r>
        <w:rPr>
          <w:i/>
        </w:rPr>
        <w:t>Типи середовищ проживання</w:t>
      </w:r>
      <w:r>
        <w:rPr>
          <w:b/>
          <w:i/>
          <w:color w:val="000000"/>
        </w:rPr>
        <w:t>:</w:t>
      </w:r>
      <w:r>
        <w:rPr>
          <w:color w:val="000000"/>
        </w:rPr>
        <w:t xml:space="preserve"> Дакські дубові і грабові ліси, змішані прибережні ліси з </w:t>
      </w:r>
      <w:r>
        <w:rPr>
          <w:i/>
          <w:color w:val="000000"/>
        </w:rPr>
        <w:t>Quercus robur</w:t>
      </w:r>
      <w:r>
        <w:rPr>
          <w:color w:val="000000"/>
        </w:rPr>
        <w:t xml:space="preserve">, </w:t>
      </w:r>
      <w:r>
        <w:rPr>
          <w:i/>
          <w:color w:val="000000"/>
        </w:rPr>
        <w:t xml:space="preserve">Frasinus excelsior </w:t>
      </w:r>
      <w:r>
        <w:rPr>
          <w:color w:val="000000"/>
        </w:rPr>
        <w:t xml:space="preserve">вздовж великих річок; </w:t>
      </w:r>
    </w:p>
    <w:p w:rsidR="00642FB4" w:rsidRDefault="00642FB4">
      <w:pPr>
        <w:autoSpaceDE w:val="0"/>
        <w:autoSpaceDN w:val="0"/>
        <w:adjustRightInd w:val="0"/>
        <w:spacing w:before="60" w:after="60" w:line="288" w:lineRule="auto"/>
        <w:ind w:firstLine="720"/>
        <w:jc w:val="both"/>
        <w:rPr>
          <w:rFonts w:eastAsia="Calibri" w:cs="Arial"/>
          <w:color w:val="000000"/>
        </w:rPr>
      </w:pPr>
      <w:r>
        <w:rPr>
          <w:i/>
        </w:rPr>
        <w:t>Видів амфібій і рептилій</w:t>
      </w:r>
      <w:r>
        <w:rPr>
          <w:color w:val="000000"/>
        </w:rPr>
        <w:t xml:space="preserve"> у Додатку 2 Директиви про Середовища проживання: </w:t>
      </w:r>
      <w:r>
        <w:rPr>
          <w:i/>
          <w:color w:val="000000"/>
        </w:rPr>
        <w:t>Emys orbicularis</w:t>
      </w:r>
      <w:r>
        <w:rPr>
          <w:color w:val="000000"/>
        </w:rPr>
        <w:t xml:space="preserve">; </w:t>
      </w:r>
    </w:p>
    <w:p w:rsidR="00642FB4" w:rsidRDefault="00642FB4">
      <w:pPr>
        <w:autoSpaceDE w:val="0"/>
        <w:autoSpaceDN w:val="0"/>
        <w:adjustRightInd w:val="0"/>
        <w:spacing w:before="60" w:after="60" w:line="288" w:lineRule="auto"/>
        <w:ind w:firstLine="720"/>
        <w:jc w:val="both"/>
        <w:rPr>
          <w:rFonts w:eastAsia="Calibri" w:cs="Arial"/>
          <w:color w:val="000000"/>
        </w:rPr>
      </w:pPr>
      <w:r>
        <w:rPr>
          <w:i/>
          <w:color w:val="000000"/>
        </w:rPr>
        <w:t>Площа:</w:t>
      </w:r>
      <w:r>
        <w:rPr>
          <w:color w:val="000000"/>
        </w:rPr>
        <w:t xml:space="preserve"> 68,77 га.</w:t>
      </w:r>
    </w:p>
    <w:p w:rsidR="00642FB4" w:rsidRDefault="00642FB4">
      <w:pPr>
        <w:autoSpaceDE w:val="0"/>
        <w:autoSpaceDN w:val="0"/>
        <w:adjustRightInd w:val="0"/>
        <w:spacing w:before="60" w:after="60" w:line="288" w:lineRule="auto"/>
        <w:jc w:val="both"/>
        <w:rPr>
          <w:rFonts w:eastAsia="Calibri" w:cs="Arial"/>
          <w:color w:val="000000"/>
        </w:rPr>
      </w:pPr>
    </w:p>
    <w:p w:rsidR="00642FB4" w:rsidRDefault="00642FB4">
      <w:pPr>
        <w:autoSpaceDE w:val="0"/>
        <w:autoSpaceDN w:val="0"/>
        <w:adjustRightInd w:val="0"/>
        <w:spacing w:before="60" w:after="60" w:line="288" w:lineRule="auto"/>
        <w:ind w:left="720"/>
        <w:contextualSpacing/>
        <w:jc w:val="both"/>
        <w:rPr>
          <w:rFonts w:eastAsia="EUAlbertina-Regular-Identity-H" w:cs="Arial"/>
          <w:b/>
          <w:i/>
        </w:rPr>
      </w:pPr>
      <w:r>
        <w:rPr>
          <w:b/>
          <w:i/>
        </w:rPr>
        <w:t>Повіт Марамуреш</w:t>
      </w:r>
    </w:p>
    <w:p w:rsidR="00642FB4" w:rsidRDefault="00642FB4">
      <w:pPr>
        <w:autoSpaceDE w:val="0"/>
        <w:autoSpaceDN w:val="0"/>
        <w:adjustRightInd w:val="0"/>
        <w:spacing w:before="60" w:after="60" w:line="288" w:lineRule="auto"/>
        <w:ind w:left="720"/>
        <w:contextualSpacing/>
        <w:jc w:val="both"/>
        <w:rPr>
          <w:rFonts w:eastAsia="EUAlbertina-Regular-Identity-H" w:cs="Arial"/>
          <w:b/>
          <w:i/>
        </w:rPr>
      </w:pPr>
    </w:p>
    <w:p w:rsidR="00642FB4" w:rsidRDefault="00642FB4">
      <w:pPr>
        <w:jc w:val="both"/>
        <w:rPr>
          <w:snapToGrid w:val="0"/>
          <w:position w:val="-6"/>
        </w:rPr>
      </w:pPr>
    </w:p>
    <w:p w:rsidR="00642FB4" w:rsidRPr="002C0454" w:rsidRDefault="009E3BE0">
      <w:pPr>
        <w:ind w:firstLine="709"/>
        <w:jc w:val="both"/>
        <w:rPr>
          <w:snapToGrid w:val="0"/>
          <w:position w:val="-6"/>
        </w:rPr>
      </w:pPr>
      <w:r w:rsidRPr="002C0454">
        <w:rPr>
          <w:snapToGrid w:val="0"/>
          <w:position w:val="-6"/>
        </w:rPr>
        <w:t xml:space="preserve">У повіті Марамуреш знаходяться 12 захисних зон місцевого значення </w:t>
      </w:r>
      <w:r w:rsidR="00642FB4" w:rsidRPr="002C0454">
        <w:rPr>
          <w:snapToGrid w:val="0"/>
          <w:position w:val="-6"/>
        </w:rPr>
        <w:t xml:space="preserve">SCI, </w:t>
      </w:r>
      <w:r w:rsidR="00642FB4" w:rsidRPr="002C0454">
        <w:rPr>
          <w:b/>
          <w:snapToGrid w:val="0"/>
          <w:position w:val="-6"/>
        </w:rPr>
        <w:t>5</w:t>
      </w:r>
      <w:r w:rsidR="00642FB4" w:rsidRPr="002C0454">
        <w:rPr>
          <w:snapToGrid w:val="0"/>
          <w:position w:val="-6"/>
        </w:rPr>
        <w:t xml:space="preserve"> </w:t>
      </w:r>
      <w:r w:rsidRPr="002C0454">
        <w:rPr>
          <w:snapToGrid w:val="0"/>
          <w:position w:val="-6"/>
          <w:lang w:val="uk-UA"/>
        </w:rPr>
        <w:t xml:space="preserve">спеціальних зон охорони тваринного світу </w:t>
      </w:r>
      <w:r w:rsidR="00642FB4" w:rsidRPr="002C0454">
        <w:rPr>
          <w:snapToGrid w:val="0"/>
          <w:position w:val="-6"/>
        </w:rPr>
        <w:t xml:space="preserve">SPA, </w:t>
      </w:r>
      <w:r w:rsidRPr="002C0454">
        <w:rPr>
          <w:snapToGrid w:val="0"/>
          <w:position w:val="-6"/>
          <w:lang w:val="uk-UA"/>
        </w:rPr>
        <w:t>природні заповідники та природні парки</w:t>
      </w:r>
      <w:r w:rsidR="00642FB4" w:rsidRPr="002C0454">
        <w:rPr>
          <w:snapToGrid w:val="0"/>
          <w:position w:val="-6"/>
        </w:rPr>
        <w:t xml:space="preserve">. </w:t>
      </w:r>
      <w:r w:rsidRPr="002C0454">
        <w:rPr>
          <w:snapToGrid w:val="0"/>
          <w:position w:val="-6"/>
          <w:lang w:val="uk-UA"/>
        </w:rPr>
        <w:t>На мал..</w:t>
      </w:r>
      <w:r w:rsidR="00642FB4" w:rsidRPr="002C0454">
        <w:rPr>
          <w:b/>
          <w:snapToGrid w:val="0"/>
          <w:position w:val="-6"/>
        </w:rPr>
        <w:t>5.2</w:t>
      </w:r>
      <w:r w:rsidR="00642FB4" w:rsidRPr="002C0454">
        <w:rPr>
          <w:snapToGrid w:val="0"/>
          <w:position w:val="-6"/>
        </w:rPr>
        <w:t xml:space="preserve"> </w:t>
      </w:r>
      <w:r w:rsidRPr="002C0454">
        <w:rPr>
          <w:snapToGrid w:val="0"/>
          <w:position w:val="-6"/>
          <w:lang w:val="uk-UA"/>
        </w:rPr>
        <w:t xml:space="preserve">зображені </w:t>
      </w:r>
      <w:r w:rsidR="00642FB4" w:rsidRPr="002C0454">
        <w:rPr>
          <w:snapToGrid w:val="0"/>
          <w:position w:val="-6"/>
        </w:rPr>
        <w:t xml:space="preserve">SCI,SPA, </w:t>
      </w:r>
      <w:r w:rsidRPr="002C0454">
        <w:rPr>
          <w:snapToGrid w:val="0"/>
          <w:position w:val="-6"/>
          <w:lang w:val="uk-UA"/>
        </w:rPr>
        <w:t xml:space="preserve">природні заповідники та природні парки на території повіту Марамуреш </w:t>
      </w:r>
      <w:r w:rsidR="00642FB4" w:rsidRPr="002C0454">
        <w:rPr>
          <w:snapToGrid w:val="0"/>
          <w:position w:val="-6"/>
        </w:rPr>
        <w:t>.</w:t>
      </w:r>
    </w:p>
    <w:p w:rsidR="00F53AC7" w:rsidRPr="002C0454" w:rsidRDefault="009E3BE0">
      <w:pPr>
        <w:ind w:firstLine="709"/>
        <w:jc w:val="both"/>
        <w:rPr>
          <w:snapToGrid w:val="0"/>
          <w:position w:val="-6"/>
          <w:lang w:val="uk-UA"/>
        </w:rPr>
      </w:pPr>
      <w:r w:rsidRPr="002C0454">
        <w:rPr>
          <w:i/>
          <w:snapToGrid w:val="0"/>
          <w:position w:val="-6"/>
          <w:lang w:val="uk-UA"/>
        </w:rPr>
        <w:t xml:space="preserve">Охонні зони національного значення з повіту Марамуреш це: Пєтросу Маре, Пятра Реа, Лакул Мораренілор, Млаштіна Пояна Брезілор, Падуреа Ронішоара, Падуреа Краяска, Падуреа Бавна, Падера де Яріче Коштюй, Арбаретул Бая Маре, Кєєле Лапушулуй, Падуреа Комжа, Арчел </w:t>
      </w:r>
      <w:r w:rsidR="00F53AC7" w:rsidRPr="002C0454">
        <w:rPr>
          <w:i/>
          <w:snapToGrid w:val="0"/>
          <w:position w:val="-6"/>
          <w:lang w:val="uk-UA"/>
        </w:rPr>
        <w:t xml:space="preserve">– Тіблеш, Фаркеу-Міхайлеску, Поляна Нарцисів Томнатік, Сеглеану, Печера з кістками, Теул луй Думітру, Млаштіна Лезеу Маре, Кееле Бабей, Коланеле де ла Лімпедеа, Розета де Пятра, Пештера деалулуй Солован, Млаштіна Таул Негру, Ізворул Батрина, Пештера ші Ізбукул Ізей, Падуреа Рунк, Природний парк гори Марамурешу.  </w:t>
      </w:r>
    </w:p>
    <w:p w:rsidR="00642FB4" w:rsidRPr="002C0454" w:rsidRDefault="00642FB4">
      <w:pPr>
        <w:ind w:firstLine="709"/>
        <w:jc w:val="both"/>
        <w:rPr>
          <w:snapToGrid w:val="0"/>
          <w:position w:val="-6"/>
        </w:rPr>
      </w:pPr>
    </w:p>
    <w:p w:rsidR="00642FB4" w:rsidRPr="002C0454" w:rsidRDefault="00F53AC7">
      <w:pPr>
        <w:ind w:firstLine="709"/>
        <w:jc w:val="both"/>
        <w:rPr>
          <w:b/>
          <w:i/>
          <w:snapToGrid w:val="0"/>
          <w:position w:val="-6"/>
          <w:lang w:val="uk-UA"/>
        </w:rPr>
      </w:pPr>
      <w:r w:rsidRPr="002C0454">
        <w:rPr>
          <w:b/>
          <w:i/>
          <w:snapToGrid w:val="0"/>
          <w:position w:val="-6"/>
          <w:lang w:val="uk-UA"/>
        </w:rPr>
        <w:t xml:space="preserve">Території, що знаходяться під міжнародним захистом </w:t>
      </w:r>
    </w:p>
    <w:p w:rsidR="00642FB4" w:rsidRPr="002C0454" w:rsidRDefault="00F53AC7">
      <w:pPr>
        <w:ind w:firstLine="709"/>
        <w:jc w:val="both"/>
        <w:rPr>
          <w:b/>
          <w:snapToGrid w:val="0"/>
          <w:position w:val="-6"/>
          <w:lang w:val="uk-UA"/>
        </w:rPr>
      </w:pPr>
      <w:r w:rsidRPr="002C0454">
        <w:rPr>
          <w:b/>
          <w:snapToGrid w:val="0"/>
          <w:position w:val="-6"/>
          <w:lang w:val="uk-UA"/>
        </w:rPr>
        <w:t xml:space="preserve">Природний Парк Гори Родней – Біосферний заповідник. </w:t>
      </w:r>
    </w:p>
    <w:p w:rsidR="00642FB4" w:rsidRPr="002C0454" w:rsidRDefault="00F53AC7">
      <w:pPr>
        <w:ind w:firstLine="709"/>
        <w:jc w:val="both"/>
        <w:rPr>
          <w:snapToGrid w:val="0"/>
          <w:position w:val="-6"/>
        </w:rPr>
      </w:pPr>
      <w:r w:rsidRPr="002C0454">
        <w:rPr>
          <w:i/>
          <w:snapToGrid w:val="0"/>
          <w:position w:val="-6"/>
        </w:rPr>
        <w:t>Природний Парк Гори Родней – Біосферний заповідник</w:t>
      </w:r>
      <w:r w:rsidRPr="002C0454" w:rsidDel="00F53AC7">
        <w:rPr>
          <w:i/>
          <w:snapToGrid w:val="0"/>
          <w:position w:val="-6"/>
        </w:rPr>
        <w:t xml:space="preserve"> </w:t>
      </w:r>
      <w:r w:rsidRPr="002C0454">
        <w:rPr>
          <w:i/>
          <w:snapToGrid w:val="0"/>
          <w:position w:val="-6"/>
          <w:lang w:val="uk-UA"/>
        </w:rPr>
        <w:t xml:space="preserve">основний об’єкт природниї спадщина даного повіту, загальною площею 47,227 Га, з яких 36,974 Га (80%) знаходяться в повіті Бістріца Насауд і 9,789 Га (20%) у Марамуреш </w:t>
      </w:r>
      <w:r w:rsidRPr="002C0454">
        <w:rPr>
          <w:snapToGrid w:val="0"/>
          <w:position w:val="-6"/>
          <w:lang w:val="uk-UA"/>
        </w:rPr>
        <w:t>.</w:t>
      </w:r>
    </w:p>
    <w:p w:rsidR="00642FB4" w:rsidRDefault="00F53AC7">
      <w:pPr>
        <w:jc w:val="both"/>
        <w:rPr>
          <w:rFonts w:cs="Arial"/>
        </w:rPr>
      </w:pPr>
      <w:r w:rsidRPr="002C0454">
        <w:rPr>
          <w:snapToGrid w:val="0"/>
          <w:position w:val="-6"/>
          <w:lang w:val="uk-UA"/>
        </w:rPr>
        <w:t xml:space="preserve">Заповідник створений у 1932 році – на самому початку охоронялася лише вершина гори Пєтросу. Пізніше площа охорони збільшилась до 3300 Га. </w:t>
      </w:r>
    </w:p>
    <w:p w:rsidR="00642FB4" w:rsidRDefault="00642FB4">
      <w:pPr>
        <w:jc w:val="both"/>
        <w:rPr>
          <w:rFonts w:cs="Arial"/>
        </w:rPr>
      </w:pPr>
    </w:p>
    <w:p w:rsidR="00642FB4" w:rsidRDefault="001C33BE">
      <w:pPr>
        <w:jc w:val="center"/>
        <w:rPr>
          <w:snapToGrid w:val="0"/>
          <w:position w:val="-6"/>
        </w:rPr>
        <w:sectPr w:rsidR="00642FB4">
          <w:headerReference w:type="default" r:id="rId41"/>
          <w:footerReference w:type="default" r:id="rId42"/>
          <w:pgSz w:w="16834" w:h="11909" w:orient="landscape" w:code="9"/>
          <w:pgMar w:top="1138" w:right="849" w:bottom="475" w:left="562" w:header="288" w:footer="0" w:gutter="0"/>
          <w:cols w:space="708"/>
          <w:docGrid w:linePitch="360"/>
        </w:sectPr>
      </w:pPr>
      <w:r>
        <w:rPr>
          <w:rFonts w:cs="Arial"/>
          <w:noProof/>
          <w:lang w:val="en-US" w:eastAsia="en-US"/>
        </w:rPr>
        <w:drawing>
          <wp:inline distT="0" distB="0" distL="0" distR="0" wp14:anchorId="14CFDE2A" wp14:editId="058AB8BE">
            <wp:extent cx="7473950" cy="5295265"/>
            <wp:effectExtent l="19050" t="0" r="0" b="0"/>
            <wp:docPr id="24" name="Рисунок 24" descr="SEA_Maramures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EA_Maramures_1"/>
                    <pic:cNvPicPr>
                      <a:picLocks noChangeAspect="1" noChangeArrowheads="1"/>
                    </pic:cNvPicPr>
                  </pic:nvPicPr>
                  <pic:blipFill>
                    <a:blip r:embed="rId43" cstate="print"/>
                    <a:srcRect/>
                    <a:stretch>
                      <a:fillRect/>
                    </a:stretch>
                  </pic:blipFill>
                  <pic:spPr bwMode="auto">
                    <a:xfrm>
                      <a:off x="0" y="0"/>
                      <a:ext cx="7473950" cy="5295265"/>
                    </a:xfrm>
                    <a:prstGeom prst="rect">
                      <a:avLst/>
                    </a:prstGeom>
                    <a:noFill/>
                    <a:ln w="9525">
                      <a:noFill/>
                      <a:miter lim="800000"/>
                      <a:headEnd/>
                      <a:tailEnd/>
                    </a:ln>
                  </pic:spPr>
                </pic:pic>
              </a:graphicData>
            </a:graphic>
          </wp:inline>
        </w:drawing>
      </w:r>
    </w:p>
    <w:p w:rsidR="00642FB4" w:rsidRDefault="00642FB4">
      <w:pPr>
        <w:numPr>
          <w:ilvl w:val="0"/>
          <w:numId w:val="9"/>
        </w:numPr>
        <w:autoSpaceDE w:val="0"/>
        <w:autoSpaceDN w:val="0"/>
        <w:adjustRightInd w:val="0"/>
        <w:spacing w:before="60" w:after="60" w:line="288" w:lineRule="auto"/>
        <w:ind w:hanging="284"/>
        <w:jc w:val="both"/>
        <w:rPr>
          <w:rFonts w:eastAsia="Calibri" w:cs="Arial"/>
          <w:color w:val="000000"/>
        </w:rPr>
      </w:pPr>
      <w:r>
        <w:rPr>
          <w:b/>
          <w:color w:val="000000"/>
        </w:rPr>
        <w:t xml:space="preserve">ОСОБЛИВО ОХОРОНЮВАНІ ТЕРИТОРІЇ  – SPA </w:t>
      </w:r>
    </w:p>
    <w:p w:rsidR="00642FB4" w:rsidRDefault="00642FB4">
      <w:pPr>
        <w:autoSpaceDE w:val="0"/>
        <w:autoSpaceDN w:val="0"/>
        <w:adjustRightInd w:val="0"/>
        <w:spacing w:before="60" w:after="60" w:line="288" w:lineRule="auto"/>
        <w:jc w:val="both"/>
        <w:rPr>
          <w:rFonts w:eastAsia="Calibri" w:cs="Arial"/>
          <w:color w:val="000000"/>
        </w:rPr>
      </w:pPr>
    </w:p>
    <w:p w:rsidR="00642FB4" w:rsidRDefault="00642FB4">
      <w:pPr>
        <w:autoSpaceDE w:val="0"/>
        <w:autoSpaceDN w:val="0"/>
        <w:adjustRightInd w:val="0"/>
        <w:spacing w:before="60" w:after="60" w:line="288" w:lineRule="auto"/>
        <w:ind w:firstLine="720"/>
        <w:jc w:val="both"/>
        <w:rPr>
          <w:rFonts w:eastAsia="Calibri" w:cs="Arial"/>
          <w:color w:val="000000"/>
        </w:rPr>
      </w:pPr>
      <w:r>
        <w:rPr>
          <w:color w:val="000000"/>
        </w:rPr>
        <w:t xml:space="preserve">У повіті Марамуреш, оголошено </w:t>
      </w:r>
      <w:r>
        <w:rPr>
          <w:b/>
          <w:color w:val="000000"/>
        </w:rPr>
        <w:t>5 Особливо охоронюваних територій</w:t>
      </w:r>
      <w:r>
        <w:rPr>
          <w:color w:val="000000"/>
        </w:rPr>
        <w:t xml:space="preserve">. </w:t>
      </w:r>
    </w:p>
    <w:p w:rsidR="00642FB4" w:rsidRDefault="00642FB4">
      <w:pPr>
        <w:autoSpaceDE w:val="0"/>
        <w:autoSpaceDN w:val="0"/>
        <w:adjustRightInd w:val="0"/>
        <w:jc w:val="both"/>
        <w:rPr>
          <w:rFonts w:eastAsia="Calibri" w:cs="Arial"/>
          <w:color w:val="000000"/>
        </w:rPr>
      </w:pPr>
    </w:p>
    <w:p w:rsidR="00642FB4" w:rsidRDefault="00642FB4">
      <w:pPr>
        <w:numPr>
          <w:ilvl w:val="0"/>
          <w:numId w:val="10"/>
        </w:numPr>
        <w:autoSpaceDE w:val="0"/>
        <w:autoSpaceDN w:val="0"/>
        <w:adjustRightInd w:val="0"/>
        <w:spacing w:before="60" w:after="60" w:line="288" w:lineRule="auto"/>
        <w:ind w:left="1080"/>
        <w:jc w:val="both"/>
        <w:rPr>
          <w:rFonts w:eastAsia="Calibri" w:cs="Arial"/>
          <w:color w:val="000000"/>
        </w:rPr>
      </w:pPr>
      <w:r>
        <w:rPr>
          <w:color w:val="000000"/>
        </w:rPr>
        <w:t xml:space="preserve">ROSPA0085 Гори Родней – адміністратор Національний парк Гори Родней; </w:t>
      </w:r>
    </w:p>
    <w:p w:rsidR="00642FB4" w:rsidRDefault="00642FB4">
      <w:pPr>
        <w:numPr>
          <w:ilvl w:val="0"/>
          <w:numId w:val="10"/>
        </w:numPr>
        <w:autoSpaceDE w:val="0"/>
        <w:autoSpaceDN w:val="0"/>
        <w:adjustRightInd w:val="0"/>
        <w:spacing w:before="60" w:after="60" w:line="288" w:lineRule="auto"/>
        <w:ind w:left="1080"/>
        <w:jc w:val="both"/>
        <w:rPr>
          <w:rFonts w:eastAsia="Calibri" w:cs="Arial"/>
          <w:color w:val="000000"/>
        </w:rPr>
      </w:pPr>
      <w:r>
        <w:rPr>
          <w:color w:val="000000"/>
        </w:rPr>
        <w:t xml:space="preserve">ROSPA0085 Марамороські Гори – адміністратор Національний парк Марамороські Гори; </w:t>
      </w:r>
    </w:p>
    <w:p w:rsidR="00642FB4" w:rsidRDefault="00642FB4">
      <w:pPr>
        <w:numPr>
          <w:ilvl w:val="0"/>
          <w:numId w:val="10"/>
        </w:numPr>
        <w:autoSpaceDE w:val="0"/>
        <w:autoSpaceDN w:val="0"/>
        <w:adjustRightInd w:val="0"/>
        <w:spacing w:before="60" w:after="60" w:line="288" w:lineRule="auto"/>
        <w:ind w:left="1080"/>
        <w:jc w:val="both"/>
        <w:rPr>
          <w:rFonts w:eastAsia="Calibri" w:cs="Arial"/>
          <w:color w:val="000000"/>
        </w:rPr>
      </w:pPr>
      <w:r>
        <w:rPr>
          <w:color w:val="000000"/>
        </w:rPr>
        <w:t xml:space="preserve">ROSPA0085 Гори Гутий – адміністратор Національний парк Марамороські Гори; </w:t>
      </w:r>
    </w:p>
    <w:p w:rsidR="00642FB4" w:rsidRDefault="00642FB4">
      <w:pPr>
        <w:numPr>
          <w:ilvl w:val="0"/>
          <w:numId w:val="10"/>
        </w:numPr>
        <w:autoSpaceDE w:val="0"/>
        <w:autoSpaceDN w:val="0"/>
        <w:adjustRightInd w:val="0"/>
        <w:spacing w:before="60" w:after="60" w:line="288" w:lineRule="auto"/>
        <w:ind w:left="1080"/>
        <w:jc w:val="both"/>
        <w:rPr>
          <w:rFonts w:eastAsia="Calibri" w:cs="Arial"/>
          <w:color w:val="000000"/>
        </w:rPr>
      </w:pPr>
      <w:r>
        <w:rPr>
          <w:color w:val="000000"/>
        </w:rPr>
        <w:t xml:space="preserve">ROSPA0143 Верхня Тиса – хранитель Асоціація Heidenroslein; </w:t>
      </w:r>
    </w:p>
    <w:p w:rsidR="00642FB4" w:rsidRDefault="00642FB4">
      <w:pPr>
        <w:numPr>
          <w:ilvl w:val="0"/>
          <w:numId w:val="10"/>
        </w:numPr>
        <w:autoSpaceDE w:val="0"/>
        <w:autoSpaceDN w:val="0"/>
        <w:adjustRightInd w:val="0"/>
        <w:spacing w:before="60" w:after="60" w:line="288" w:lineRule="auto"/>
        <w:ind w:left="1080"/>
        <w:jc w:val="both"/>
        <w:rPr>
          <w:rFonts w:eastAsia="Calibri" w:cs="Arial"/>
          <w:color w:val="000000"/>
        </w:rPr>
      </w:pPr>
      <w:r>
        <w:rPr>
          <w:color w:val="000000"/>
        </w:rPr>
        <w:t xml:space="preserve">ROSPA0114 Середня течія р. Сомеш – повіт Марамуреш і Силаж. </w:t>
      </w:r>
    </w:p>
    <w:p w:rsidR="00642FB4" w:rsidRDefault="00642FB4">
      <w:pPr>
        <w:spacing w:before="60" w:after="60" w:line="288" w:lineRule="auto"/>
        <w:jc w:val="both"/>
        <w:rPr>
          <w:rFonts w:cs="Arial"/>
        </w:rPr>
      </w:pPr>
    </w:p>
    <w:p w:rsidR="00642FB4" w:rsidRDefault="00642FB4">
      <w:pPr>
        <w:numPr>
          <w:ilvl w:val="0"/>
          <w:numId w:val="9"/>
        </w:numPr>
        <w:autoSpaceDE w:val="0"/>
        <w:autoSpaceDN w:val="0"/>
        <w:adjustRightInd w:val="0"/>
        <w:spacing w:before="60" w:after="60" w:line="288" w:lineRule="auto"/>
        <w:ind w:hanging="374"/>
        <w:jc w:val="both"/>
        <w:rPr>
          <w:rFonts w:eastAsia="Calibri" w:cs="Arial"/>
          <w:color w:val="000000"/>
        </w:rPr>
      </w:pPr>
      <w:r>
        <w:rPr>
          <w:b/>
          <w:color w:val="000000"/>
        </w:rPr>
        <w:t xml:space="preserve">ДІЛЯНКИ КОМУНІТАРНОГО ЗНАЧЕННЯ - SCI </w:t>
      </w:r>
    </w:p>
    <w:p w:rsidR="00642FB4" w:rsidRDefault="00642FB4">
      <w:pPr>
        <w:autoSpaceDE w:val="0"/>
        <w:autoSpaceDN w:val="0"/>
        <w:adjustRightInd w:val="0"/>
        <w:spacing w:before="60" w:after="60" w:line="288" w:lineRule="auto"/>
        <w:ind w:left="1080"/>
        <w:jc w:val="both"/>
        <w:rPr>
          <w:rFonts w:eastAsia="Calibri" w:cs="Arial"/>
          <w:color w:val="000000"/>
        </w:rPr>
      </w:pPr>
    </w:p>
    <w:p w:rsidR="00642FB4" w:rsidRDefault="00642FB4">
      <w:pPr>
        <w:spacing w:before="60" w:after="60" w:line="288" w:lineRule="auto"/>
        <w:ind w:firstLine="720"/>
        <w:jc w:val="both"/>
        <w:rPr>
          <w:rFonts w:eastAsia="Calibri" w:cs="Arial"/>
          <w:color w:val="000000"/>
        </w:rPr>
      </w:pPr>
      <w:r>
        <w:rPr>
          <w:color w:val="000000"/>
        </w:rPr>
        <w:t>На даний час у повіті Марамуреш існує 12 Ділянок комунітарного значення.</w:t>
      </w:r>
    </w:p>
    <w:p w:rsidR="00642FB4" w:rsidRDefault="00642FB4">
      <w:pPr>
        <w:autoSpaceDE w:val="0"/>
        <w:autoSpaceDN w:val="0"/>
        <w:adjustRightInd w:val="0"/>
        <w:jc w:val="both"/>
        <w:rPr>
          <w:rFonts w:ascii="Wingdings" w:eastAsia="Calibri" w:hAnsi="Wingdings" w:cs="Wingdings"/>
          <w:color w:val="000000"/>
        </w:rPr>
      </w:pPr>
    </w:p>
    <w:p w:rsidR="00642FB4" w:rsidRDefault="00642FB4">
      <w:pPr>
        <w:numPr>
          <w:ilvl w:val="0"/>
          <w:numId w:val="11"/>
        </w:numPr>
        <w:autoSpaceDE w:val="0"/>
        <w:autoSpaceDN w:val="0"/>
        <w:adjustRightInd w:val="0"/>
        <w:spacing w:before="60" w:after="60" w:line="312" w:lineRule="auto"/>
        <w:ind w:left="1080"/>
        <w:jc w:val="both"/>
        <w:rPr>
          <w:rFonts w:eastAsia="Calibri" w:cs="Arial"/>
          <w:color w:val="000000"/>
        </w:rPr>
      </w:pPr>
      <w:r>
        <w:rPr>
          <w:color w:val="000000"/>
        </w:rPr>
        <w:t xml:space="preserve">ROSCI0003 Каштан їстівний в Бая-Маре – хранитель Міське лісництво Бая-Маре; </w:t>
      </w:r>
    </w:p>
    <w:p w:rsidR="00642FB4" w:rsidRDefault="00642FB4">
      <w:pPr>
        <w:numPr>
          <w:ilvl w:val="0"/>
          <w:numId w:val="11"/>
        </w:numPr>
        <w:autoSpaceDE w:val="0"/>
        <w:autoSpaceDN w:val="0"/>
        <w:adjustRightInd w:val="0"/>
        <w:spacing w:before="60" w:after="60" w:line="312" w:lineRule="auto"/>
        <w:ind w:left="1080"/>
        <w:jc w:val="both"/>
        <w:rPr>
          <w:rFonts w:eastAsia="Calibri" w:cs="Arial"/>
          <w:color w:val="000000"/>
        </w:rPr>
      </w:pPr>
      <w:r>
        <w:rPr>
          <w:color w:val="000000"/>
        </w:rPr>
        <w:t xml:space="preserve">ROSCI0030 Тіснина р. Липуш – хранитель Професійна асоціація Геоммед; </w:t>
      </w:r>
    </w:p>
    <w:p w:rsidR="00642FB4" w:rsidRDefault="00642FB4">
      <w:pPr>
        <w:numPr>
          <w:ilvl w:val="0"/>
          <w:numId w:val="11"/>
        </w:numPr>
        <w:autoSpaceDE w:val="0"/>
        <w:autoSpaceDN w:val="0"/>
        <w:adjustRightInd w:val="0"/>
        <w:spacing w:before="60" w:after="60" w:line="312" w:lineRule="auto"/>
        <w:ind w:left="1080"/>
        <w:jc w:val="both"/>
        <w:rPr>
          <w:rFonts w:eastAsia="Calibri" w:cs="Arial"/>
          <w:color w:val="000000"/>
        </w:rPr>
      </w:pPr>
      <w:r>
        <w:rPr>
          <w:color w:val="000000"/>
        </w:rPr>
        <w:t xml:space="preserve">ROSCI0089 Гутий – Кряста Кокошулуй (Півнячий гребінь) – хранитель Асоціація ЕкоЛогік; </w:t>
      </w:r>
    </w:p>
    <w:p w:rsidR="00642FB4" w:rsidRDefault="00642FB4">
      <w:pPr>
        <w:numPr>
          <w:ilvl w:val="0"/>
          <w:numId w:val="11"/>
        </w:numPr>
        <w:autoSpaceDE w:val="0"/>
        <w:autoSpaceDN w:val="0"/>
        <w:adjustRightInd w:val="0"/>
        <w:spacing w:before="60" w:after="60" w:line="312" w:lineRule="auto"/>
        <w:ind w:left="1080"/>
        <w:jc w:val="both"/>
        <w:rPr>
          <w:rFonts w:eastAsia="Calibri" w:cs="Arial"/>
          <w:color w:val="000000"/>
        </w:rPr>
      </w:pPr>
      <w:r>
        <w:rPr>
          <w:color w:val="000000"/>
        </w:rPr>
        <w:t xml:space="preserve">ROSCI0092 Ігніш – адміністратор Національний парк Марамороські Гори; </w:t>
      </w:r>
    </w:p>
    <w:p w:rsidR="00642FB4" w:rsidRDefault="00642FB4">
      <w:pPr>
        <w:numPr>
          <w:ilvl w:val="0"/>
          <w:numId w:val="11"/>
        </w:numPr>
        <w:autoSpaceDE w:val="0"/>
        <w:autoSpaceDN w:val="0"/>
        <w:adjustRightInd w:val="0"/>
        <w:spacing w:before="60" w:after="60" w:line="312" w:lineRule="auto"/>
        <w:ind w:left="1080"/>
        <w:jc w:val="both"/>
        <w:rPr>
          <w:rFonts w:eastAsia="Calibri" w:cs="Arial"/>
          <w:color w:val="000000"/>
        </w:rPr>
      </w:pPr>
      <w:r>
        <w:rPr>
          <w:color w:val="000000"/>
        </w:rPr>
        <w:t xml:space="preserve">ROSCI0124  Марамороські Гори – адміністратор Національний парк Марамороські Гори; </w:t>
      </w:r>
    </w:p>
    <w:p w:rsidR="00642FB4" w:rsidRDefault="00642FB4">
      <w:pPr>
        <w:numPr>
          <w:ilvl w:val="0"/>
          <w:numId w:val="11"/>
        </w:numPr>
        <w:autoSpaceDE w:val="0"/>
        <w:autoSpaceDN w:val="0"/>
        <w:adjustRightInd w:val="0"/>
        <w:spacing w:before="60" w:after="60" w:line="312" w:lineRule="auto"/>
        <w:ind w:left="1080"/>
        <w:jc w:val="both"/>
        <w:rPr>
          <w:rFonts w:eastAsia="Calibri" w:cs="Arial"/>
          <w:color w:val="000000"/>
        </w:rPr>
      </w:pPr>
      <w:r>
        <w:rPr>
          <w:color w:val="000000"/>
        </w:rPr>
        <w:t xml:space="preserve">ROSCI0125  Гори Родней – адміністратор Національний парк Гори Родней; </w:t>
      </w:r>
    </w:p>
    <w:p w:rsidR="00642FB4" w:rsidRDefault="00642FB4">
      <w:pPr>
        <w:numPr>
          <w:ilvl w:val="0"/>
          <w:numId w:val="11"/>
        </w:numPr>
        <w:autoSpaceDE w:val="0"/>
        <w:autoSpaceDN w:val="0"/>
        <w:adjustRightInd w:val="0"/>
        <w:spacing w:before="60" w:after="60" w:line="312" w:lineRule="auto"/>
        <w:ind w:left="1080"/>
        <w:jc w:val="both"/>
        <w:rPr>
          <w:rFonts w:eastAsia="Calibri" w:cs="Arial"/>
          <w:color w:val="000000"/>
        </w:rPr>
      </w:pPr>
      <w:r>
        <w:rPr>
          <w:color w:val="000000"/>
        </w:rPr>
        <w:t xml:space="preserve">ROSCI0251 Верхня Тиса – хранитель Асоціація Heidenroslein; </w:t>
      </w:r>
    </w:p>
    <w:p w:rsidR="00642FB4" w:rsidRDefault="00642FB4">
      <w:pPr>
        <w:numPr>
          <w:ilvl w:val="0"/>
          <w:numId w:val="11"/>
        </w:numPr>
        <w:autoSpaceDE w:val="0"/>
        <w:autoSpaceDN w:val="0"/>
        <w:adjustRightInd w:val="0"/>
        <w:spacing w:before="60" w:after="60" w:line="312" w:lineRule="auto"/>
        <w:ind w:left="1080"/>
        <w:jc w:val="both"/>
        <w:rPr>
          <w:rFonts w:eastAsia="Calibri" w:cs="Arial"/>
          <w:color w:val="000000"/>
        </w:rPr>
      </w:pPr>
      <w:r>
        <w:rPr>
          <w:color w:val="000000"/>
        </w:rPr>
        <w:t xml:space="preserve">ROSCI0264 Долина Ізи та Пагорб Солован – адміністратор ТОВ Мірча Мара ТТ; </w:t>
      </w:r>
    </w:p>
    <w:p w:rsidR="00642FB4" w:rsidRDefault="00642FB4">
      <w:pPr>
        <w:numPr>
          <w:ilvl w:val="0"/>
          <w:numId w:val="11"/>
        </w:numPr>
        <w:autoSpaceDE w:val="0"/>
        <w:autoSpaceDN w:val="0"/>
        <w:adjustRightInd w:val="0"/>
        <w:spacing w:before="60" w:after="60" w:line="312" w:lineRule="auto"/>
        <w:ind w:left="1080"/>
        <w:jc w:val="both"/>
        <w:rPr>
          <w:rFonts w:eastAsia="Calibri" w:cs="Arial"/>
          <w:color w:val="000000"/>
        </w:rPr>
      </w:pPr>
      <w:r>
        <w:rPr>
          <w:color w:val="000000"/>
        </w:rPr>
        <w:t xml:space="preserve">ROSCI0192 Печера Мигурічі – повіти Марамуреш (10%) і Силаж, хранитель Місцева група дії Асоціація Долина Сомеша; </w:t>
      </w:r>
    </w:p>
    <w:p w:rsidR="00642FB4" w:rsidRDefault="00642FB4">
      <w:pPr>
        <w:numPr>
          <w:ilvl w:val="0"/>
          <w:numId w:val="11"/>
        </w:numPr>
        <w:autoSpaceDE w:val="0"/>
        <w:autoSpaceDN w:val="0"/>
        <w:adjustRightInd w:val="0"/>
        <w:spacing w:before="60" w:after="60" w:line="312" w:lineRule="auto"/>
        <w:ind w:left="1080"/>
        <w:jc w:val="both"/>
        <w:rPr>
          <w:rFonts w:eastAsia="Calibri" w:cs="Arial"/>
          <w:color w:val="000000"/>
        </w:rPr>
      </w:pPr>
      <w:r>
        <w:rPr>
          <w:color w:val="000000"/>
        </w:rPr>
        <w:t xml:space="preserve">ROSCI0275 Бирсиу Шомкута – повіти Марамуреш і Сату-Маре; </w:t>
      </w:r>
    </w:p>
    <w:p w:rsidR="00642FB4" w:rsidRDefault="00642FB4">
      <w:pPr>
        <w:numPr>
          <w:ilvl w:val="0"/>
          <w:numId w:val="11"/>
        </w:numPr>
        <w:autoSpaceDE w:val="0"/>
        <w:autoSpaceDN w:val="0"/>
        <w:adjustRightInd w:val="0"/>
        <w:spacing w:before="60" w:after="60" w:line="312" w:lineRule="auto"/>
        <w:ind w:left="1080"/>
        <w:jc w:val="both"/>
        <w:rPr>
          <w:rFonts w:eastAsia="Calibri" w:cs="Arial"/>
          <w:color w:val="000000"/>
        </w:rPr>
      </w:pPr>
      <w:r>
        <w:rPr>
          <w:color w:val="000000"/>
        </w:rPr>
        <w:t xml:space="preserve">ROSCI0285 Світські Ліси з Стримбу Биюц – хранитель WWF Програма Дунай Карпати; </w:t>
      </w:r>
    </w:p>
    <w:p w:rsidR="00642FB4" w:rsidRDefault="00642FB4">
      <w:pPr>
        <w:numPr>
          <w:ilvl w:val="0"/>
          <w:numId w:val="11"/>
        </w:numPr>
        <w:autoSpaceDE w:val="0"/>
        <w:autoSpaceDN w:val="0"/>
        <w:adjustRightInd w:val="0"/>
        <w:spacing w:before="60" w:after="60" w:line="312" w:lineRule="auto"/>
        <w:ind w:left="1080"/>
        <w:jc w:val="both"/>
        <w:rPr>
          <w:rFonts w:eastAsia="Calibri" w:cs="Arial"/>
          <w:color w:val="000000"/>
        </w:rPr>
      </w:pPr>
      <w:r>
        <w:rPr>
          <w:color w:val="000000"/>
        </w:rPr>
        <w:t xml:space="preserve">ROSCI0358 Прікоп Гута Чертезе – повіти Марамуреш і Сату-Маре – хранитель Асоціація Heidenroslein. </w:t>
      </w:r>
    </w:p>
    <w:p w:rsidR="00642FB4" w:rsidRDefault="00642FB4">
      <w:pPr>
        <w:spacing w:before="60" w:after="60" w:line="288" w:lineRule="auto"/>
        <w:jc w:val="both"/>
        <w:rPr>
          <w:rFonts w:cs="Arial"/>
        </w:rPr>
      </w:pPr>
    </w:p>
    <w:p w:rsidR="00642FB4" w:rsidRDefault="00642FB4">
      <w:pPr>
        <w:autoSpaceDE w:val="0"/>
        <w:autoSpaceDN w:val="0"/>
        <w:adjustRightInd w:val="0"/>
        <w:spacing w:line="288" w:lineRule="auto"/>
        <w:rPr>
          <w:rFonts w:eastAsia="EUAlbertina-Regular-Identity-H" w:cs="Arial"/>
          <w:b/>
          <w:i/>
        </w:rPr>
      </w:pPr>
    </w:p>
    <w:p w:rsidR="00642FB4" w:rsidRDefault="00642FB4">
      <w:pPr>
        <w:autoSpaceDE w:val="0"/>
        <w:autoSpaceDN w:val="0"/>
        <w:adjustRightInd w:val="0"/>
        <w:spacing w:line="288" w:lineRule="auto"/>
        <w:rPr>
          <w:rFonts w:eastAsia="EUAlbertina-Regular-Identity-H" w:cs="Arial"/>
          <w:b/>
          <w:i/>
        </w:rPr>
      </w:pPr>
    </w:p>
    <w:p w:rsidR="00642FB4" w:rsidRDefault="00642FB4">
      <w:pPr>
        <w:autoSpaceDE w:val="0"/>
        <w:autoSpaceDN w:val="0"/>
        <w:adjustRightInd w:val="0"/>
        <w:spacing w:line="288" w:lineRule="auto"/>
        <w:rPr>
          <w:rFonts w:eastAsia="EUAlbertina-Regular-Identity-H" w:cs="Arial"/>
          <w:b/>
          <w:i/>
        </w:rPr>
      </w:pPr>
    </w:p>
    <w:p w:rsidR="00642FB4" w:rsidRDefault="00642FB4">
      <w:pPr>
        <w:autoSpaceDE w:val="0"/>
        <w:autoSpaceDN w:val="0"/>
        <w:adjustRightInd w:val="0"/>
        <w:spacing w:line="288" w:lineRule="auto"/>
        <w:rPr>
          <w:rFonts w:eastAsia="EUAlbertina-Regular-Identity-H" w:cs="Arial"/>
          <w:b/>
          <w:i/>
        </w:rPr>
      </w:pPr>
    </w:p>
    <w:p w:rsidR="00642FB4" w:rsidRDefault="00642FB4">
      <w:pPr>
        <w:autoSpaceDE w:val="0"/>
        <w:autoSpaceDN w:val="0"/>
        <w:adjustRightInd w:val="0"/>
        <w:spacing w:line="288" w:lineRule="auto"/>
        <w:rPr>
          <w:rFonts w:eastAsia="EUAlbertina-Regular-Identity-H" w:cs="Arial"/>
          <w:b/>
          <w:i/>
        </w:rPr>
      </w:pPr>
      <w:r>
        <w:rPr>
          <w:b/>
          <w:i/>
        </w:rPr>
        <w:t>Повіт Сату-Маре</w:t>
      </w:r>
    </w:p>
    <w:p w:rsidR="00642FB4" w:rsidRDefault="00642FB4">
      <w:pPr>
        <w:autoSpaceDE w:val="0"/>
        <w:autoSpaceDN w:val="0"/>
        <w:adjustRightInd w:val="0"/>
        <w:spacing w:line="288" w:lineRule="auto"/>
        <w:rPr>
          <w:rFonts w:eastAsia="EUAlbertina-Regular-Identity-H" w:cs="Arial"/>
          <w:b/>
          <w:i/>
        </w:rPr>
      </w:pPr>
    </w:p>
    <w:p w:rsidR="00642FB4" w:rsidRDefault="00642FB4">
      <w:pPr>
        <w:spacing w:before="60" w:after="60" w:line="288" w:lineRule="auto"/>
        <w:jc w:val="both"/>
        <w:rPr>
          <w:rFonts w:cs="Arial"/>
        </w:rPr>
      </w:pPr>
    </w:p>
    <w:p w:rsidR="00642FB4" w:rsidRPr="002C0454" w:rsidRDefault="00F53AC7">
      <w:pPr>
        <w:spacing w:before="60" w:after="60" w:line="288" w:lineRule="auto"/>
        <w:ind w:firstLine="709"/>
        <w:jc w:val="both"/>
        <w:rPr>
          <w:rFonts w:cs="Arial"/>
        </w:rPr>
      </w:pPr>
      <w:r w:rsidRPr="002C0454">
        <w:rPr>
          <w:rFonts w:cs="Arial"/>
          <w:lang w:val="uk-UA"/>
        </w:rPr>
        <w:t xml:space="preserve">У повіті Сату Маре знаходять 5 зповідних зон локального значення </w:t>
      </w:r>
      <w:r w:rsidR="00642FB4" w:rsidRPr="002C0454">
        <w:rPr>
          <w:rFonts w:cs="Arial"/>
        </w:rPr>
        <w:t xml:space="preserve">SCI, </w:t>
      </w:r>
      <w:r w:rsidR="00642FB4" w:rsidRPr="002C0454">
        <w:rPr>
          <w:rFonts w:cs="Arial"/>
          <w:b/>
        </w:rPr>
        <w:t>2</w:t>
      </w:r>
      <w:r w:rsidR="00642FB4" w:rsidRPr="002C0454">
        <w:rPr>
          <w:rFonts w:cs="Arial"/>
        </w:rPr>
        <w:t xml:space="preserve"> </w:t>
      </w:r>
      <w:r w:rsidRPr="002C0454">
        <w:rPr>
          <w:rFonts w:cs="Arial"/>
          <w:lang w:val="uk-UA"/>
        </w:rPr>
        <w:t xml:space="preserve">з спеціальним режимом фауністичної охорони </w:t>
      </w:r>
      <w:r w:rsidR="00642FB4" w:rsidRPr="002C0454">
        <w:rPr>
          <w:rFonts w:cs="Arial"/>
        </w:rPr>
        <w:t xml:space="preserve">SPA </w:t>
      </w:r>
      <w:r w:rsidR="00C52F4A" w:rsidRPr="002C0454">
        <w:rPr>
          <w:rFonts w:cs="Arial"/>
          <w:lang w:val="uk-UA"/>
        </w:rPr>
        <w:t>і природні парки</w:t>
      </w:r>
      <w:r w:rsidR="00642FB4" w:rsidRPr="002C0454">
        <w:rPr>
          <w:rFonts w:cs="Arial"/>
        </w:rPr>
        <w:t xml:space="preserve">. </w:t>
      </w:r>
      <w:r w:rsidR="00C52F4A" w:rsidRPr="002C0454">
        <w:rPr>
          <w:rFonts w:cs="Arial"/>
          <w:lang w:val="uk-UA"/>
        </w:rPr>
        <w:t xml:space="preserve">Площа охоронних зон становить </w:t>
      </w:r>
      <w:r w:rsidR="00642FB4" w:rsidRPr="002C0454">
        <w:rPr>
          <w:rFonts w:cs="Arial"/>
        </w:rPr>
        <w:t xml:space="preserve">(%): 10,39 (45.902,16 </w:t>
      </w:r>
      <w:r w:rsidR="00C52F4A" w:rsidRPr="002C0454">
        <w:rPr>
          <w:rFonts w:cs="Arial"/>
          <w:lang w:val="uk-UA"/>
        </w:rPr>
        <w:t>Га</w:t>
      </w:r>
      <w:r w:rsidR="00642FB4" w:rsidRPr="002C0454">
        <w:rPr>
          <w:rFonts w:cs="Arial"/>
        </w:rPr>
        <w:t xml:space="preserve">).  </w:t>
      </w:r>
      <w:r w:rsidR="00C52F4A" w:rsidRPr="002C0454">
        <w:rPr>
          <w:rFonts w:cs="Arial"/>
          <w:lang w:val="uk-UA"/>
        </w:rPr>
        <w:t xml:space="preserve">НА рисунку </w:t>
      </w:r>
      <w:r w:rsidR="00C52F4A" w:rsidRPr="002C0454">
        <w:rPr>
          <w:rFonts w:cs="Arial"/>
          <w:b/>
          <w:lang w:val="uk-UA"/>
        </w:rPr>
        <w:t>5</w:t>
      </w:r>
      <w:r w:rsidR="00642FB4" w:rsidRPr="002C0454">
        <w:rPr>
          <w:rFonts w:cs="Arial"/>
          <w:b/>
        </w:rPr>
        <w:t>.3</w:t>
      </w:r>
      <w:r w:rsidR="00642FB4" w:rsidRPr="002C0454">
        <w:rPr>
          <w:rFonts w:cs="Arial"/>
        </w:rPr>
        <w:t xml:space="preserve"> </w:t>
      </w:r>
      <w:r w:rsidR="00C52F4A" w:rsidRPr="002C0454">
        <w:rPr>
          <w:rFonts w:cs="Arial"/>
          <w:lang w:val="uk-UA"/>
        </w:rPr>
        <w:t xml:space="preserve">зображено розміщення </w:t>
      </w:r>
      <w:r w:rsidR="00642FB4" w:rsidRPr="002C0454">
        <w:rPr>
          <w:rFonts w:cs="Arial"/>
        </w:rPr>
        <w:t xml:space="preserve"> SCI, SPA </w:t>
      </w:r>
      <w:r w:rsidR="00C52F4A" w:rsidRPr="002C0454">
        <w:rPr>
          <w:rFonts w:cs="Arial"/>
          <w:lang w:val="uk-UA"/>
        </w:rPr>
        <w:t>та природних парків на території повіту Сату Маре</w:t>
      </w:r>
      <w:r w:rsidR="00642FB4" w:rsidRPr="002C0454">
        <w:rPr>
          <w:rFonts w:cs="Arial"/>
        </w:rPr>
        <w:t>.</w:t>
      </w:r>
    </w:p>
    <w:p w:rsidR="00642FB4" w:rsidRDefault="00C52F4A">
      <w:pPr>
        <w:spacing w:before="60" w:after="60" w:line="288" w:lineRule="auto"/>
        <w:ind w:firstLine="709"/>
        <w:jc w:val="both"/>
        <w:rPr>
          <w:rFonts w:cs="Arial"/>
        </w:rPr>
      </w:pPr>
      <w:r w:rsidRPr="002C0454">
        <w:rPr>
          <w:rFonts w:cs="Arial"/>
          <w:i/>
          <w:lang w:val="uk-UA"/>
        </w:rPr>
        <w:t xml:space="preserve">Охоронні території національного значення повіту Сату Маре </w:t>
      </w:r>
      <w:r w:rsidR="00642FB4" w:rsidRPr="002C0454">
        <w:rPr>
          <w:rFonts w:cs="Arial"/>
        </w:rPr>
        <w:t xml:space="preserve">: </w:t>
      </w:r>
      <w:r w:rsidRPr="002C0454">
        <w:rPr>
          <w:rFonts w:cs="Arial"/>
          <w:lang w:val="uk-UA"/>
        </w:rPr>
        <w:t>Піскові дюни Фоєні, Млаштіна Вермеш, Тіновеле де Мунц Оаш, Ліс Урзічені, Річка Тур, Падуреа ку пінь Комжа</w:t>
      </w:r>
      <w:r w:rsidR="00642FB4" w:rsidRPr="002C0454">
        <w:rPr>
          <w:rFonts w:cs="Arial"/>
        </w:rPr>
        <w:t>.</w:t>
      </w:r>
      <w:r w:rsidR="00642FB4">
        <w:rPr>
          <w:rFonts w:cs="Arial"/>
        </w:rPr>
        <w:t xml:space="preserve"> </w:t>
      </w:r>
    </w:p>
    <w:p w:rsidR="00642FB4" w:rsidRDefault="00642FB4">
      <w:pPr>
        <w:jc w:val="both"/>
        <w:rPr>
          <w:snapToGrid w:val="0"/>
          <w:position w:val="-6"/>
        </w:rPr>
        <w:sectPr w:rsidR="00642FB4">
          <w:headerReference w:type="default" r:id="rId44"/>
          <w:footerReference w:type="default" r:id="rId45"/>
          <w:pgSz w:w="11909" w:h="16834" w:code="9"/>
          <w:pgMar w:top="562" w:right="849" w:bottom="562" w:left="1138" w:header="288" w:footer="0" w:gutter="0"/>
          <w:cols w:space="708"/>
          <w:docGrid w:linePitch="360"/>
        </w:sectPr>
      </w:pPr>
    </w:p>
    <w:p w:rsidR="00642FB4" w:rsidRDefault="00642FB4">
      <w:pPr>
        <w:jc w:val="both"/>
        <w:rPr>
          <w:rFonts w:cs="Arial"/>
        </w:rPr>
      </w:pPr>
    </w:p>
    <w:p w:rsidR="00642FB4" w:rsidRDefault="001C33BE">
      <w:pPr>
        <w:jc w:val="center"/>
        <w:rPr>
          <w:snapToGrid w:val="0"/>
          <w:position w:val="-6"/>
        </w:rPr>
        <w:sectPr w:rsidR="00642FB4">
          <w:headerReference w:type="default" r:id="rId46"/>
          <w:footerReference w:type="default" r:id="rId47"/>
          <w:pgSz w:w="16834" w:h="11909" w:orient="landscape" w:code="9"/>
          <w:pgMar w:top="1138" w:right="849" w:bottom="475" w:left="562" w:header="288" w:footer="0" w:gutter="0"/>
          <w:cols w:space="708"/>
          <w:docGrid w:linePitch="360"/>
        </w:sectPr>
      </w:pPr>
      <w:r>
        <w:rPr>
          <w:noProof/>
          <w:position w:val="-6"/>
          <w:lang w:val="en-US" w:eastAsia="en-US"/>
        </w:rPr>
        <w:drawing>
          <wp:inline distT="0" distB="0" distL="0" distR="0" wp14:anchorId="35DE0F71" wp14:editId="2303214B">
            <wp:extent cx="7561580" cy="5359400"/>
            <wp:effectExtent l="19050" t="0" r="1270" b="0"/>
            <wp:docPr id="25" name="Рисунок 25" descr="SEA_Satu Mar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EA_Satu Mare_1"/>
                    <pic:cNvPicPr>
                      <a:picLocks noChangeAspect="1" noChangeArrowheads="1"/>
                    </pic:cNvPicPr>
                  </pic:nvPicPr>
                  <pic:blipFill>
                    <a:blip r:embed="rId48" cstate="print"/>
                    <a:srcRect/>
                    <a:stretch>
                      <a:fillRect/>
                    </a:stretch>
                  </pic:blipFill>
                  <pic:spPr bwMode="auto">
                    <a:xfrm>
                      <a:off x="0" y="0"/>
                      <a:ext cx="7561580" cy="5359400"/>
                    </a:xfrm>
                    <a:prstGeom prst="rect">
                      <a:avLst/>
                    </a:prstGeom>
                    <a:noFill/>
                    <a:ln w="9525">
                      <a:noFill/>
                      <a:miter lim="800000"/>
                      <a:headEnd/>
                      <a:tailEnd/>
                    </a:ln>
                  </pic:spPr>
                </pic:pic>
              </a:graphicData>
            </a:graphic>
          </wp:inline>
        </w:drawing>
      </w:r>
    </w:p>
    <w:p w:rsidR="00642FB4" w:rsidRDefault="00642FB4">
      <w:pPr>
        <w:numPr>
          <w:ilvl w:val="0"/>
          <w:numId w:val="13"/>
        </w:numPr>
        <w:autoSpaceDE w:val="0"/>
        <w:autoSpaceDN w:val="0"/>
        <w:adjustRightInd w:val="0"/>
        <w:spacing w:before="60" w:after="60" w:line="288" w:lineRule="auto"/>
        <w:ind w:hanging="284"/>
        <w:jc w:val="both"/>
        <w:rPr>
          <w:rFonts w:eastAsia="Calibri" w:cs="Arial"/>
          <w:color w:val="000000"/>
        </w:rPr>
      </w:pPr>
      <w:r>
        <w:rPr>
          <w:b/>
          <w:color w:val="000000"/>
        </w:rPr>
        <w:t xml:space="preserve">ОСОБЛИВО ОХОРОНЮВАНІ ТЕРИТОРІЇ  – SPA </w:t>
      </w:r>
    </w:p>
    <w:p w:rsidR="00642FB4" w:rsidRDefault="00642FB4">
      <w:pPr>
        <w:autoSpaceDE w:val="0"/>
        <w:autoSpaceDN w:val="0"/>
        <w:adjustRightInd w:val="0"/>
        <w:spacing w:before="60" w:after="60" w:line="288" w:lineRule="auto"/>
        <w:jc w:val="both"/>
        <w:rPr>
          <w:rFonts w:eastAsia="Calibri" w:cs="Arial"/>
          <w:color w:val="000000"/>
        </w:rPr>
      </w:pPr>
    </w:p>
    <w:p w:rsidR="00642FB4" w:rsidRDefault="00642FB4">
      <w:pPr>
        <w:autoSpaceDE w:val="0"/>
        <w:autoSpaceDN w:val="0"/>
        <w:adjustRightInd w:val="0"/>
        <w:spacing w:before="60" w:after="60" w:line="288" w:lineRule="auto"/>
        <w:ind w:firstLine="720"/>
        <w:jc w:val="both"/>
        <w:rPr>
          <w:rFonts w:eastAsia="Calibri" w:cs="Arial"/>
          <w:color w:val="000000"/>
        </w:rPr>
      </w:pPr>
      <w:r>
        <w:rPr>
          <w:color w:val="000000"/>
        </w:rPr>
        <w:t xml:space="preserve">У повіті Сату-Маре, оголошено </w:t>
      </w:r>
      <w:r>
        <w:rPr>
          <w:b/>
          <w:color w:val="000000"/>
        </w:rPr>
        <w:t>2 Особливо охоронювані території</w:t>
      </w:r>
      <w:r>
        <w:rPr>
          <w:color w:val="000000"/>
        </w:rPr>
        <w:t xml:space="preserve">. </w:t>
      </w:r>
    </w:p>
    <w:p w:rsidR="00642FB4" w:rsidRDefault="00642FB4">
      <w:pPr>
        <w:autoSpaceDE w:val="0"/>
        <w:autoSpaceDN w:val="0"/>
        <w:adjustRightInd w:val="0"/>
        <w:jc w:val="both"/>
        <w:rPr>
          <w:rFonts w:eastAsia="Calibri" w:cs="Arial"/>
          <w:color w:val="000000"/>
        </w:rPr>
      </w:pPr>
    </w:p>
    <w:p w:rsidR="00642FB4" w:rsidRDefault="00642FB4">
      <w:pPr>
        <w:numPr>
          <w:ilvl w:val="0"/>
          <w:numId w:val="12"/>
        </w:numPr>
        <w:autoSpaceDE w:val="0"/>
        <w:autoSpaceDN w:val="0"/>
        <w:adjustRightInd w:val="0"/>
        <w:spacing w:before="60" w:after="60" w:line="288" w:lineRule="auto"/>
        <w:ind w:left="1080"/>
        <w:jc w:val="both"/>
        <w:rPr>
          <w:rFonts w:eastAsia="Calibri" w:cs="Arial"/>
          <w:color w:val="000000"/>
        </w:rPr>
      </w:pPr>
      <w:r>
        <w:rPr>
          <w:b/>
          <w:color w:val="000000"/>
        </w:rPr>
        <w:t xml:space="preserve">ROSPA0016 Рівнина Нірулуй – Долина Єрулуй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color w:val="000000"/>
        </w:rPr>
        <w:t>Повіт Біхор:</w:t>
      </w:r>
      <w:r>
        <w:rPr>
          <w:color w:val="000000"/>
        </w:rPr>
        <w:t xml:space="preserve"> Керекіу (6%), Куртуюшень (32%), Силача (30%), Тарча (47%), Валя-луй-Міхай (47%), Шіміан (46%) . Повіт Сату-Маре: Андрід (42%), Карей (7%), Чумешть (76%), Киуаш (5%), Фоєнь (54%), Пір (18%), Пішколц (52%), Саніслиу (61%), Сантиу (15%), Тірям (37%), Урзічені (47%);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color w:val="000000"/>
        </w:rPr>
        <w:t>Площа:</w:t>
      </w:r>
      <w:r>
        <w:rPr>
          <w:color w:val="000000"/>
        </w:rPr>
        <w:t xml:space="preserve"> 38.682,1 га;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color w:val="000000"/>
        </w:rPr>
        <w:t>Загальний опис ділянки:</w:t>
      </w:r>
      <w:r>
        <w:rPr>
          <w:i/>
          <w:color w:val="000000"/>
        </w:rPr>
        <w:t xml:space="preserve"> </w:t>
      </w:r>
      <w:r>
        <w:rPr>
          <w:color w:val="000000"/>
        </w:rPr>
        <w:t>Материкові піски Рівнини Нірулуй тягнуться вздовж північно-західного кордону Румунії, що становить третину від загальної площі пісків в нашій країні. Рельєф Рівнини Нірулуй характеризується присутністю рядами піщаних дюн, направлених ПНПНС-ПДПДЗ та чергуються з низовинами іноді болотистими дюнними лощинами із закріпленим піском. Головні водотоки: струмки Беря, Валя Нягри, Хоря, Ганаші Моука. На території пісків є кілька озер і ставків, але з невеликими площами.</w:t>
      </w:r>
    </w:p>
    <w:p w:rsidR="00642FB4" w:rsidRDefault="00642FB4">
      <w:pPr>
        <w:autoSpaceDE w:val="0"/>
        <w:autoSpaceDN w:val="0"/>
        <w:adjustRightInd w:val="0"/>
        <w:spacing w:before="60" w:after="60" w:line="288" w:lineRule="auto"/>
        <w:jc w:val="both"/>
        <w:rPr>
          <w:rFonts w:eastAsia="Calibri" w:cs="Arial"/>
          <w:color w:val="000000"/>
        </w:rPr>
      </w:pPr>
    </w:p>
    <w:p w:rsidR="00642FB4" w:rsidRDefault="00642FB4">
      <w:pPr>
        <w:numPr>
          <w:ilvl w:val="0"/>
          <w:numId w:val="12"/>
        </w:numPr>
        <w:autoSpaceDE w:val="0"/>
        <w:autoSpaceDN w:val="0"/>
        <w:adjustRightInd w:val="0"/>
        <w:spacing w:before="60" w:after="60" w:line="288" w:lineRule="auto"/>
        <w:ind w:left="1080"/>
        <w:jc w:val="both"/>
        <w:rPr>
          <w:rFonts w:eastAsia="Calibri" w:cs="Arial"/>
          <w:color w:val="000000"/>
          <w:sz w:val="22"/>
          <w:szCs w:val="22"/>
        </w:rPr>
      </w:pPr>
      <w:r>
        <w:rPr>
          <w:b/>
          <w:color w:val="000000"/>
          <w:sz w:val="22"/>
        </w:rPr>
        <w:t xml:space="preserve">ROSPA0068 Нижній Луг річки Тур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color w:val="000000"/>
        </w:rPr>
        <w:t>Повіт Сату-Маре:</w:t>
      </w:r>
      <w:r>
        <w:rPr>
          <w:color w:val="000000"/>
        </w:rPr>
        <w:t xml:space="preserve"> Агріш (19%), Ботіз (&lt; 1%), Калінешті-Оаш (42%), Герці-Міки(34%), Халмеу (&lt; 1%), Лазурі (20%), Ливада (43%), Медієшу-Ауріт (15%), Мікула (54%), Орашу-Ноу (40%), Порумбешть (22%), Турулунг (40%), Турц (2%);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color w:val="000000"/>
        </w:rPr>
        <w:t>Площа:</w:t>
      </w:r>
      <w:r>
        <w:rPr>
          <w:b/>
          <w:color w:val="000000"/>
        </w:rPr>
        <w:t xml:space="preserve"> </w:t>
      </w:r>
      <w:r>
        <w:rPr>
          <w:color w:val="000000"/>
        </w:rPr>
        <w:t xml:space="preserve">20.126,5 га;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color w:val="000000"/>
        </w:rPr>
        <w:t>Загальний опис ділянки:</w:t>
      </w:r>
      <w:r>
        <w:rPr>
          <w:i/>
          <w:color w:val="000000"/>
        </w:rPr>
        <w:t xml:space="preserve"> </w:t>
      </w:r>
      <w:r>
        <w:rPr>
          <w:color w:val="000000"/>
        </w:rPr>
        <w:t xml:space="preserve">Басейн річки Тур розділений на дві основні одиниці рельєфу: гори (35%) та рівнина (65%);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color w:val="000000"/>
        </w:rPr>
        <w:t>Класи середовищ проживання:</w:t>
      </w:r>
      <w:r>
        <w:rPr>
          <w:i/>
          <w:color w:val="000000"/>
        </w:rPr>
        <w:t xml:space="preserve"> </w:t>
      </w:r>
      <w:r>
        <w:rPr>
          <w:color w:val="000000"/>
        </w:rPr>
        <w:t xml:space="preserve">ріки, озера, болота, торф'яники, культури (рілля), луки, інші орні землі, листяні ліси;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color w:val="000000"/>
        </w:rPr>
        <w:t>Якість і значимість:</w:t>
      </w:r>
      <w:r>
        <w:rPr>
          <w:b/>
          <w:color w:val="000000"/>
        </w:rPr>
        <w:t xml:space="preserve"> </w:t>
      </w:r>
      <w:r>
        <w:rPr>
          <w:color w:val="000000"/>
        </w:rPr>
        <w:t>Цей район є зелений коридор, який представляє азональну рослинність з рідкісною флорою поряд багатою спонтанною флорою. Тут дуже добре представлені фауна, рептилії, земноводні, безхребетні. Луг р. Тур має багату ентомофауну з дуже рідкісними видами метеликів. Під час міграцій ставки стають місцями зупинки для перелітних птахів. Тут можна спостерігати за сумішу аборигенних видів з видами північних ареалів (деякі з них рідкісні орнітологічні або вразливі види). Види глобального інтересу збереження – 1 вид: Деркач (</w:t>
      </w:r>
      <w:r>
        <w:rPr>
          <w:i/>
          <w:color w:val="000000"/>
        </w:rPr>
        <w:t>Crex crex</w:t>
      </w:r>
      <w:r>
        <w:rPr>
          <w:color w:val="000000"/>
        </w:rPr>
        <w:t>). Значні популяції зникаючих видів у Європейському Союзі – 4 види: Шуліка чорний (</w:t>
      </w:r>
      <w:r>
        <w:rPr>
          <w:i/>
          <w:color w:val="000000"/>
        </w:rPr>
        <w:t>Milvus migrans</w:t>
      </w:r>
      <w:r>
        <w:rPr>
          <w:color w:val="000000"/>
        </w:rPr>
        <w:t>), Острівний цвіркун (</w:t>
      </w:r>
      <w:r>
        <w:rPr>
          <w:i/>
          <w:color w:val="000000"/>
        </w:rPr>
        <w:t>Acrocephalus melanopogon</w:t>
      </w:r>
      <w:r>
        <w:rPr>
          <w:color w:val="000000"/>
        </w:rPr>
        <w:t>), Лелека чорний (</w:t>
      </w:r>
      <w:r>
        <w:rPr>
          <w:i/>
          <w:color w:val="000000"/>
        </w:rPr>
        <w:t>Ciconia nigra</w:t>
      </w:r>
      <w:r>
        <w:rPr>
          <w:color w:val="000000"/>
        </w:rPr>
        <w:t>), Лунь очеретяний (</w:t>
      </w:r>
      <w:r>
        <w:rPr>
          <w:i/>
          <w:color w:val="000000"/>
        </w:rPr>
        <w:t>Circus aeruginosus</w:t>
      </w:r>
      <w:r>
        <w:rPr>
          <w:color w:val="000000"/>
        </w:rPr>
        <w:t>).</w:t>
      </w:r>
    </w:p>
    <w:p w:rsidR="00642FB4" w:rsidRDefault="00642FB4">
      <w:pPr>
        <w:autoSpaceDE w:val="0"/>
        <w:autoSpaceDN w:val="0"/>
        <w:adjustRightInd w:val="0"/>
        <w:spacing w:before="60" w:after="60" w:line="288" w:lineRule="auto"/>
        <w:ind w:firstLine="720"/>
        <w:jc w:val="both"/>
        <w:rPr>
          <w:rFonts w:eastAsia="Calibri" w:cs="Arial"/>
          <w:color w:val="000000"/>
        </w:rPr>
      </w:pPr>
    </w:p>
    <w:p w:rsidR="00642FB4" w:rsidRDefault="00642FB4">
      <w:pPr>
        <w:autoSpaceDE w:val="0"/>
        <w:autoSpaceDN w:val="0"/>
        <w:adjustRightInd w:val="0"/>
        <w:spacing w:before="60" w:after="60" w:line="288" w:lineRule="auto"/>
        <w:ind w:firstLine="720"/>
        <w:jc w:val="both"/>
        <w:rPr>
          <w:rFonts w:eastAsia="Calibri" w:cs="Arial"/>
          <w:color w:val="000000"/>
        </w:rPr>
      </w:pPr>
    </w:p>
    <w:p w:rsidR="00642FB4" w:rsidRDefault="00642FB4">
      <w:pPr>
        <w:autoSpaceDE w:val="0"/>
        <w:autoSpaceDN w:val="0"/>
        <w:adjustRightInd w:val="0"/>
        <w:spacing w:before="60" w:after="60" w:line="288" w:lineRule="auto"/>
        <w:ind w:firstLine="720"/>
        <w:jc w:val="both"/>
        <w:rPr>
          <w:rFonts w:eastAsia="Calibri" w:cs="Arial"/>
          <w:color w:val="000000"/>
        </w:rPr>
      </w:pPr>
    </w:p>
    <w:p w:rsidR="00642FB4" w:rsidRDefault="00642FB4">
      <w:pPr>
        <w:autoSpaceDE w:val="0"/>
        <w:autoSpaceDN w:val="0"/>
        <w:adjustRightInd w:val="0"/>
        <w:spacing w:before="60" w:after="60" w:line="288" w:lineRule="auto"/>
        <w:ind w:firstLine="720"/>
        <w:jc w:val="both"/>
        <w:rPr>
          <w:rFonts w:eastAsia="Calibri" w:cs="Arial"/>
          <w:color w:val="000000"/>
        </w:rPr>
      </w:pPr>
    </w:p>
    <w:p w:rsidR="00642FB4" w:rsidRDefault="00642FB4">
      <w:pPr>
        <w:autoSpaceDE w:val="0"/>
        <w:autoSpaceDN w:val="0"/>
        <w:adjustRightInd w:val="0"/>
        <w:spacing w:before="60" w:after="60" w:line="288" w:lineRule="auto"/>
        <w:ind w:firstLine="720"/>
        <w:jc w:val="both"/>
        <w:rPr>
          <w:rFonts w:eastAsia="Calibri" w:cs="Arial"/>
          <w:color w:val="000000"/>
        </w:rPr>
      </w:pPr>
    </w:p>
    <w:p w:rsidR="00642FB4" w:rsidRDefault="00642FB4">
      <w:pPr>
        <w:spacing w:before="60" w:after="60" w:line="288" w:lineRule="auto"/>
        <w:jc w:val="both"/>
        <w:rPr>
          <w:rFonts w:cs="Arial"/>
        </w:rPr>
      </w:pPr>
    </w:p>
    <w:p w:rsidR="00642FB4" w:rsidRDefault="00642FB4">
      <w:pPr>
        <w:numPr>
          <w:ilvl w:val="0"/>
          <w:numId w:val="13"/>
        </w:numPr>
        <w:autoSpaceDE w:val="0"/>
        <w:autoSpaceDN w:val="0"/>
        <w:adjustRightInd w:val="0"/>
        <w:spacing w:before="60" w:after="60" w:line="288" w:lineRule="auto"/>
        <w:ind w:left="1080" w:hanging="360"/>
        <w:jc w:val="both"/>
        <w:rPr>
          <w:rFonts w:eastAsia="Calibri" w:cs="Arial"/>
          <w:color w:val="000000"/>
        </w:rPr>
      </w:pPr>
      <w:r>
        <w:rPr>
          <w:b/>
          <w:color w:val="000000"/>
        </w:rPr>
        <w:t xml:space="preserve">ДІЛЯНКИ КОМУНІТАРНОГО ЗНАЧЕННЯ-SCI </w:t>
      </w:r>
    </w:p>
    <w:p w:rsidR="00642FB4" w:rsidRDefault="00642FB4">
      <w:pPr>
        <w:autoSpaceDE w:val="0"/>
        <w:autoSpaceDN w:val="0"/>
        <w:adjustRightInd w:val="0"/>
        <w:spacing w:before="60" w:after="60" w:line="288" w:lineRule="auto"/>
        <w:ind w:left="1080"/>
        <w:jc w:val="both"/>
        <w:rPr>
          <w:rFonts w:eastAsia="Calibri" w:cs="Arial"/>
          <w:color w:val="000000"/>
        </w:rPr>
      </w:pPr>
    </w:p>
    <w:p w:rsidR="00642FB4" w:rsidRDefault="00642FB4">
      <w:pPr>
        <w:spacing w:before="60" w:after="60" w:line="288" w:lineRule="auto"/>
        <w:ind w:firstLine="720"/>
        <w:jc w:val="both"/>
        <w:rPr>
          <w:rFonts w:eastAsia="Calibri" w:cs="Arial"/>
          <w:color w:val="000000"/>
        </w:rPr>
      </w:pPr>
      <w:r>
        <w:rPr>
          <w:color w:val="000000"/>
        </w:rPr>
        <w:t>На даний час у повіті Сату-Маре існує 5 Ділянок комунітарного значення.</w:t>
      </w:r>
    </w:p>
    <w:p w:rsidR="00642FB4" w:rsidRDefault="00642FB4">
      <w:pPr>
        <w:autoSpaceDE w:val="0"/>
        <w:autoSpaceDN w:val="0"/>
        <w:adjustRightInd w:val="0"/>
        <w:spacing w:before="60" w:after="60" w:line="288" w:lineRule="auto"/>
        <w:jc w:val="both"/>
        <w:rPr>
          <w:rFonts w:ascii="Wingdings" w:eastAsia="Calibri" w:hAnsi="Wingdings" w:cs="Wingdings"/>
          <w:color w:val="000000"/>
        </w:rPr>
      </w:pPr>
    </w:p>
    <w:p w:rsidR="00642FB4" w:rsidRDefault="00642FB4">
      <w:pPr>
        <w:numPr>
          <w:ilvl w:val="0"/>
          <w:numId w:val="12"/>
        </w:numPr>
        <w:autoSpaceDE w:val="0"/>
        <w:autoSpaceDN w:val="0"/>
        <w:adjustRightInd w:val="0"/>
        <w:spacing w:before="60" w:after="60" w:line="288" w:lineRule="auto"/>
        <w:ind w:left="1080"/>
        <w:jc w:val="both"/>
        <w:rPr>
          <w:rFonts w:eastAsia="Calibri" w:cs="Arial"/>
          <w:color w:val="000000"/>
        </w:rPr>
      </w:pPr>
      <w:r>
        <w:rPr>
          <w:b/>
          <w:color w:val="000000"/>
        </w:rPr>
        <w:t xml:space="preserve">ROSCI0020 Рівнина Карею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color w:val="000000"/>
        </w:rPr>
        <w:t>Повіт Сату-Маре:</w:t>
      </w:r>
      <w:r>
        <w:rPr>
          <w:b/>
          <w:color w:val="000000"/>
        </w:rPr>
        <w:t xml:space="preserve"> </w:t>
      </w:r>
      <w:r>
        <w:rPr>
          <w:color w:val="000000"/>
        </w:rPr>
        <w:t>Чумешть (73%), Фоєнь (51%), Пішколц (47%), Саніслиу (58%), Урзічені (47%);</w:t>
      </w:r>
    </w:p>
    <w:p w:rsidR="00642FB4" w:rsidRDefault="00642FB4">
      <w:pPr>
        <w:autoSpaceDE w:val="0"/>
        <w:autoSpaceDN w:val="0"/>
        <w:adjustRightInd w:val="0"/>
        <w:spacing w:before="60" w:after="60" w:line="288" w:lineRule="auto"/>
        <w:ind w:firstLine="720"/>
        <w:jc w:val="both"/>
        <w:rPr>
          <w:rFonts w:eastAsia="Calibri" w:cs="Arial"/>
          <w:color w:val="000000"/>
        </w:rPr>
      </w:pPr>
      <w:r>
        <w:rPr>
          <w:b/>
          <w:i/>
          <w:color w:val="000000"/>
        </w:rPr>
        <w:t>Повіт Біхор:</w:t>
      </w:r>
      <w:r>
        <w:rPr>
          <w:b/>
          <w:color w:val="000000"/>
        </w:rPr>
        <w:t xml:space="preserve"> </w:t>
      </w:r>
      <w:r>
        <w:rPr>
          <w:color w:val="000000"/>
        </w:rPr>
        <w:t>Куртуішень (28%), Валя-луй-Міхай (47%), Шіміан (40%);</w:t>
      </w:r>
    </w:p>
    <w:p w:rsidR="00642FB4" w:rsidRDefault="00642FB4">
      <w:pPr>
        <w:autoSpaceDE w:val="0"/>
        <w:autoSpaceDN w:val="0"/>
        <w:adjustRightInd w:val="0"/>
        <w:spacing w:before="60" w:after="60" w:line="288" w:lineRule="auto"/>
        <w:ind w:firstLine="720"/>
        <w:jc w:val="both"/>
        <w:rPr>
          <w:rFonts w:eastAsia="Calibri" w:cs="Arial"/>
          <w:color w:val="000000"/>
        </w:rPr>
      </w:pPr>
      <w:r>
        <w:rPr>
          <w:b/>
          <w:i/>
          <w:color w:val="000000"/>
        </w:rPr>
        <w:t>Види середовищ проживання:</w:t>
      </w:r>
      <w:r>
        <w:rPr>
          <w:color w:val="000000"/>
        </w:rPr>
        <w:t xml:space="preserve"> 2190 – Вологі низини з дюнними лощинами із закріпленим піском; 2340* - дюни паннонські; 3260 – Водотоки на рівнині до гірського поверху, з рослинністю </w:t>
      </w:r>
      <w:r>
        <w:rPr>
          <w:i/>
          <w:color w:val="000000"/>
        </w:rPr>
        <w:t xml:space="preserve">Ranunculion fluitantis </w:t>
      </w:r>
      <w:r>
        <w:rPr>
          <w:color w:val="000000"/>
        </w:rPr>
        <w:t xml:space="preserve">і </w:t>
      </w:r>
      <w:r>
        <w:rPr>
          <w:i/>
          <w:color w:val="000000"/>
        </w:rPr>
        <w:t>Callitricho-Batrachion</w:t>
      </w:r>
      <w:r>
        <w:rPr>
          <w:color w:val="000000"/>
        </w:rPr>
        <w:t xml:space="preserve">; 3270 – Річки з мулистими берегами з рослинністю </w:t>
      </w:r>
      <w:r>
        <w:rPr>
          <w:i/>
          <w:color w:val="000000"/>
        </w:rPr>
        <w:t xml:space="preserve">Chenopodion </w:t>
      </w:r>
      <w:r>
        <w:rPr>
          <w:rFonts w:eastAsia="Calibri" w:cs="Arial"/>
          <w:i/>
          <w:iCs/>
          <w:color w:val="000000"/>
        </w:rPr>
        <w:pgNum/>
      </w:r>
      <w:r>
        <w:rPr>
          <w:i/>
          <w:color w:val="000000"/>
        </w:rPr>
        <w:t xml:space="preserve">arieg </w:t>
      </w:r>
      <w:r>
        <w:rPr>
          <w:color w:val="000000"/>
        </w:rPr>
        <w:t xml:space="preserve">і </w:t>
      </w:r>
      <w:r>
        <w:rPr>
          <w:i/>
          <w:color w:val="000000"/>
        </w:rPr>
        <w:t xml:space="preserve">Bidention </w:t>
      </w:r>
      <w:r>
        <w:rPr>
          <w:color w:val="000000"/>
        </w:rPr>
        <w:t xml:space="preserve">; 6120* - вологозберігаючі луки на вапняних пісках; 6410 – Пасовища з </w:t>
      </w:r>
      <w:r>
        <w:rPr>
          <w:i/>
          <w:color w:val="000000"/>
        </w:rPr>
        <w:t xml:space="preserve">Molinia </w:t>
      </w:r>
      <w:r>
        <w:rPr>
          <w:color w:val="000000"/>
        </w:rPr>
        <w:t>на вапняних, торф'яних ґрунтів або суглинках (</w:t>
      </w:r>
      <w:r>
        <w:rPr>
          <w:i/>
          <w:color w:val="000000"/>
        </w:rPr>
        <w:t>Molinion caeruleae</w:t>
      </w:r>
      <w:r>
        <w:rPr>
          <w:color w:val="000000"/>
        </w:rPr>
        <w:t xml:space="preserve">); 6430 – узлісся з високими травами теплолюбними від рівнин до високих гір; 6440 – Алювіальні луки з </w:t>
      </w:r>
      <w:r>
        <w:rPr>
          <w:i/>
          <w:color w:val="000000"/>
        </w:rPr>
        <w:t>Cnidion dubii</w:t>
      </w:r>
      <w:r>
        <w:rPr>
          <w:color w:val="000000"/>
        </w:rPr>
        <w:t>; 6510 – Низькі луки (</w:t>
      </w:r>
      <w:r>
        <w:rPr>
          <w:i/>
          <w:color w:val="000000"/>
        </w:rPr>
        <w:t>Alopecurus pratensis, Sanguisorba officinalis</w:t>
      </w:r>
      <w:r>
        <w:rPr>
          <w:color w:val="000000"/>
        </w:rPr>
        <w:t xml:space="preserve">); 91F0 – змішані прибережні ліси з </w:t>
      </w:r>
      <w:r>
        <w:rPr>
          <w:i/>
          <w:color w:val="000000"/>
        </w:rPr>
        <w:t xml:space="preserve">Quercus robur, Ulmus laevis, Fraxinus excelsior </w:t>
      </w:r>
      <w:r>
        <w:rPr>
          <w:color w:val="000000"/>
        </w:rPr>
        <w:t xml:space="preserve">чи </w:t>
      </w:r>
      <w:r>
        <w:rPr>
          <w:i/>
          <w:color w:val="000000"/>
        </w:rPr>
        <w:t>Fraxinus angustifolia</w:t>
      </w:r>
      <w:r>
        <w:rPr>
          <w:color w:val="000000"/>
        </w:rPr>
        <w:t>, вздовж великих річок (</w:t>
      </w:r>
      <w:r>
        <w:rPr>
          <w:i/>
          <w:color w:val="000000"/>
        </w:rPr>
        <w:t>Ulmenion minoris</w:t>
      </w:r>
      <w:r>
        <w:rPr>
          <w:color w:val="000000"/>
        </w:rPr>
        <w:t xml:space="preserve">); 91I0* - Степова євросибірська рослинність з </w:t>
      </w:r>
      <w:r>
        <w:rPr>
          <w:i/>
          <w:color w:val="000000"/>
        </w:rPr>
        <w:t xml:space="preserve">Quercus </w:t>
      </w:r>
      <w:r>
        <w:rPr>
          <w:color w:val="000000"/>
        </w:rPr>
        <w:t xml:space="preserve">spp.; 92A0 – Рощі з </w:t>
      </w:r>
      <w:r>
        <w:rPr>
          <w:i/>
          <w:color w:val="000000"/>
        </w:rPr>
        <w:t xml:space="preserve">Salix alba </w:t>
      </w:r>
      <w:r>
        <w:rPr>
          <w:color w:val="000000"/>
        </w:rPr>
        <w:t xml:space="preserve">şi </w:t>
      </w:r>
      <w:r>
        <w:rPr>
          <w:i/>
          <w:color w:val="000000"/>
        </w:rPr>
        <w:t xml:space="preserve">Populus alba;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rPr>
        <w:t>Види ссавців:</w:t>
      </w:r>
      <w:r>
        <w:rPr>
          <w:i/>
          <w:color w:val="000000"/>
        </w:rPr>
        <w:t xml:space="preserve"> </w:t>
      </w:r>
      <w:r>
        <w:rPr>
          <w:color w:val="000000"/>
        </w:rPr>
        <w:t xml:space="preserve">1335 – </w:t>
      </w:r>
      <w:r>
        <w:rPr>
          <w:i/>
          <w:color w:val="000000"/>
        </w:rPr>
        <w:t xml:space="preserve">Spermophilus citellus </w:t>
      </w:r>
      <w:r>
        <w:rPr>
          <w:color w:val="000000"/>
        </w:rPr>
        <w:t xml:space="preserve">(Хом'як);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rPr>
        <w:t>Види амфібій і рептилій:</w:t>
      </w:r>
      <w:r>
        <w:rPr>
          <w:color w:val="000000"/>
        </w:rPr>
        <w:t xml:space="preserve"> 1188 – </w:t>
      </w:r>
      <w:r>
        <w:rPr>
          <w:i/>
          <w:color w:val="000000"/>
        </w:rPr>
        <w:t xml:space="preserve">Bombina </w:t>
      </w:r>
      <w:r>
        <w:rPr>
          <w:color w:val="000000"/>
        </w:rPr>
        <w:t xml:space="preserve">(Кумка); 1220 – </w:t>
      </w:r>
      <w:r>
        <w:rPr>
          <w:i/>
          <w:color w:val="000000"/>
        </w:rPr>
        <w:t xml:space="preserve">Emys orbicularis </w:t>
      </w:r>
      <w:r>
        <w:rPr>
          <w:color w:val="000000"/>
        </w:rPr>
        <w:t xml:space="preserve">(Європейська болотна черепаха); 1166 – </w:t>
      </w:r>
      <w:r>
        <w:rPr>
          <w:i/>
          <w:color w:val="000000"/>
        </w:rPr>
        <w:t xml:space="preserve">Triturus cristatus </w:t>
      </w:r>
      <w:r>
        <w:rPr>
          <w:color w:val="000000"/>
        </w:rPr>
        <w:t xml:space="preserve">(Тритон гребінчастий); 1993 – </w:t>
      </w:r>
      <w:r>
        <w:rPr>
          <w:i/>
          <w:color w:val="000000"/>
        </w:rPr>
        <w:t xml:space="preserve">Triturus dobrogicus </w:t>
      </w:r>
      <w:r>
        <w:rPr>
          <w:color w:val="000000"/>
        </w:rPr>
        <w:t xml:space="preserve">(Тритон дунайський);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color w:val="000000"/>
        </w:rPr>
        <w:t>Види риб:</w:t>
      </w:r>
      <w:r>
        <w:rPr>
          <w:b/>
          <w:color w:val="000000"/>
        </w:rPr>
        <w:t xml:space="preserve"> </w:t>
      </w:r>
      <w:r>
        <w:rPr>
          <w:color w:val="000000"/>
        </w:rPr>
        <w:t xml:space="preserve">1149 – </w:t>
      </w:r>
      <w:r>
        <w:rPr>
          <w:i/>
          <w:color w:val="000000"/>
        </w:rPr>
        <w:t xml:space="preserve">Cobitis taenia </w:t>
      </w:r>
      <w:r>
        <w:rPr>
          <w:color w:val="000000"/>
        </w:rPr>
        <w:t xml:space="preserve">(Щипавка звичайна); 1145 – </w:t>
      </w:r>
      <w:r>
        <w:rPr>
          <w:i/>
          <w:color w:val="000000"/>
        </w:rPr>
        <w:t xml:space="preserve">Misgurnus fossilis </w:t>
      </w:r>
      <w:r>
        <w:rPr>
          <w:color w:val="000000"/>
        </w:rPr>
        <w:t xml:space="preserve">(В'юн звичайний); 1134 – </w:t>
      </w:r>
      <w:r>
        <w:rPr>
          <w:i/>
          <w:color w:val="000000"/>
        </w:rPr>
        <w:t>Rhodeus sericeus amarus</w:t>
      </w:r>
      <w:r>
        <w:rPr>
          <w:color w:val="000000"/>
        </w:rPr>
        <w:t xml:space="preserve">(Гірчак європейський); 2011 – </w:t>
      </w:r>
      <w:r>
        <w:rPr>
          <w:i/>
          <w:color w:val="000000"/>
        </w:rPr>
        <w:t xml:space="preserve">Umbra krameri </w:t>
      </w:r>
      <w:r>
        <w:rPr>
          <w:color w:val="000000"/>
        </w:rPr>
        <w:t xml:space="preserve">(Умбра звичайна);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rPr>
        <w:t>Види безхребетних</w:t>
      </w:r>
      <w:r>
        <w:t>:</w:t>
      </w:r>
      <w:r>
        <w:rPr>
          <w:color w:val="000000"/>
        </w:rPr>
        <w:t xml:space="preserve"> 1088 – </w:t>
      </w:r>
      <w:r>
        <w:rPr>
          <w:i/>
          <w:color w:val="000000"/>
        </w:rPr>
        <w:t xml:space="preserve">Cerambyx cerdo </w:t>
      </w:r>
      <w:r>
        <w:rPr>
          <w:color w:val="000000"/>
        </w:rPr>
        <w:t xml:space="preserve">(Вуса́ч дубо́вий вели́кий за́хідний); 1052 –  </w:t>
      </w:r>
      <w:r>
        <w:rPr>
          <w:i/>
          <w:color w:val="000000"/>
        </w:rPr>
        <w:t>Шашечниця велика</w:t>
      </w:r>
      <w:r>
        <w:rPr>
          <w:color w:val="000000"/>
        </w:rPr>
        <w:t>; 1083 –</w:t>
      </w:r>
      <w:r>
        <w:rPr>
          <w:i/>
          <w:color w:val="000000"/>
        </w:rPr>
        <w:t xml:space="preserve">Lucanus cervus </w:t>
      </w:r>
      <w:r>
        <w:rPr>
          <w:color w:val="000000"/>
        </w:rPr>
        <w:t xml:space="preserve">(Жук-олень); 1060 – </w:t>
      </w:r>
      <w:r>
        <w:rPr>
          <w:i/>
          <w:color w:val="000000"/>
        </w:rPr>
        <w:t>Синявець непаристий щавелевий</w:t>
      </w:r>
      <w:r>
        <w:rPr>
          <w:color w:val="000000"/>
        </w:rPr>
        <w:t xml:space="preserve">; 1059 – </w:t>
      </w:r>
      <w:r>
        <w:rPr>
          <w:i/>
          <w:color w:val="000000"/>
        </w:rPr>
        <w:t>Синявець родовиковий</w:t>
      </w:r>
      <w:r>
        <w:rPr>
          <w:color w:val="000000"/>
        </w:rPr>
        <w:t>; 4052 –</w:t>
      </w:r>
      <w:r>
        <w:rPr>
          <w:i/>
          <w:color w:val="000000"/>
        </w:rPr>
        <w:t xml:space="preserve">Odontopodisma rubripes </w:t>
      </w:r>
      <w:r>
        <w:rPr>
          <w:color w:val="000000"/>
        </w:rPr>
        <w:t xml:space="preserve">(кобилка червононога);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rPr>
        <w:t>Види рослин:</w:t>
      </w:r>
      <w:r>
        <w:rPr>
          <w:color w:val="000000"/>
        </w:rPr>
        <w:t xml:space="preserve"> 4068 – </w:t>
      </w:r>
      <w:r>
        <w:rPr>
          <w:i/>
          <w:color w:val="000000"/>
        </w:rPr>
        <w:t>Аденофо́ра лілієли́ста</w:t>
      </w:r>
      <w:r>
        <w:rPr>
          <w:color w:val="000000"/>
        </w:rPr>
        <w:t xml:space="preserve">; 1516 – </w:t>
      </w:r>
      <w:r>
        <w:rPr>
          <w:i/>
          <w:color w:val="000000"/>
        </w:rPr>
        <w:t xml:space="preserve">Aldrovanda vesiculosa </w:t>
      </w:r>
      <w:r>
        <w:rPr>
          <w:color w:val="000000"/>
        </w:rPr>
        <w:t xml:space="preserve">(Альдрова́нда пухи́рчаста); 1617 – </w:t>
      </w:r>
      <w:r>
        <w:rPr>
          <w:i/>
          <w:color w:val="000000"/>
        </w:rPr>
        <w:t xml:space="preserve">Angelica palustris </w:t>
      </w:r>
      <w:r>
        <w:rPr>
          <w:color w:val="000000"/>
        </w:rPr>
        <w:t xml:space="preserve">(Дудник болотний); 4081 – </w:t>
      </w:r>
      <w:r>
        <w:rPr>
          <w:i/>
          <w:color w:val="000000"/>
        </w:rPr>
        <w:t xml:space="preserve">Cirsium brachycephalum </w:t>
      </w:r>
      <w:r>
        <w:rPr>
          <w:color w:val="000000"/>
        </w:rPr>
        <w:t xml:space="preserve">(Осот); 1898 – </w:t>
      </w:r>
      <w:r>
        <w:rPr>
          <w:i/>
          <w:color w:val="000000"/>
        </w:rPr>
        <w:t>Ситняг карніолійський</w:t>
      </w:r>
      <w:r>
        <w:rPr>
          <w:color w:val="000000"/>
        </w:rPr>
        <w:t xml:space="preserve">; 4097 – </w:t>
      </w:r>
      <w:r>
        <w:rPr>
          <w:i/>
          <w:color w:val="000000"/>
        </w:rPr>
        <w:t>Iris aphylla</w:t>
      </w:r>
      <w:r>
        <w:rPr>
          <w:color w:val="000000"/>
        </w:rPr>
        <w:t xml:space="preserve">ssp. </w:t>
      </w:r>
      <w:r>
        <w:rPr>
          <w:i/>
          <w:color w:val="000000"/>
        </w:rPr>
        <w:t xml:space="preserve">Hungarica </w:t>
      </w:r>
      <w:r>
        <w:rPr>
          <w:color w:val="000000"/>
        </w:rPr>
        <w:t xml:space="preserve">(Пі́вники уго́рські ); 4098 – </w:t>
      </w:r>
      <w:r>
        <w:rPr>
          <w:i/>
          <w:color w:val="000000"/>
        </w:rPr>
        <w:t xml:space="preserve">Iris humilis </w:t>
      </w:r>
      <w:r>
        <w:rPr>
          <w:color w:val="000000"/>
        </w:rPr>
        <w:t xml:space="preserve">ssp. </w:t>
      </w:r>
      <w:r>
        <w:rPr>
          <w:i/>
          <w:color w:val="000000"/>
        </w:rPr>
        <w:t xml:space="preserve">Arenaria </w:t>
      </w:r>
      <w:r>
        <w:rPr>
          <w:color w:val="000000"/>
        </w:rPr>
        <w:t xml:space="preserve">(Півники понтичні); 1428 – </w:t>
      </w:r>
      <w:r>
        <w:rPr>
          <w:i/>
          <w:color w:val="000000"/>
        </w:rPr>
        <w:t>Marsilea quadrifolia</w:t>
      </w:r>
      <w:r>
        <w:rPr>
          <w:color w:val="000000"/>
        </w:rPr>
        <w:t xml:space="preserve">(Марсилія чотирилиста); 4110* - </w:t>
      </w:r>
      <w:r>
        <w:rPr>
          <w:i/>
          <w:color w:val="000000"/>
        </w:rPr>
        <w:t xml:space="preserve">Pulsatilla pratensis </w:t>
      </w:r>
      <w:r>
        <w:rPr>
          <w:color w:val="000000"/>
        </w:rPr>
        <w:t xml:space="preserve">ssp. </w:t>
      </w:r>
      <w:r>
        <w:rPr>
          <w:i/>
          <w:color w:val="000000"/>
        </w:rPr>
        <w:t xml:space="preserve">Hungarica </w:t>
      </w:r>
      <w:r>
        <w:rPr>
          <w:color w:val="000000"/>
        </w:rPr>
        <w:t>(Сон лучний).</w:t>
      </w:r>
    </w:p>
    <w:p w:rsidR="00642FB4" w:rsidRDefault="00642FB4">
      <w:pPr>
        <w:autoSpaceDE w:val="0"/>
        <w:autoSpaceDN w:val="0"/>
        <w:adjustRightInd w:val="0"/>
        <w:spacing w:before="60" w:after="60" w:line="288" w:lineRule="auto"/>
        <w:jc w:val="both"/>
        <w:rPr>
          <w:rFonts w:eastAsia="Calibri" w:cs="Arial"/>
          <w:color w:val="000000"/>
        </w:rPr>
      </w:pPr>
      <w:r>
        <w:rPr>
          <w:color w:val="000000"/>
        </w:rPr>
        <w:t xml:space="preserve"> </w:t>
      </w:r>
    </w:p>
    <w:p w:rsidR="00642FB4" w:rsidRDefault="00642FB4">
      <w:pPr>
        <w:numPr>
          <w:ilvl w:val="0"/>
          <w:numId w:val="12"/>
        </w:numPr>
        <w:autoSpaceDE w:val="0"/>
        <w:autoSpaceDN w:val="0"/>
        <w:adjustRightInd w:val="0"/>
        <w:spacing w:before="60" w:after="60" w:line="288" w:lineRule="auto"/>
        <w:ind w:left="1080"/>
        <w:jc w:val="both"/>
        <w:rPr>
          <w:rFonts w:eastAsia="Calibri" w:cs="Arial"/>
          <w:color w:val="000000"/>
        </w:rPr>
      </w:pPr>
      <w:r>
        <w:rPr>
          <w:b/>
          <w:color w:val="000000"/>
        </w:rPr>
        <w:t xml:space="preserve">ROSCI0021 Рівнина Єрулую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color w:val="000000"/>
        </w:rPr>
        <w:t>Повіт Сату-Маре:</w:t>
      </w:r>
      <w:r>
        <w:rPr>
          <w:b/>
          <w:color w:val="000000"/>
        </w:rPr>
        <w:t xml:space="preserve"> </w:t>
      </w:r>
      <w:r>
        <w:rPr>
          <w:color w:val="000000"/>
        </w:rPr>
        <w:t xml:space="preserve">Андрід (41%), Киуаш (7%), Пір (22%), Пішколц (&lt;1%), Сантиу (18%), Тірям (37%);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color w:val="000000"/>
        </w:rPr>
        <w:t>Повіт Біхор:</w:t>
      </w:r>
      <w:r>
        <w:rPr>
          <w:b/>
          <w:color w:val="000000"/>
        </w:rPr>
        <w:t xml:space="preserve"> </w:t>
      </w:r>
      <w:r>
        <w:rPr>
          <w:color w:val="000000"/>
        </w:rPr>
        <w:t>Керекіу (58%), Куртуюшень (15%), Діосіг (2%), Сикуєнь (18%), Силача (46%), Тарча (51%), Валя-луй-Міхай (1%), Шіміан (3%)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color w:val="000000"/>
        </w:rPr>
        <w:t>Види середовищ проживання:</w:t>
      </w:r>
      <w:r>
        <w:rPr>
          <w:b/>
          <w:color w:val="000000"/>
        </w:rPr>
        <w:t xml:space="preserve"> </w:t>
      </w:r>
      <w:r>
        <w:rPr>
          <w:color w:val="000000"/>
        </w:rPr>
        <w:t xml:space="preserve">1530* - Пасовища і болота галофили паннонські і понтійські сарматські; 3130 – Оліготрофні стоячі води до мезотрофних з рослинністю </w:t>
      </w:r>
      <w:r>
        <w:rPr>
          <w:i/>
          <w:color w:val="000000"/>
        </w:rPr>
        <w:t xml:space="preserve">Littorelletea uniflorae </w:t>
      </w:r>
      <w:r>
        <w:rPr>
          <w:color w:val="000000"/>
        </w:rPr>
        <w:t xml:space="preserve">і/або </w:t>
      </w:r>
      <w:r>
        <w:rPr>
          <w:i/>
          <w:color w:val="000000"/>
        </w:rPr>
        <w:t>Isoëto-Nanojuncetea</w:t>
      </w:r>
      <w:r>
        <w:rPr>
          <w:color w:val="000000"/>
        </w:rPr>
        <w:t xml:space="preserve">; 3150 – Озера </w:t>
      </w:r>
      <w:r>
        <w:rPr>
          <w:rFonts w:eastAsia="Calibri" w:cs="Arial"/>
          <w:color w:val="000000"/>
        </w:rPr>
        <w:pgNum/>
      </w:r>
      <w:r>
        <w:rPr>
          <w:color w:val="000000"/>
        </w:rPr>
        <w:t xml:space="preserve">ariega евтрофні з рослинністю типу </w:t>
      </w:r>
      <w:r>
        <w:rPr>
          <w:i/>
          <w:color w:val="000000"/>
        </w:rPr>
        <w:t xml:space="preserve">Magnopotamion </w:t>
      </w:r>
      <w:r>
        <w:rPr>
          <w:color w:val="000000"/>
        </w:rPr>
        <w:t xml:space="preserve">або </w:t>
      </w:r>
      <w:r>
        <w:rPr>
          <w:i/>
          <w:color w:val="000000"/>
        </w:rPr>
        <w:t>Hydrocharition</w:t>
      </w:r>
      <w:r>
        <w:rPr>
          <w:color w:val="000000"/>
        </w:rPr>
        <w:t xml:space="preserve">; 3260 – Водотоки на рівнині до гірського поверху, з рослинністю </w:t>
      </w:r>
      <w:r>
        <w:rPr>
          <w:i/>
          <w:color w:val="000000"/>
        </w:rPr>
        <w:t xml:space="preserve">Ranunculion fluitantis </w:t>
      </w:r>
      <w:r>
        <w:rPr>
          <w:color w:val="000000"/>
        </w:rPr>
        <w:t xml:space="preserve">і </w:t>
      </w:r>
      <w:r>
        <w:rPr>
          <w:i/>
          <w:color w:val="000000"/>
        </w:rPr>
        <w:t>Callitricho-Batrachion</w:t>
      </w:r>
      <w:r>
        <w:rPr>
          <w:color w:val="000000"/>
        </w:rPr>
        <w:t xml:space="preserve">; 3270 – Річки з мулистими берегами з рослинністю </w:t>
      </w:r>
      <w:r>
        <w:rPr>
          <w:i/>
          <w:color w:val="000000"/>
        </w:rPr>
        <w:t xml:space="preserve">Chenopodion </w:t>
      </w:r>
      <w:r>
        <w:rPr>
          <w:rFonts w:eastAsia="Calibri" w:cs="Arial"/>
          <w:i/>
          <w:iCs/>
          <w:color w:val="000000"/>
        </w:rPr>
        <w:pgNum/>
      </w:r>
      <w:r>
        <w:rPr>
          <w:i/>
          <w:color w:val="000000"/>
        </w:rPr>
        <w:t xml:space="preserve">arieg </w:t>
      </w:r>
      <w:r>
        <w:rPr>
          <w:color w:val="000000"/>
        </w:rPr>
        <w:t xml:space="preserve">şi </w:t>
      </w:r>
      <w:r>
        <w:rPr>
          <w:i/>
          <w:color w:val="000000"/>
        </w:rPr>
        <w:t>Bidention</w:t>
      </w:r>
      <w:r>
        <w:rPr>
          <w:color w:val="000000"/>
        </w:rPr>
        <w:t xml:space="preserve">; 40A0 - Кущі субматерикові пери-паннонські; 6430 – узлісся з високими травами теплолюбними від рівнин до високих гір; 91F0 – змішані прибережні ліси з </w:t>
      </w:r>
      <w:r>
        <w:rPr>
          <w:i/>
          <w:color w:val="000000"/>
        </w:rPr>
        <w:t>Quercus robur</w:t>
      </w:r>
      <w:r>
        <w:rPr>
          <w:color w:val="000000"/>
        </w:rPr>
        <w:t xml:space="preserve">, </w:t>
      </w:r>
      <w:r>
        <w:rPr>
          <w:i/>
          <w:color w:val="000000"/>
        </w:rPr>
        <w:t>Ulmus laevis</w:t>
      </w:r>
      <w:r>
        <w:rPr>
          <w:color w:val="000000"/>
        </w:rPr>
        <w:t xml:space="preserve">, </w:t>
      </w:r>
      <w:r>
        <w:rPr>
          <w:i/>
          <w:color w:val="000000"/>
        </w:rPr>
        <w:t xml:space="preserve">Fraxinus excelsior </w:t>
      </w:r>
      <w:r>
        <w:rPr>
          <w:color w:val="000000"/>
        </w:rPr>
        <w:t>або</w:t>
      </w:r>
      <w:r>
        <w:rPr>
          <w:i/>
          <w:color w:val="000000"/>
        </w:rPr>
        <w:t>Fraxinus angustifolia</w:t>
      </w:r>
      <w:r>
        <w:rPr>
          <w:color w:val="000000"/>
        </w:rPr>
        <w:t>, вздовж великих річок (</w:t>
      </w:r>
      <w:r>
        <w:rPr>
          <w:i/>
          <w:color w:val="000000"/>
        </w:rPr>
        <w:t>Ulmenionminoris</w:t>
      </w:r>
      <w:r>
        <w:rPr>
          <w:color w:val="000000"/>
        </w:rPr>
        <w:t xml:space="preserve">); 91I0 - Степова євросибірська рослинність з </w:t>
      </w:r>
      <w:r>
        <w:rPr>
          <w:i/>
          <w:color w:val="000000"/>
        </w:rPr>
        <w:t xml:space="preserve">Quercus </w:t>
      </w:r>
      <w:r>
        <w:rPr>
          <w:color w:val="000000"/>
        </w:rPr>
        <w:t xml:space="preserve">spp.; 92A0 – Рощі з </w:t>
      </w:r>
      <w:r>
        <w:rPr>
          <w:i/>
          <w:color w:val="000000"/>
        </w:rPr>
        <w:t xml:space="preserve">Salix alba </w:t>
      </w:r>
      <w:r>
        <w:rPr>
          <w:color w:val="000000"/>
        </w:rPr>
        <w:t xml:space="preserve">şi </w:t>
      </w:r>
      <w:r>
        <w:rPr>
          <w:i/>
          <w:color w:val="000000"/>
        </w:rPr>
        <w:t xml:space="preserve">Populus alb;.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rPr>
        <w:t>Види ссавців:</w:t>
      </w:r>
      <w:r>
        <w:rPr>
          <w:color w:val="000000"/>
        </w:rPr>
        <w:t xml:space="preserve"> 1355 – </w:t>
      </w:r>
      <w:r>
        <w:rPr>
          <w:i/>
          <w:color w:val="000000"/>
        </w:rPr>
        <w:t xml:space="preserve">Lutra lutra </w:t>
      </w:r>
      <w:r>
        <w:rPr>
          <w:color w:val="000000"/>
        </w:rPr>
        <w:t xml:space="preserve">(Видра річкова); 1335 – </w:t>
      </w:r>
      <w:r>
        <w:rPr>
          <w:i/>
          <w:color w:val="000000"/>
        </w:rPr>
        <w:t xml:space="preserve">Spermophilus citellus </w:t>
      </w:r>
      <w:r>
        <w:rPr>
          <w:color w:val="000000"/>
        </w:rPr>
        <w:t xml:space="preserve">(Ховрах європейський);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color w:val="000000"/>
        </w:rPr>
        <w:t>Види амфібій і рептилій:</w:t>
      </w:r>
      <w:r>
        <w:rPr>
          <w:b/>
          <w:color w:val="000000"/>
        </w:rPr>
        <w:t xml:space="preserve"> </w:t>
      </w:r>
      <w:r>
        <w:rPr>
          <w:color w:val="000000"/>
        </w:rPr>
        <w:t xml:space="preserve">1188 – </w:t>
      </w:r>
      <w:r>
        <w:rPr>
          <w:i/>
          <w:color w:val="000000"/>
        </w:rPr>
        <w:t xml:space="preserve">Bombina </w:t>
      </w:r>
      <w:r>
        <w:rPr>
          <w:color w:val="000000"/>
        </w:rPr>
        <w:t xml:space="preserve">(Кумка); 1193 – </w:t>
      </w:r>
      <w:r>
        <w:rPr>
          <w:i/>
          <w:color w:val="000000"/>
        </w:rPr>
        <w:t xml:space="preserve">Bombina </w:t>
      </w:r>
      <w:r>
        <w:rPr>
          <w:rFonts w:eastAsia="Calibri" w:cs="Arial"/>
          <w:i/>
          <w:iCs/>
          <w:color w:val="000000"/>
        </w:rPr>
        <w:pgNum/>
      </w:r>
      <w:r>
        <w:rPr>
          <w:i/>
          <w:color w:val="000000"/>
        </w:rPr>
        <w:t xml:space="preserve">ariegate </w:t>
      </w:r>
      <w:r>
        <w:rPr>
          <w:color w:val="000000"/>
        </w:rPr>
        <w:t xml:space="preserve">(Кумка жовточерева); 1220 – </w:t>
      </w:r>
      <w:r>
        <w:rPr>
          <w:i/>
          <w:color w:val="000000"/>
        </w:rPr>
        <w:t xml:space="preserve">Emys orbicularis </w:t>
      </w:r>
      <w:r>
        <w:rPr>
          <w:color w:val="000000"/>
        </w:rPr>
        <w:t xml:space="preserve">(Європейська болотна черепаха); 1166 – </w:t>
      </w:r>
      <w:r>
        <w:rPr>
          <w:i/>
          <w:color w:val="000000"/>
        </w:rPr>
        <w:t xml:space="preserve">Triturus cristatus </w:t>
      </w:r>
      <w:r>
        <w:rPr>
          <w:color w:val="000000"/>
        </w:rPr>
        <w:t xml:space="preserve">(Тритон гребінчастий); 1993 – </w:t>
      </w:r>
      <w:r>
        <w:rPr>
          <w:i/>
          <w:color w:val="000000"/>
        </w:rPr>
        <w:t xml:space="preserve">Triturus dobrogicus </w:t>
      </w:r>
      <w:r>
        <w:rPr>
          <w:color w:val="000000"/>
        </w:rPr>
        <w:t xml:space="preserve">(Тритон дунайський);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color w:val="000000"/>
        </w:rPr>
        <w:t>Види риб:</w:t>
      </w:r>
      <w:r>
        <w:rPr>
          <w:color w:val="000000"/>
        </w:rPr>
        <w:t xml:space="preserve"> 1149 – </w:t>
      </w:r>
      <w:r>
        <w:rPr>
          <w:i/>
          <w:color w:val="000000"/>
        </w:rPr>
        <w:t xml:space="preserve">Cobitis taenia </w:t>
      </w:r>
      <w:r>
        <w:rPr>
          <w:color w:val="000000"/>
        </w:rPr>
        <w:t xml:space="preserve">(Щипавка звичайна); 1124  – </w:t>
      </w:r>
      <w:r>
        <w:rPr>
          <w:i/>
          <w:color w:val="000000"/>
        </w:rPr>
        <w:t xml:space="preserve">Gobio albipinnatus </w:t>
      </w:r>
      <w:r>
        <w:rPr>
          <w:color w:val="000000"/>
        </w:rPr>
        <w:t xml:space="preserve">(Пічкур білоперий); 1145 – </w:t>
      </w:r>
      <w:r>
        <w:rPr>
          <w:i/>
          <w:color w:val="000000"/>
        </w:rPr>
        <w:t xml:space="preserve">Misgurnus fossilis </w:t>
      </w:r>
      <w:r>
        <w:rPr>
          <w:color w:val="000000"/>
        </w:rPr>
        <w:t xml:space="preserve">(В'юн звичайний); 1134 – </w:t>
      </w:r>
      <w:r>
        <w:rPr>
          <w:i/>
          <w:color w:val="000000"/>
        </w:rPr>
        <w:t>Rhodeus sericeus amarus</w:t>
      </w:r>
      <w:r>
        <w:rPr>
          <w:color w:val="000000"/>
        </w:rPr>
        <w:t xml:space="preserve">(Гірчак європейський); 2011 – </w:t>
      </w:r>
      <w:r>
        <w:rPr>
          <w:i/>
          <w:color w:val="000000"/>
        </w:rPr>
        <w:t xml:space="preserve">Umbra krameri </w:t>
      </w:r>
      <w:r>
        <w:rPr>
          <w:color w:val="000000"/>
        </w:rPr>
        <w:t xml:space="preserve">(Умбра звичайна);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color w:val="000000"/>
        </w:rPr>
        <w:t>Види безхребетних</w:t>
      </w:r>
      <w:r>
        <w:rPr>
          <w:i/>
          <w:color w:val="000000"/>
        </w:rPr>
        <w:t>:</w:t>
      </w:r>
      <w:r>
        <w:rPr>
          <w:color w:val="000000"/>
        </w:rPr>
        <w:t xml:space="preserve"> 4056 – </w:t>
      </w:r>
      <w:r>
        <w:rPr>
          <w:i/>
          <w:color w:val="000000"/>
        </w:rPr>
        <w:t xml:space="preserve">Anisus vorticulus </w:t>
      </w:r>
      <w:r>
        <w:rPr>
          <w:color w:val="000000"/>
        </w:rPr>
        <w:t xml:space="preserve">(карликовий гвинтовий равлик); 1078* - </w:t>
      </w:r>
      <w:r>
        <w:rPr>
          <w:i/>
          <w:color w:val="000000"/>
        </w:rPr>
        <w:t>Ведмедиця чотирьохточкова</w:t>
      </w:r>
      <w:r>
        <w:rPr>
          <w:color w:val="000000"/>
        </w:rPr>
        <w:t xml:space="preserve">; 1052 – </w:t>
      </w:r>
      <w:r>
        <w:rPr>
          <w:i/>
          <w:color w:val="000000"/>
        </w:rPr>
        <w:t>Euphydryas maturna</w:t>
      </w:r>
      <w:r>
        <w:rPr>
          <w:color w:val="000000"/>
        </w:rPr>
        <w:t xml:space="preserve"> (Метелик); 4036 – </w:t>
      </w:r>
      <w:r>
        <w:rPr>
          <w:i/>
          <w:color w:val="000000"/>
        </w:rPr>
        <w:t>Leptidea morsei</w:t>
      </w:r>
      <w:r>
        <w:rPr>
          <w:color w:val="000000"/>
        </w:rPr>
        <w:t xml:space="preserve"> (Беляночка східна); 1060 – </w:t>
      </w:r>
      <w:r>
        <w:rPr>
          <w:i/>
          <w:color w:val="000000"/>
        </w:rPr>
        <w:t xml:space="preserve">Lycaena dispar (Червонець непарний);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color w:val="000000"/>
        </w:rPr>
        <w:t>Види рослин:</w:t>
      </w:r>
      <w:r>
        <w:rPr>
          <w:color w:val="000000"/>
        </w:rPr>
        <w:t xml:space="preserve"> 1516 – </w:t>
      </w:r>
      <w:r>
        <w:rPr>
          <w:i/>
          <w:color w:val="000000"/>
        </w:rPr>
        <w:t xml:space="preserve">Aldrovanda vesiculosa </w:t>
      </w:r>
      <w:r>
        <w:rPr>
          <w:color w:val="000000"/>
        </w:rPr>
        <w:t xml:space="preserve">(Альдрова́нда пухи́рчаста); 4081 – </w:t>
      </w:r>
      <w:r>
        <w:rPr>
          <w:i/>
          <w:color w:val="000000"/>
        </w:rPr>
        <w:t xml:space="preserve">Cirsium brachycephalum </w:t>
      </w:r>
      <w:r>
        <w:rPr>
          <w:color w:val="000000"/>
        </w:rPr>
        <w:t>(Осот); 1898 –</w:t>
      </w:r>
      <w:r>
        <w:rPr>
          <w:i/>
          <w:color w:val="000000"/>
        </w:rPr>
        <w:t>Eleocharis carniolica (Ситняг карніолійський)</w:t>
      </w:r>
      <w:r>
        <w:rPr>
          <w:color w:val="000000"/>
        </w:rPr>
        <w:t xml:space="preserve">; 1428 – </w:t>
      </w:r>
      <w:r>
        <w:rPr>
          <w:i/>
          <w:color w:val="000000"/>
        </w:rPr>
        <w:t xml:space="preserve">Marsilea quadrifolia </w:t>
      </w:r>
      <w:r>
        <w:rPr>
          <w:color w:val="000000"/>
        </w:rPr>
        <w:t>(Марсилія чотирилиста).</w:t>
      </w:r>
    </w:p>
    <w:p w:rsidR="00642FB4" w:rsidRDefault="00642FB4">
      <w:pPr>
        <w:autoSpaceDE w:val="0"/>
        <w:autoSpaceDN w:val="0"/>
        <w:adjustRightInd w:val="0"/>
        <w:spacing w:before="60" w:after="60" w:line="288" w:lineRule="auto"/>
        <w:jc w:val="both"/>
        <w:rPr>
          <w:rFonts w:eastAsia="Calibri" w:cs="Arial"/>
          <w:color w:val="000000"/>
        </w:rPr>
      </w:pPr>
    </w:p>
    <w:p w:rsidR="00642FB4" w:rsidRDefault="00642FB4">
      <w:pPr>
        <w:numPr>
          <w:ilvl w:val="0"/>
          <w:numId w:val="12"/>
        </w:numPr>
        <w:autoSpaceDE w:val="0"/>
        <w:autoSpaceDN w:val="0"/>
        <w:adjustRightInd w:val="0"/>
        <w:spacing w:before="60" w:after="60" w:line="288" w:lineRule="auto"/>
        <w:ind w:left="1080"/>
        <w:jc w:val="both"/>
        <w:rPr>
          <w:rFonts w:eastAsia="Calibri" w:cs="Arial"/>
          <w:color w:val="000000"/>
        </w:rPr>
      </w:pPr>
      <w:r>
        <w:rPr>
          <w:b/>
          <w:color w:val="000000"/>
        </w:rPr>
        <w:t xml:space="preserve">ROSCI0214 Річка Тур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color w:val="000000"/>
        </w:rPr>
        <w:t>Повіт Сату-Маре:</w:t>
      </w:r>
      <w:r>
        <w:rPr>
          <w:b/>
          <w:color w:val="000000"/>
        </w:rPr>
        <w:t xml:space="preserve"> </w:t>
      </w:r>
      <w:r>
        <w:rPr>
          <w:color w:val="000000"/>
        </w:rPr>
        <w:t>Агріш (19%), Ботіз (&lt; 1%), Калінешті-Оаш (42%), Герці-Міки(34%), Халмеу (3%), Лазурі (20%), Ливада (44%), Медієшу-Ауріт (15%), Мікула (55%), Орашу-Ноу (40%), Порумбешть (22%), Турулунг (41%), Турц (2%);</w:t>
      </w:r>
    </w:p>
    <w:p w:rsidR="00642FB4" w:rsidRDefault="00642FB4">
      <w:pPr>
        <w:autoSpaceDE w:val="0"/>
        <w:autoSpaceDN w:val="0"/>
        <w:adjustRightInd w:val="0"/>
        <w:spacing w:before="60" w:after="60" w:line="288" w:lineRule="auto"/>
        <w:ind w:firstLine="720"/>
        <w:jc w:val="both"/>
        <w:rPr>
          <w:rFonts w:eastAsia="Calibri" w:cs="Arial"/>
          <w:color w:val="000000"/>
        </w:rPr>
      </w:pPr>
      <w:r>
        <w:rPr>
          <w:b/>
          <w:i/>
        </w:rPr>
        <w:t>Види середовищ проживання:</w:t>
      </w:r>
      <w:r>
        <w:rPr>
          <w:color w:val="000000"/>
        </w:rPr>
        <w:t xml:space="preserve"> 3150 – Природні евтрофні озера з типом рослинності </w:t>
      </w:r>
      <w:r>
        <w:rPr>
          <w:i/>
          <w:color w:val="000000"/>
        </w:rPr>
        <w:t>Magnopotamion</w:t>
      </w:r>
      <w:r>
        <w:rPr>
          <w:color w:val="000000"/>
        </w:rPr>
        <w:t xml:space="preserve"> або </w:t>
      </w:r>
      <w:r>
        <w:rPr>
          <w:i/>
          <w:color w:val="000000"/>
        </w:rPr>
        <w:t>Hydrocharition</w:t>
      </w:r>
      <w:r>
        <w:rPr>
          <w:color w:val="000000"/>
        </w:rPr>
        <w:t xml:space="preserve">; 3160 – Дистрофічні озера і ставки ; 3270 – Річки з мулистими берегами з рослинністю </w:t>
      </w:r>
      <w:r>
        <w:rPr>
          <w:i/>
          <w:color w:val="000000"/>
        </w:rPr>
        <w:t>Chenopodion rubri</w:t>
      </w:r>
      <w:r>
        <w:rPr>
          <w:color w:val="000000"/>
        </w:rPr>
        <w:t xml:space="preserve"> та </w:t>
      </w:r>
      <w:r>
        <w:rPr>
          <w:i/>
          <w:color w:val="000000"/>
        </w:rPr>
        <w:t xml:space="preserve">Bidention </w:t>
      </w:r>
      <w:r>
        <w:rPr>
          <w:color w:val="000000"/>
        </w:rPr>
        <w:t xml:space="preserve">; 40A0 - Кущі субматерикові пери-паннонські; 6120 - Вологозберігаючі луки на вапняних пісках; 6410 – Пасовища з </w:t>
      </w:r>
      <w:r>
        <w:rPr>
          <w:i/>
          <w:color w:val="000000"/>
        </w:rPr>
        <w:t xml:space="preserve">Molinia </w:t>
      </w:r>
      <w:r>
        <w:rPr>
          <w:color w:val="000000"/>
        </w:rPr>
        <w:t>на вапняних, торф'яних ґрунтів або суглинках (</w:t>
      </w:r>
      <w:r>
        <w:rPr>
          <w:i/>
          <w:color w:val="000000"/>
        </w:rPr>
        <w:t>Molinion caeruleae</w:t>
      </w:r>
      <w:r>
        <w:rPr>
          <w:color w:val="000000"/>
        </w:rPr>
        <w:t>); 6430 – Узлісся з високими травами теплолюбними від рівнин до високих гір; 6510 – Низькі луки (</w:t>
      </w:r>
      <w:r>
        <w:rPr>
          <w:i/>
          <w:color w:val="000000"/>
        </w:rPr>
        <w:t>Alopecurus pratensis, Sanguisorba officinalis</w:t>
      </w:r>
      <w:r>
        <w:rPr>
          <w:color w:val="000000"/>
        </w:rPr>
        <w:t xml:space="preserve">); 9130 – Букові ліси типу </w:t>
      </w:r>
      <w:r>
        <w:rPr>
          <w:i/>
          <w:color w:val="000000"/>
        </w:rPr>
        <w:t>Asperulo-Fagetum</w:t>
      </w:r>
      <w:r>
        <w:rPr>
          <w:color w:val="000000"/>
        </w:rPr>
        <w:t xml:space="preserve">; 91E0 - Алювіальні лісу з </w:t>
      </w:r>
      <w:r>
        <w:rPr>
          <w:i/>
          <w:color w:val="000000"/>
        </w:rPr>
        <w:t xml:space="preserve">Alnus glutinosa </w:t>
      </w:r>
      <w:r>
        <w:rPr>
          <w:color w:val="000000"/>
        </w:rPr>
        <w:t xml:space="preserve">та </w:t>
      </w:r>
      <w:r>
        <w:rPr>
          <w:i/>
          <w:color w:val="000000"/>
        </w:rPr>
        <w:t xml:space="preserve">Fraxinus excelsior </w:t>
      </w:r>
      <w:r>
        <w:rPr>
          <w:color w:val="000000"/>
        </w:rPr>
        <w:t>(</w:t>
      </w:r>
      <w:r>
        <w:rPr>
          <w:i/>
          <w:color w:val="000000"/>
        </w:rPr>
        <w:t>Alno-Padion, Alnion incanae, Salicion albae</w:t>
      </w:r>
      <w:r>
        <w:rPr>
          <w:color w:val="000000"/>
        </w:rPr>
        <w:t xml:space="preserve">); 91F0 – Змішані прибережні ліси з  </w:t>
      </w:r>
      <w:r>
        <w:rPr>
          <w:i/>
          <w:color w:val="000000"/>
        </w:rPr>
        <w:t>Quercus robur</w:t>
      </w:r>
      <w:r>
        <w:rPr>
          <w:color w:val="000000"/>
        </w:rPr>
        <w:t xml:space="preserve">, </w:t>
      </w:r>
      <w:r>
        <w:rPr>
          <w:i/>
          <w:color w:val="000000"/>
        </w:rPr>
        <w:t xml:space="preserve">Ulmus laevis, Fraxinus excelsior </w:t>
      </w:r>
      <w:r>
        <w:rPr>
          <w:color w:val="000000"/>
        </w:rPr>
        <w:t xml:space="preserve">або </w:t>
      </w:r>
      <w:r>
        <w:rPr>
          <w:i/>
          <w:color w:val="000000"/>
        </w:rPr>
        <w:t>Fraxinus angustifolia</w:t>
      </w:r>
      <w:r>
        <w:rPr>
          <w:color w:val="000000"/>
        </w:rPr>
        <w:t>, вздовж великих річок  (</w:t>
      </w:r>
      <w:r>
        <w:rPr>
          <w:i/>
          <w:color w:val="000000"/>
        </w:rPr>
        <w:t>Ulmenion minoris</w:t>
      </w:r>
      <w:r>
        <w:rPr>
          <w:color w:val="000000"/>
        </w:rPr>
        <w:t xml:space="preserve">); 91M0 – Балкано-паннонійскі ліси з австріського дуба та грабові ; 91Y0 – Дакські дубові і грабові ліси; 92A0 –Рощі з </w:t>
      </w:r>
      <w:r>
        <w:rPr>
          <w:i/>
          <w:color w:val="000000"/>
        </w:rPr>
        <w:t xml:space="preserve">Salix alba </w:t>
      </w:r>
      <w:r>
        <w:rPr>
          <w:color w:val="000000"/>
        </w:rPr>
        <w:t xml:space="preserve">та </w:t>
      </w:r>
      <w:r>
        <w:rPr>
          <w:i/>
          <w:color w:val="000000"/>
        </w:rPr>
        <w:t xml:space="preserve">Populus alba;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color w:val="000000"/>
        </w:rPr>
        <w:t>Види ссавців:</w:t>
      </w:r>
      <w:r>
        <w:rPr>
          <w:b/>
          <w:color w:val="000000"/>
        </w:rPr>
        <w:t xml:space="preserve"> </w:t>
      </w:r>
      <w:r>
        <w:rPr>
          <w:color w:val="000000"/>
        </w:rPr>
        <w:t xml:space="preserve">1308 – </w:t>
      </w:r>
      <w:r>
        <w:rPr>
          <w:i/>
          <w:color w:val="000000"/>
        </w:rPr>
        <w:t xml:space="preserve">Barbastella barbastellus </w:t>
      </w:r>
      <w:r>
        <w:rPr>
          <w:color w:val="000000"/>
        </w:rPr>
        <w:t xml:space="preserve">(Широкову́х звича́йний); 1355 – </w:t>
      </w:r>
      <w:r>
        <w:rPr>
          <w:i/>
          <w:color w:val="000000"/>
        </w:rPr>
        <w:t xml:space="preserve">Lutra lutra </w:t>
      </w:r>
      <w:r>
        <w:rPr>
          <w:color w:val="000000"/>
        </w:rPr>
        <w:t>(Видра річкова); 1323 –</w:t>
      </w:r>
      <w:r>
        <w:rPr>
          <w:i/>
          <w:color w:val="000000"/>
        </w:rPr>
        <w:t xml:space="preserve">Myotis bechsteini </w:t>
      </w:r>
      <w:r>
        <w:rPr>
          <w:color w:val="000000"/>
        </w:rPr>
        <w:t xml:space="preserve">(Нічни́ця Бехште́йна); 1307 – </w:t>
      </w:r>
      <w:r>
        <w:rPr>
          <w:i/>
          <w:color w:val="000000"/>
        </w:rPr>
        <w:t xml:space="preserve">Myotis blythii </w:t>
      </w:r>
      <w:r>
        <w:rPr>
          <w:color w:val="000000"/>
        </w:rPr>
        <w:t xml:space="preserve">(Нічниця гостровуха); 1318 – </w:t>
      </w:r>
      <w:r>
        <w:rPr>
          <w:i/>
          <w:color w:val="000000"/>
        </w:rPr>
        <w:t xml:space="preserve">Myotis dasycneme </w:t>
      </w:r>
      <w:r>
        <w:rPr>
          <w:color w:val="000000"/>
        </w:rPr>
        <w:t xml:space="preserve">(Нічни́ця ставкова́); 1321 – </w:t>
      </w:r>
      <w:r>
        <w:rPr>
          <w:i/>
          <w:color w:val="000000"/>
        </w:rPr>
        <w:t xml:space="preserve">Myotis emarginatus </w:t>
      </w:r>
      <w:r>
        <w:rPr>
          <w:color w:val="000000"/>
        </w:rPr>
        <w:t xml:space="preserve">(Нічни́ця триколі́рна); 1324 – </w:t>
      </w:r>
      <w:r>
        <w:rPr>
          <w:i/>
          <w:color w:val="000000"/>
        </w:rPr>
        <w:t xml:space="preserve">Myotis myotis </w:t>
      </w:r>
      <w:r>
        <w:rPr>
          <w:color w:val="000000"/>
        </w:rPr>
        <w:t xml:space="preserve">(Нічниця велика); 1304 – </w:t>
      </w:r>
      <w:r>
        <w:rPr>
          <w:i/>
          <w:color w:val="000000"/>
        </w:rPr>
        <w:t xml:space="preserve">Rhinolophus ferrumequinum </w:t>
      </w:r>
      <w:r>
        <w:rPr>
          <w:color w:val="000000"/>
        </w:rPr>
        <w:t xml:space="preserve">(Підковик великий); 1303 – </w:t>
      </w:r>
      <w:r>
        <w:rPr>
          <w:i/>
          <w:color w:val="000000"/>
        </w:rPr>
        <w:t xml:space="preserve">Rhinolophus hipposideros </w:t>
      </w:r>
      <w:r>
        <w:rPr>
          <w:color w:val="000000"/>
        </w:rPr>
        <w:t xml:space="preserve">(Підковик малий);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rPr>
        <w:t>Види амфібій і рептилій:</w:t>
      </w:r>
      <w:r>
        <w:rPr>
          <w:color w:val="000000"/>
        </w:rPr>
        <w:t xml:space="preserve"> 1188 – Bombina (Кумка); 1193 – Bombina variegata (Кумка жовточерева); 1220 – Emys orbicularis (Європейська болотна черепаха); 1166 – Triturus cristatus (Тритон гребінчастий); 1993 – Triturus dobrogicus (Тритон дунайський);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color w:val="000000"/>
        </w:rPr>
        <w:t>Види риб:</w:t>
      </w:r>
      <w:r>
        <w:rPr>
          <w:color w:val="000000"/>
        </w:rPr>
        <w:t xml:space="preserve"> 1130 – </w:t>
      </w:r>
      <w:r>
        <w:rPr>
          <w:i/>
          <w:color w:val="000000"/>
        </w:rPr>
        <w:t xml:space="preserve">Aspius aspius </w:t>
      </w:r>
      <w:r>
        <w:rPr>
          <w:color w:val="000000"/>
        </w:rPr>
        <w:t xml:space="preserve">(Білизна́ звичайна); 1149 – </w:t>
      </w:r>
      <w:r>
        <w:rPr>
          <w:i/>
          <w:color w:val="000000"/>
        </w:rPr>
        <w:t xml:space="preserve">Cobitis taenia </w:t>
      </w:r>
      <w:r>
        <w:rPr>
          <w:color w:val="000000"/>
        </w:rPr>
        <w:t xml:space="preserve">(Щипавка звичайна); 1124 – </w:t>
      </w:r>
      <w:r>
        <w:rPr>
          <w:i/>
          <w:color w:val="000000"/>
        </w:rPr>
        <w:t xml:space="preserve">Gobio albipinnatus </w:t>
      </w:r>
      <w:r>
        <w:rPr>
          <w:color w:val="000000"/>
        </w:rPr>
        <w:t xml:space="preserve">(Пічкур білоперий); 2511 – </w:t>
      </w:r>
      <w:r>
        <w:rPr>
          <w:i/>
          <w:color w:val="000000"/>
        </w:rPr>
        <w:t xml:space="preserve">Gobio kessleri </w:t>
      </w:r>
      <w:r>
        <w:rPr>
          <w:color w:val="000000"/>
        </w:rPr>
        <w:t xml:space="preserve">(Пічку́р-білопе́р дністро́вський); 1145 </w:t>
      </w:r>
      <w:r>
        <w:rPr>
          <w:i/>
          <w:color w:val="000000"/>
        </w:rPr>
        <w:t xml:space="preserve">– Misgurnus fossilis </w:t>
      </w:r>
      <w:r>
        <w:rPr>
          <w:color w:val="000000"/>
        </w:rPr>
        <w:t xml:space="preserve">(В'юн звичайний); 1134 – </w:t>
      </w:r>
      <w:r>
        <w:rPr>
          <w:i/>
          <w:color w:val="000000"/>
        </w:rPr>
        <w:t xml:space="preserve">Rhodeus sericeus amarus </w:t>
      </w:r>
      <w:r>
        <w:rPr>
          <w:color w:val="000000"/>
        </w:rPr>
        <w:t xml:space="preserve">(Гірчак європейський); 1114 – </w:t>
      </w:r>
      <w:r>
        <w:rPr>
          <w:i/>
          <w:color w:val="000000"/>
        </w:rPr>
        <w:t>Rutilus pigus</w:t>
      </w:r>
      <w:r>
        <w:rPr>
          <w:color w:val="000000"/>
        </w:rPr>
        <w:t xml:space="preserve"> (Плітка дунайська); 1146 – </w:t>
      </w:r>
      <w:r>
        <w:rPr>
          <w:i/>
          <w:color w:val="000000"/>
        </w:rPr>
        <w:t xml:space="preserve">Sabanejewia aurata </w:t>
      </w:r>
      <w:r>
        <w:rPr>
          <w:color w:val="000000"/>
        </w:rPr>
        <w:t xml:space="preserve">(щипавка золотиста); 1160 – </w:t>
      </w:r>
      <w:r>
        <w:rPr>
          <w:i/>
          <w:color w:val="000000"/>
        </w:rPr>
        <w:t xml:space="preserve">Zingel streber </w:t>
      </w:r>
      <w:r>
        <w:rPr>
          <w:color w:val="000000"/>
        </w:rPr>
        <w:t xml:space="preserve">(Чіп малий);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rPr>
        <w:t>Види безхребетних</w:t>
      </w:r>
      <w:r>
        <w:t>:</w:t>
      </w:r>
      <w:r>
        <w:rPr>
          <w:color w:val="000000"/>
        </w:rPr>
        <w:t xml:space="preserve"> 1088 – </w:t>
      </w:r>
      <w:r>
        <w:rPr>
          <w:i/>
          <w:color w:val="000000"/>
        </w:rPr>
        <w:t xml:space="preserve">Cerambyx cerdo </w:t>
      </w:r>
      <w:r>
        <w:rPr>
          <w:color w:val="000000"/>
        </w:rPr>
        <w:t xml:space="preserve">(Вусач дубовий великий західний); 4045 – </w:t>
      </w:r>
      <w:r>
        <w:rPr>
          <w:i/>
          <w:color w:val="000000"/>
        </w:rPr>
        <w:t xml:space="preserve">Coenagrion ornatum </w:t>
      </w:r>
      <w:r>
        <w:rPr>
          <w:color w:val="000000"/>
        </w:rPr>
        <w:t xml:space="preserve">(--); 1074 – </w:t>
      </w:r>
      <w:r>
        <w:rPr>
          <w:i/>
          <w:color w:val="000000"/>
        </w:rPr>
        <w:t>Eriogaster catax (Коконопряд золотистий)</w:t>
      </w:r>
      <w:r>
        <w:rPr>
          <w:color w:val="000000"/>
        </w:rPr>
        <w:t xml:space="preserve">; 1065 – </w:t>
      </w:r>
      <w:r>
        <w:rPr>
          <w:i/>
          <w:color w:val="000000"/>
        </w:rPr>
        <w:t>Euphydryas aurinia</w:t>
      </w:r>
      <w:r>
        <w:rPr>
          <w:color w:val="000000"/>
        </w:rPr>
        <w:t xml:space="preserve"> (Шашечниця-авринія); 1082 – </w:t>
      </w:r>
      <w:r>
        <w:rPr>
          <w:i/>
          <w:color w:val="000000"/>
        </w:rPr>
        <w:t xml:space="preserve">Graphoderus bilineatus </w:t>
      </w:r>
      <w:r>
        <w:rPr>
          <w:color w:val="000000"/>
        </w:rPr>
        <w:t xml:space="preserve">(оленек водяний); 4036 – </w:t>
      </w:r>
      <w:r>
        <w:rPr>
          <w:i/>
          <w:color w:val="000000"/>
        </w:rPr>
        <w:t>Leptidea morsei</w:t>
      </w:r>
      <w:r>
        <w:rPr>
          <w:color w:val="000000"/>
        </w:rPr>
        <w:t xml:space="preserve"> (Беляночка східна); 1083 – </w:t>
      </w:r>
      <w:r>
        <w:rPr>
          <w:i/>
          <w:color w:val="000000"/>
        </w:rPr>
        <w:t xml:space="preserve">Lucanus cervus </w:t>
      </w:r>
      <w:r>
        <w:rPr>
          <w:color w:val="000000"/>
        </w:rPr>
        <w:t xml:space="preserve">(Жук-олень); 1060 – </w:t>
      </w:r>
      <w:r>
        <w:rPr>
          <w:i/>
          <w:color w:val="000000"/>
        </w:rPr>
        <w:t>Lycaena dispar (Синявець непаристий щавелевий)</w:t>
      </w:r>
      <w:r>
        <w:rPr>
          <w:color w:val="000000"/>
        </w:rPr>
        <w:t xml:space="preserve">; 4038 – </w:t>
      </w:r>
      <w:r>
        <w:rPr>
          <w:i/>
          <w:color w:val="000000"/>
        </w:rPr>
        <w:t>Lycaena helle (многоглазка блакитнувата)</w:t>
      </w:r>
      <w:r>
        <w:rPr>
          <w:color w:val="000000"/>
        </w:rPr>
        <w:t>; 1059 –</w:t>
      </w:r>
      <w:r>
        <w:rPr>
          <w:i/>
          <w:color w:val="000000"/>
        </w:rPr>
        <w:t>Maculinea teleius</w:t>
      </w:r>
      <w:r>
        <w:rPr>
          <w:color w:val="000000"/>
        </w:rPr>
        <w:t xml:space="preserve"> (Синявець родовиковий); 1032 – </w:t>
      </w:r>
      <w:r>
        <w:rPr>
          <w:i/>
          <w:color w:val="000000"/>
        </w:rPr>
        <w:t xml:space="preserve">Unio crassus </w:t>
      </w:r>
      <w:r>
        <w:rPr>
          <w:color w:val="000000"/>
        </w:rPr>
        <w:t>(Товста перловиця).</w:t>
      </w:r>
    </w:p>
    <w:p w:rsidR="00642FB4" w:rsidRDefault="00642FB4">
      <w:pPr>
        <w:autoSpaceDE w:val="0"/>
        <w:autoSpaceDN w:val="0"/>
        <w:adjustRightInd w:val="0"/>
        <w:spacing w:before="60" w:after="60" w:line="288" w:lineRule="auto"/>
        <w:jc w:val="both"/>
        <w:rPr>
          <w:rFonts w:eastAsia="Calibri" w:cs="Arial"/>
          <w:color w:val="000000"/>
        </w:rPr>
      </w:pPr>
    </w:p>
    <w:p w:rsidR="00642FB4" w:rsidRDefault="00642FB4">
      <w:pPr>
        <w:numPr>
          <w:ilvl w:val="0"/>
          <w:numId w:val="12"/>
        </w:numPr>
        <w:autoSpaceDE w:val="0"/>
        <w:autoSpaceDN w:val="0"/>
        <w:adjustRightInd w:val="0"/>
        <w:spacing w:before="60" w:after="60" w:line="288" w:lineRule="auto"/>
        <w:ind w:left="1080"/>
        <w:jc w:val="both"/>
        <w:rPr>
          <w:rFonts w:eastAsia="Calibri" w:cs="Arial"/>
          <w:color w:val="000000"/>
        </w:rPr>
      </w:pPr>
      <w:r>
        <w:rPr>
          <w:b/>
          <w:color w:val="000000"/>
        </w:rPr>
        <w:t xml:space="preserve">ROSCI0275 Бирсиу – Шомкута </w:t>
      </w:r>
    </w:p>
    <w:p w:rsidR="00642FB4" w:rsidRDefault="00642FB4">
      <w:pPr>
        <w:spacing w:before="60" w:after="60" w:line="288" w:lineRule="auto"/>
        <w:ind w:firstLine="720"/>
        <w:jc w:val="both"/>
        <w:rPr>
          <w:rFonts w:eastAsia="Calibri" w:cs="Arial"/>
          <w:color w:val="000000"/>
        </w:rPr>
      </w:pPr>
      <w:r>
        <w:rPr>
          <w:b/>
          <w:i/>
          <w:color w:val="000000"/>
        </w:rPr>
        <w:t xml:space="preserve">Повіт Сату-Маре: </w:t>
      </w:r>
      <w:r>
        <w:rPr>
          <w:color w:val="000000"/>
        </w:rPr>
        <w:t>Бирсиу (11%);</w:t>
      </w:r>
    </w:p>
    <w:p w:rsidR="00642FB4" w:rsidRDefault="00642FB4">
      <w:pPr>
        <w:spacing w:before="60" w:after="60" w:line="288" w:lineRule="auto"/>
        <w:ind w:firstLine="720"/>
        <w:jc w:val="both"/>
        <w:rPr>
          <w:rFonts w:eastAsia="Calibri" w:cs="Arial"/>
          <w:color w:val="000000"/>
        </w:rPr>
      </w:pPr>
      <w:r>
        <w:rPr>
          <w:b/>
          <w:color w:val="000000"/>
        </w:rPr>
        <w:t xml:space="preserve">Повіт Марамуреш: </w:t>
      </w:r>
      <w:r>
        <w:rPr>
          <w:color w:val="000000"/>
        </w:rPr>
        <w:t>Асуажу-де-Сус (5%), Биіца-де-суб-Кодру (6%), Фиркаша (3%), Гирдань (63%), Мірешу-Маре (&lt;1%), Сатулунг (17%), Силсіг (16%), Шомкута-Маре (7%);</w:t>
      </w:r>
    </w:p>
    <w:p w:rsidR="00642FB4" w:rsidRDefault="00642FB4">
      <w:pPr>
        <w:autoSpaceDE w:val="0"/>
        <w:autoSpaceDN w:val="0"/>
        <w:adjustRightInd w:val="0"/>
        <w:spacing w:before="60" w:after="60" w:line="288" w:lineRule="auto"/>
        <w:ind w:firstLine="720"/>
        <w:jc w:val="both"/>
        <w:rPr>
          <w:rFonts w:eastAsia="Calibri" w:cs="Arial"/>
          <w:color w:val="000000"/>
        </w:rPr>
      </w:pPr>
      <w:r>
        <w:rPr>
          <w:b/>
          <w:i/>
        </w:rPr>
        <w:t>Види середовищ проживання:</w:t>
      </w:r>
      <w:r>
        <w:rPr>
          <w:color w:val="000000"/>
        </w:rPr>
        <w:t xml:space="preserve"> 9170 – Дубові і грабові ліси типу </w:t>
      </w:r>
      <w:r>
        <w:rPr>
          <w:i/>
          <w:color w:val="000000"/>
        </w:rPr>
        <w:t>Galio-Carpinetum</w:t>
      </w:r>
      <w:r>
        <w:rPr>
          <w:color w:val="000000"/>
        </w:rPr>
        <w:t xml:space="preserve">;  91Y0 – Дакські дубові і грабові ліси; </w:t>
      </w:r>
    </w:p>
    <w:p w:rsidR="00642FB4" w:rsidRDefault="00642FB4">
      <w:pPr>
        <w:autoSpaceDE w:val="0"/>
        <w:autoSpaceDN w:val="0"/>
        <w:adjustRightInd w:val="0"/>
        <w:spacing w:before="60" w:after="60" w:line="288" w:lineRule="auto"/>
        <w:ind w:firstLine="720"/>
        <w:jc w:val="both"/>
        <w:rPr>
          <w:rFonts w:eastAsia="Calibri" w:cs="Arial"/>
          <w:color w:val="000000"/>
        </w:rPr>
      </w:pPr>
      <w:r>
        <w:rPr>
          <w:b/>
          <w:i/>
        </w:rPr>
        <w:t>Види ссавців:</w:t>
      </w:r>
      <w:r>
        <w:rPr>
          <w:color w:val="000000"/>
        </w:rPr>
        <w:t xml:space="preserve"> 1323 – </w:t>
      </w:r>
      <w:r>
        <w:rPr>
          <w:i/>
          <w:color w:val="000000"/>
        </w:rPr>
        <w:t xml:space="preserve">Myotis bechsteini  </w:t>
      </w:r>
      <w:r>
        <w:rPr>
          <w:color w:val="000000"/>
        </w:rPr>
        <w:t xml:space="preserve">(Нічни́ця Бехште́йна); 1324 – </w:t>
      </w:r>
      <w:r>
        <w:rPr>
          <w:i/>
          <w:color w:val="000000"/>
        </w:rPr>
        <w:t xml:space="preserve">Myotis myotis </w:t>
      </w:r>
      <w:r>
        <w:rPr>
          <w:color w:val="000000"/>
        </w:rPr>
        <w:t xml:space="preserve">(Нічниця велика); 1305 – </w:t>
      </w:r>
      <w:r>
        <w:rPr>
          <w:i/>
          <w:color w:val="000000"/>
        </w:rPr>
        <w:t xml:space="preserve">Rhinolophus </w:t>
      </w:r>
      <w:r>
        <w:rPr>
          <w:rFonts w:eastAsia="Calibri" w:cs="Arial"/>
          <w:i/>
          <w:iCs/>
          <w:color w:val="000000"/>
        </w:rPr>
        <w:pgNum/>
      </w:r>
      <w:r>
        <w:rPr>
          <w:i/>
          <w:color w:val="000000"/>
        </w:rPr>
        <w:t xml:space="preserve">ariega  </w:t>
      </w:r>
      <w:r>
        <w:rPr>
          <w:color w:val="000000"/>
        </w:rPr>
        <w:t xml:space="preserve">(Підковик південний); 1304 – </w:t>
      </w:r>
      <w:r>
        <w:rPr>
          <w:i/>
          <w:color w:val="000000"/>
        </w:rPr>
        <w:t xml:space="preserve">Rhinolophus ferrumequinum  </w:t>
      </w:r>
      <w:r>
        <w:rPr>
          <w:color w:val="000000"/>
        </w:rPr>
        <w:t xml:space="preserve">(Підковик великий); 1303 – </w:t>
      </w:r>
      <w:r>
        <w:rPr>
          <w:i/>
          <w:color w:val="000000"/>
        </w:rPr>
        <w:t xml:space="preserve">Rhinolophus hipposideros </w:t>
      </w:r>
      <w:r>
        <w:rPr>
          <w:color w:val="000000"/>
        </w:rPr>
        <w:t>(Підковик малий);</w:t>
      </w:r>
    </w:p>
    <w:p w:rsidR="00642FB4" w:rsidRDefault="00642FB4">
      <w:pPr>
        <w:spacing w:before="60" w:after="60" w:line="288" w:lineRule="auto"/>
        <w:ind w:firstLine="720"/>
        <w:jc w:val="both"/>
        <w:rPr>
          <w:rFonts w:eastAsia="Calibri" w:cs="Arial"/>
          <w:color w:val="000000"/>
        </w:rPr>
      </w:pPr>
      <w:r>
        <w:rPr>
          <w:b/>
          <w:i/>
        </w:rPr>
        <w:t>Види амфібій і рептилій:</w:t>
      </w:r>
      <w:r>
        <w:rPr>
          <w:color w:val="000000"/>
        </w:rPr>
        <w:t xml:space="preserve"> 1193 – </w:t>
      </w:r>
      <w:r>
        <w:rPr>
          <w:i/>
          <w:color w:val="000000"/>
        </w:rPr>
        <w:t xml:space="preserve">Bombina </w:t>
      </w:r>
      <w:r>
        <w:rPr>
          <w:rFonts w:eastAsia="Calibri" w:cs="Arial"/>
          <w:i/>
          <w:iCs/>
          <w:color w:val="000000"/>
        </w:rPr>
        <w:pgNum/>
      </w:r>
      <w:r>
        <w:rPr>
          <w:i/>
          <w:color w:val="000000"/>
        </w:rPr>
        <w:t xml:space="preserve">ariegate </w:t>
      </w:r>
      <w:r>
        <w:rPr>
          <w:color w:val="000000"/>
        </w:rPr>
        <w:t xml:space="preserve">(Кумка жовточерева); 1166 – </w:t>
      </w:r>
      <w:r>
        <w:rPr>
          <w:i/>
          <w:color w:val="000000"/>
        </w:rPr>
        <w:t xml:space="preserve">Triturus cristatus </w:t>
      </w:r>
      <w:r>
        <w:rPr>
          <w:color w:val="000000"/>
        </w:rPr>
        <w:t xml:space="preserve">(Тритон гребінчастий).  </w:t>
      </w:r>
    </w:p>
    <w:p w:rsidR="00642FB4" w:rsidRDefault="00642FB4">
      <w:pPr>
        <w:spacing w:before="60" w:after="60" w:line="288" w:lineRule="auto"/>
        <w:jc w:val="both"/>
        <w:rPr>
          <w:rFonts w:eastAsia="Calibri" w:cs="Arial"/>
          <w:color w:val="000000"/>
        </w:rPr>
      </w:pPr>
    </w:p>
    <w:p w:rsidR="00642FB4" w:rsidRDefault="00642FB4">
      <w:pPr>
        <w:numPr>
          <w:ilvl w:val="0"/>
          <w:numId w:val="12"/>
        </w:numPr>
        <w:spacing w:before="60" w:after="60" w:line="288" w:lineRule="auto"/>
        <w:ind w:left="1080"/>
        <w:jc w:val="both"/>
        <w:rPr>
          <w:rFonts w:eastAsia="Calibri" w:cs="Arial"/>
          <w:color w:val="000000"/>
        </w:rPr>
      </w:pPr>
      <w:r>
        <w:rPr>
          <w:b/>
          <w:color w:val="000000"/>
        </w:rPr>
        <w:t xml:space="preserve">ROSCI0358 Прікоп – Гута – Чертезе </w:t>
      </w:r>
    </w:p>
    <w:p w:rsidR="00642FB4" w:rsidRDefault="00642FB4">
      <w:pPr>
        <w:autoSpaceDE w:val="0"/>
        <w:autoSpaceDN w:val="0"/>
        <w:adjustRightInd w:val="0"/>
        <w:spacing w:before="60" w:after="60" w:line="288" w:lineRule="auto"/>
        <w:ind w:firstLine="630"/>
        <w:jc w:val="both"/>
        <w:rPr>
          <w:rFonts w:eastAsia="Calibri" w:cs="Arial"/>
          <w:color w:val="000000"/>
        </w:rPr>
      </w:pPr>
      <w:r>
        <w:rPr>
          <w:b/>
          <w:i/>
          <w:color w:val="000000"/>
        </w:rPr>
        <w:t>Повіт Сату-Маре:</w:t>
      </w:r>
      <w:r>
        <w:rPr>
          <w:b/>
          <w:color w:val="000000"/>
        </w:rPr>
        <w:t xml:space="preserve"> </w:t>
      </w:r>
      <w:r>
        <w:rPr>
          <w:color w:val="000000"/>
        </w:rPr>
        <w:t xml:space="preserve">Біксад (3%), Чертезе (13%); </w:t>
      </w:r>
    </w:p>
    <w:p w:rsidR="00642FB4" w:rsidRDefault="00642FB4">
      <w:pPr>
        <w:autoSpaceDE w:val="0"/>
        <w:autoSpaceDN w:val="0"/>
        <w:adjustRightInd w:val="0"/>
        <w:spacing w:before="60" w:after="60" w:line="288" w:lineRule="auto"/>
        <w:ind w:firstLine="630"/>
        <w:jc w:val="both"/>
        <w:rPr>
          <w:rFonts w:eastAsia="Calibri" w:cs="Arial"/>
          <w:color w:val="000000"/>
        </w:rPr>
      </w:pPr>
      <w:r>
        <w:rPr>
          <w:i/>
          <w:color w:val="000000"/>
        </w:rPr>
        <w:t>Повіт Марамуреш:</w:t>
      </w:r>
      <w:r>
        <w:rPr>
          <w:b/>
          <w:color w:val="000000"/>
        </w:rPr>
        <w:t xml:space="preserve"> </w:t>
      </w:r>
      <w:r>
        <w:rPr>
          <w:color w:val="000000"/>
        </w:rPr>
        <w:t xml:space="preserve">Ремети (23%), Сипинца (&lt;1%); </w:t>
      </w:r>
    </w:p>
    <w:p w:rsidR="00642FB4" w:rsidRDefault="00642FB4">
      <w:pPr>
        <w:autoSpaceDE w:val="0"/>
        <w:autoSpaceDN w:val="0"/>
        <w:adjustRightInd w:val="0"/>
        <w:spacing w:before="60" w:after="60" w:line="288" w:lineRule="auto"/>
        <w:ind w:firstLine="630"/>
        <w:jc w:val="both"/>
        <w:rPr>
          <w:rFonts w:eastAsia="Calibri" w:cs="Arial"/>
          <w:color w:val="000000"/>
        </w:rPr>
      </w:pPr>
      <w:r>
        <w:rPr>
          <w:b/>
          <w:i/>
        </w:rPr>
        <w:t>Види середовищ проживання:</w:t>
      </w:r>
      <w:r>
        <w:rPr>
          <w:color w:val="000000"/>
        </w:rPr>
        <w:t xml:space="preserve"> 9130 – Букові ліси типу </w:t>
      </w:r>
      <w:r>
        <w:rPr>
          <w:i/>
          <w:color w:val="000000"/>
        </w:rPr>
        <w:t>Asperulo-Fagetum</w:t>
      </w:r>
      <w:r>
        <w:rPr>
          <w:color w:val="000000"/>
        </w:rPr>
        <w:t xml:space="preserve">; 9170 – Дубові і грабові ліси типу </w:t>
      </w:r>
      <w:r>
        <w:rPr>
          <w:i/>
          <w:color w:val="000000"/>
        </w:rPr>
        <w:t>Galio- Carpinetum</w:t>
      </w:r>
      <w:r>
        <w:rPr>
          <w:color w:val="000000"/>
        </w:rPr>
        <w:t>; 91V0 – Дакські букові ліси (</w:t>
      </w:r>
      <w:r>
        <w:rPr>
          <w:i/>
          <w:color w:val="000000"/>
        </w:rPr>
        <w:t>Symphyto-Fagion</w:t>
      </w:r>
      <w:r>
        <w:rPr>
          <w:color w:val="000000"/>
        </w:rPr>
        <w:t xml:space="preserve">); </w:t>
      </w:r>
    </w:p>
    <w:p w:rsidR="00642FB4" w:rsidRDefault="00642FB4">
      <w:pPr>
        <w:autoSpaceDE w:val="0"/>
        <w:autoSpaceDN w:val="0"/>
        <w:adjustRightInd w:val="0"/>
        <w:spacing w:before="60" w:after="60" w:line="288" w:lineRule="auto"/>
        <w:ind w:firstLine="630"/>
        <w:jc w:val="both"/>
        <w:rPr>
          <w:rFonts w:eastAsia="Calibri" w:cs="Arial"/>
          <w:color w:val="000000"/>
        </w:rPr>
      </w:pPr>
      <w:r>
        <w:rPr>
          <w:b/>
          <w:i/>
        </w:rPr>
        <w:t>Види ссавців:</w:t>
      </w:r>
      <w:r>
        <w:rPr>
          <w:color w:val="000000"/>
        </w:rPr>
        <w:t xml:space="preserve"> 1352 - </w:t>
      </w:r>
      <w:r>
        <w:rPr>
          <w:i/>
          <w:color w:val="000000"/>
        </w:rPr>
        <w:t xml:space="preserve">Canis lupus </w:t>
      </w:r>
      <w:r>
        <w:rPr>
          <w:color w:val="000000"/>
        </w:rPr>
        <w:t xml:space="preserve">(Вовк); 1361 – </w:t>
      </w:r>
      <w:r>
        <w:rPr>
          <w:i/>
          <w:color w:val="000000"/>
        </w:rPr>
        <w:t xml:space="preserve">Lynx lynx </w:t>
      </w:r>
      <w:r>
        <w:rPr>
          <w:color w:val="000000"/>
        </w:rPr>
        <w:t xml:space="preserve">(Рись); 1304 – </w:t>
      </w:r>
      <w:r>
        <w:rPr>
          <w:i/>
          <w:color w:val="000000"/>
        </w:rPr>
        <w:t xml:space="preserve">Rhinolophus ferrumequinum </w:t>
      </w:r>
      <w:r>
        <w:rPr>
          <w:color w:val="000000"/>
        </w:rPr>
        <w:t xml:space="preserve">(Підковик великий); 1354 - </w:t>
      </w:r>
      <w:r>
        <w:rPr>
          <w:i/>
          <w:color w:val="000000"/>
        </w:rPr>
        <w:t xml:space="preserve">Ursus arctos </w:t>
      </w:r>
      <w:r>
        <w:rPr>
          <w:color w:val="000000"/>
        </w:rPr>
        <w:t xml:space="preserve">(Бурий ведмідь); </w:t>
      </w:r>
    </w:p>
    <w:p w:rsidR="00642FB4" w:rsidRDefault="00642FB4">
      <w:pPr>
        <w:autoSpaceDE w:val="0"/>
        <w:autoSpaceDN w:val="0"/>
        <w:adjustRightInd w:val="0"/>
        <w:spacing w:before="60" w:after="60" w:line="288" w:lineRule="auto"/>
        <w:ind w:firstLine="630"/>
        <w:jc w:val="both"/>
        <w:rPr>
          <w:rFonts w:cs="Arial"/>
        </w:rPr>
      </w:pPr>
      <w:r>
        <w:rPr>
          <w:b/>
          <w:i/>
        </w:rPr>
        <w:t>Види амфібій і рептилій:</w:t>
      </w:r>
      <w:r>
        <w:rPr>
          <w:color w:val="000000"/>
        </w:rPr>
        <w:t xml:space="preserve"> 1193 – </w:t>
      </w:r>
      <w:r>
        <w:rPr>
          <w:i/>
          <w:color w:val="000000"/>
        </w:rPr>
        <w:t xml:space="preserve">Bombina </w:t>
      </w:r>
      <w:r>
        <w:rPr>
          <w:rFonts w:eastAsia="Calibri" w:cs="Arial"/>
          <w:i/>
          <w:iCs/>
          <w:color w:val="000000"/>
        </w:rPr>
        <w:pgNum/>
      </w:r>
      <w:r>
        <w:rPr>
          <w:i/>
          <w:color w:val="000000"/>
        </w:rPr>
        <w:t xml:space="preserve">ariegate </w:t>
      </w:r>
      <w:r>
        <w:rPr>
          <w:color w:val="000000"/>
        </w:rPr>
        <w:t xml:space="preserve">(Кумка жовточерева); 1166 – </w:t>
      </w:r>
      <w:r>
        <w:rPr>
          <w:i/>
          <w:color w:val="000000"/>
        </w:rPr>
        <w:t xml:space="preserve">Triturus cristatus </w:t>
      </w:r>
      <w:r>
        <w:rPr>
          <w:color w:val="000000"/>
        </w:rPr>
        <w:t xml:space="preserve">(Тритон гребінчастий), 2001 – </w:t>
      </w:r>
      <w:r>
        <w:rPr>
          <w:i/>
          <w:color w:val="000000"/>
        </w:rPr>
        <w:t xml:space="preserve">Triturus montandoni </w:t>
      </w:r>
      <w:r>
        <w:rPr>
          <w:color w:val="000000"/>
        </w:rPr>
        <w:t xml:space="preserve">(Тритон карпатський). </w:t>
      </w:r>
    </w:p>
    <w:p w:rsidR="00642FB4" w:rsidRDefault="00642FB4">
      <w:pPr>
        <w:spacing w:before="60" w:after="60" w:line="288" w:lineRule="auto"/>
        <w:jc w:val="both"/>
        <w:rPr>
          <w:rFonts w:cs="Arial"/>
        </w:rPr>
      </w:pPr>
    </w:p>
    <w:p w:rsidR="00642FB4" w:rsidRDefault="00642FB4">
      <w:pPr>
        <w:spacing w:before="60" w:after="60" w:line="288" w:lineRule="auto"/>
        <w:jc w:val="both"/>
        <w:rPr>
          <w:rFonts w:cs="Arial"/>
        </w:rPr>
      </w:pPr>
    </w:p>
    <w:p w:rsidR="00642FB4" w:rsidRDefault="00642FB4">
      <w:pPr>
        <w:autoSpaceDE w:val="0"/>
        <w:autoSpaceDN w:val="0"/>
        <w:adjustRightInd w:val="0"/>
        <w:spacing w:before="60" w:after="60" w:line="288" w:lineRule="auto"/>
        <w:ind w:firstLine="630"/>
        <w:contextualSpacing/>
        <w:jc w:val="both"/>
        <w:rPr>
          <w:rFonts w:eastAsia="EUAlbertina-Regular-Identity-H" w:cs="Arial"/>
          <w:b/>
          <w:i/>
        </w:rPr>
      </w:pPr>
      <w:r>
        <w:rPr>
          <w:b/>
          <w:i/>
        </w:rPr>
        <w:t>Повіт Сучава</w:t>
      </w:r>
    </w:p>
    <w:p w:rsidR="00642FB4" w:rsidRDefault="00642FB4">
      <w:pPr>
        <w:autoSpaceDE w:val="0"/>
        <w:autoSpaceDN w:val="0"/>
        <w:adjustRightInd w:val="0"/>
        <w:spacing w:before="60" w:after="60" w:line="288" w:lineRule="auto"/>
        <w:ind w:left="720"/>
        <w:contextualSpacing/>
        <w:jc w:val="both"/>
        <w:rPr>
          <w:rFonts w:eastAsia="EUAlbertina-Regular-Identity-H" w:cs="Arial"/>
          <w:b/>
          <w:i/>
        </w:rPr>
      </w:pPr>
    </w:p>
    <w:p w:rsidR="00642FB4" w:rsidRPr="002C0454" w:rsidRDefault="00C52F4A">
      <w:pPr>
        <w:spacing w:before="60" w:after="60" w:line="288" w:lineRule="auto"/>
        <w:ind w:firstLine="709"/>
        <w:jc w:val="both"/>
        <w:rPr>
          <w:rFonts w:cs="Arial"/>
          <w:lang w:val="uk-UA"/>
        </w:rPr>
      </w:pPr>
      <w:r w:rsidRPr="002C0454">
        <w:rPr>
          <w:rFonts w:cs="Arial"/>
          <w:lang w:val="uk-UA"/>
        </w:rPr>
        <w:t xml:space="preserve">У Сучавському повіті знаходяться </w:t>
      </w:r>
      <w:r w:rsidR="00642FB4" w:rsidRPr="002C0454">
        <w:rPr>
          <w:rFonts w:cs="Arial"/>
          <w:b/>
        </w:rPr>
        <w:t>23</w:t>
      </w:r>
      <w:r w:rsidRPr="002C0454">
        <w:rPr>
          <w:rFonts w:cs="Arial"/>
          <w:b/>
          <w:lang w:val="uk-UA"/>
        </w:rPr>
        <w:t xml:space="preserve"> об’єкти локального значення</w:t>
      </w:r>
      <w:r w:rsidRPr="002C0454">
        <w:rPr>
          <w:rFonts w:cs="Arial"/>
          <w:lang w:val="uk-UA"/>
        </w:rPr>
        <w:t xml:space="preserve"> </w:t>
      </w:r>
      <w:r w:rsidR="00642FB4" w:rsidRPr="002C0454">
        <w:rPr>
          <w:rFonts w:cs="Arial"/>
        </w:rPr>
        <w:t xml:space="preserve">SCI , </w:t>
      </w:r>
      <w:r w:rsidR="00642FB4" w:rsidRPr="002C0454">
        <w:rPr>
          <w:rFonts w:cs="Arial"/>
          <w:b/>
        </w:rPr>
        <w:t>6</w:t>
      </w:r>
      <w:r w:rsidR="00642FB4" w:rsidRPr="002C0454">
        <w:rPr>
          <w:rFonts w:cs="Arial"/>
        </w:rPr>
        <w:t xml:space="preserve"> </w:t>
      </w:r>
      <w:r w:rsidRPr="002C0454">
        <w:rPr>
          <w:rFonts w:cs="Arial"/>
          <w:lang w:val="uk-UA"/>
        </w:rPr>
        <w:t xml:space="preserve">територій особливого значення фауністичного </w:t>
      </w:r>
      <w:r w:rsidR="00642FB4" w:rsidRPr="002C0454">
        <w:rPr>
          <w:rFonts w:cs="Arial"/>
        </w:rPr>
        <w:t xml:space="preserve">SPA, </w:t>
      </w:r>
      <w:r w:rsidRPr="002C0454">
        <w:rPr>
          <w:rFonts w:cs="Arial"/>
          <w:lang w:val="uk-UA"/>
        </w:rPr>
        <w:t>природні заповідники та природні парки. На Рисунку</w:t>
      </w:r>
      <w:r w:rsidRPr="002C0454">
        <w:rPr>
          <w:rFonts w:cs="Arial"/>
          <w:b/>
          <w:lang w:val="uk-UA"/>
        </w:rPr>
        <w:t xml:space="preserve"> </w:t>
      </w:r>
      <w:r w:rsidR="00642FB4" w:rsidRPr="002C0454">
        <w:rPr>
          <w:rFonts w:cs="Arial"/>
          <w:b/>
        </w:rPr>
        <w:t>5.4</w:t>
      </w:r>
      <w:r w:rsidR="00642FB4" w:rsidRPr="002C0454">
        <w:rPr>
          <w:rFonts w:cs="Arial"/>
        </w:rPr>
        <w:t xml:space="preserve"> </w:t>
      </w:r>
      <w:r w:rsidRPr="002C0454">
        <w:rPr>
          <w:rFonts w:cs="Arial"/>
          <w:lang w:val="uk-UA"/>
        </w:rPr>
        <w:t xml:space="preserve"> зображено розміщення </w:t>
      </w:r>
      <w:r w:rsidR="00642FB4" w:rsidRPr="002C0454">
        <w:rPr>
          <w:rFonts w:cs="Arial"/>
        </w:rPr>
        <w:t>SCI, SPA,</w:t>
      </w:r>
      <w:r w:rsidRPr="002C0454">
        <w:rPr>
          <w:rFonts w:cs="Arial"/>
          <w:lang w:val="uk-UA"/>
        </w:rPr>
        <w:t xml:space="preserve"> природних парків та природних заповідників на території Сучавського повіту. </w:t>
      </w:r>
      <w:r w:rsidR="00642FB4" w:rsidRPr="002C0454">
        <w:rPr>
          <w:rFonts w:cs="Arial"/>
        </w:rPr>
        <w:t xml:space="preserve"> </w:t>
      </w:r>
      <w:r w:rsidRPr="002C0454">
        <w:rPr>
          <w:rFonts w:cs="Arial"/>
          <w:lang w:val="uk-UA"/>
        </w:rPr>
        <w:t xml:space="preserve"> </w:t>
      </w:r>
    </w:p>
    <w:p w:rsidR="00642FB4" w:rsidRPr="002C0454" w:rsidRDefault="00C52F4A">
      <w:pPr>
        <w:spacing w:before="60" w:after="60" w:line="288" w:lineRule="auto"/>
        <w:ind w:firstLine="709"/>
        <w:jc w:val="both"/>
        <w:rPr>
          <w:rFonts w:cs="Arial"/>
        </w:rPr>
      </w:pPr>
      <w:r w:rsidRPr="002C0454">
        <w:rPr>
          <w:rFonts w:cs="Arial"/>
          <w:lang w:val="uk-UA"/>
        </w:rPr>
        <w:t xml:space="preserve">На території повіту також є </w:t>
      </w:r>
      <w:r w:rsidR="00642FB4" w:rsidRPr="002C0454">
        <w:rPr>
          <w:rFonts w:cs="Arial"/>
        </w:rPr>
        <w:t xml:space="preserve">29 </w:t>
      </w:r>
      <w:r w:rsidRPr="002C0454">
        <w:rPr>
          <w:rFonts w:cs="Arial"/>
          <w:lang w:val="uk-UA"/>
        </w:rPr>
        <w:t xml:space="preserve"> зон національного значення (ботанічні заповідники, лісові заказники, геологічні заповідники, палеонтологічні заповідники, 1 науковий заповідник, Природний парк Калімані площею 24041 Га з яких 10700 ГА на території Сучавського повіту). </w:t>
      </w:r>
    </w:p>
    <w:p w:rsidR="00642FB4" w:rsidRPr="002C0454" w:rsidRDefault="00642FB4">
      <w:pPr>
        <w:widowControl w:val="0"/>
        <w:tabs>
          <w:tab w:val="left" w:pos="720"/>
          <w:tab w:val="center" w:pos="4680"/>
          <w:tab w:val="right" w:pos="9360"/>
        </w:tabs>
        <w:spacing w:after="200" w:line="264" w:lineRule="auto"/>
        <w:rPr>
          <w:rFonts w:eastAsia="Calibri" w:cs="Arial"/>
          <w:color w:val="000000"/>
          <w:lang w:val="uk-UA" w:eastAsia="en-US"/>
        </w:rPr>
      </w:pPr>
      <w:r w:rsidRPr="002C0454">
        <w:rPr>
          <w:rFonts w:eastAsia="Calibri" w:cs="Arial"/>
          <w:color w:val="000000"/>
          <w:sz w:val="22"/>
          <w:szCs w:val="22"/>
          <w:lang w:eastAsia="en-US"/>
        </w:rPr>
        <w:tab/>
      </w:r>
      <w:r w:rsidR="00C52F4A" w:rsidRPr="002C0454">
        <w:rPr>
          <w:rFonts w:eastAsia="Calibri" w:cs="Arial"/>
          <w:color w:val="000000"/>
          <w:lang w:val="uk-UA" w:eastAsia="en-US"/>
        </w:rPr>
        <w:t xml:space="preserve">Природні заповідники національного значення </w:t>
      </w:r>
    </w:p>
    <w:tbl>
      <w:tblPr>
        <w:tblW w:w="6774" w:type="dxa"/>
        <w:tblInd w:w="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564"/>
        <w:gridCol w:w="2880"/>
        <w:gridCol w:w="2070"/>
        <w:gridCol w:w="1260"/>
      </w:tblGrid>
      <w:tr w:rsidR="00642FB4" w:rsidRPr="002C0454">
        <w:trPr>
          <w:trHeight w:val="464"/>
          <w:tblHeader/>
        </w:trPr>
        <w:tc>
          <w:tcPr>
            <w:tcW w:w="564" w:type="dxa"/>
            <w:vMerge w:val="restart"/>
            <w:shd w:val="clear" w:color="auto" w:fill="auto"/>
            <w:tcMar>
              <w:left w:w="28" w:type="dxa"/>
              <w:right w:w="28" w:type="dxa"/>
            </w:tcMar>
            <w:vAlign w:val="center"/>
          </w:tcPr>
          <w:p w:rsidR="00642FB4" w:rsidRPr="002C0454" w:rsidRDefault="00C52F4A">
            <w:pPr>
              <w:widowControl w:val="0"/>
              <w:spacing w:line="276" w:lineRule="auto"/>
              <w:jc w:val="center"/>
              <w:rPr>
                <w:rFonts w:eastAsia="Calibri" w:cs="Arial"/>
                <w:b/>
                <w:sz w:val="20"/>
                <w:szCs w:val="20"/>
                <w:lang w:val="uk-UA" w:eastAsia="en-US"/>
              </w:rPr>
            </w:pPr>
            <w:r w:rsidRPr="002C0454">
              <w:rPr>
                <w:rFonts w:eastAsia="Calibri" w:cs="Arial"/>
                <w:b/>
                <w:sz w:val="20"/>
                <w:szCs w:val="20"/>
                <w:lang w:val="uk-UA" w:eastAsia="en-US"/>
              </w:rPr>
              <w:t>№</w:t>
            </w:r>
          </w:p>
        </w:tc>
        <w:tc>
          <w:tcPr>
            <w:tcW w:w="2880" w:type="dxa"/>
            <w:vMerge w:val="restart"/>
            <w:shd w:val="clear" w:color="auto" w:fill="auto"/>
            <w:tcMar>
              <w:left w:w="28" w:type="dxa"/>
              <w:right w:w="28" w:type="dxa"/>
            </w:tcMar>
            <w:vAlign w:val="center"/>
          </w:tcPr>
          <w:p w:rsidR="00642FB4" w:rsidRPr="002C0454" w:rsidRDefault="00C52F4A">
            <w:pPr>
              <w:widowControl w:val="0"/>
              <w:spacing w:line="276" w:lineRule="auto"/>
              <w:jc w:val="center"/>
              <w:rPr>
                <w:rFonts w:eastAsia="Calibri" w:cs="Arial"/>
                <w:b/>
                <w:sz w:val="20"/>
                <w:szCs w:val="20"/>
                <w:lang w:val="uk-UA" w:eastAsia="en-US"/>
              </w:rPr>
            </w:pPr>
            <w:r w:rsidRPr="002C0454">
              <w:rPr>
                <w:rFonts w:eastAsia="Calibri" w:cs="Arial"/>
                <w:b/>
                <w:sz w:val="20"/>
                <w:szCs w:val="20"/>
                <w:lang w:val="uk-UA" w:eastAsia="en-US"/>
              </w:rPr>
              <w:t>Назва</w:t>
            </w:r>
          </w:p>
        </w:tc>
        <w:tc>
          <w:tcPr>
            <w:tcW w:w="2070" w:type="dxa"/>
            <w:vMerge w:val="restart"/>
            <w:shd w:val="clear" w:color="auto" w:fill="auto"/>
            <w:tcMar>
              <w:left w:w="28" w:type="dxa"/>
              <w:right w:w="28" w:type="dxa"/>
            </w:tcMar>
            <w:vAlign w:val="center"/>
          </w:tcPr>
          <w:p w:rsidR="00642FB4" w:rsidRPr="002C0454" w:rsidRDefault="00C52F4A">
            <w:pPr>
              <w:widowControl w:val="0"/>
              <w:spacing w:line="276" w:lineRule="auto"/>
              <w:jc w:val="center"/>
              <w:rPr>
                <w:rFonts w:eastAsia="Calibri" w:cs="Arial"/>
                <w:b/>
                <w:sz w:val="20"/>
                <w:szCs w:val="20"/>
                <w:lang w:val="uk-UA" w:eastAsia="en-US"/>
              </w:rPr>
            </w:pPr>
            <w:r w:rsidRPr="002C0454">
              <w:rPr>
                <w:rFonts w:eastAsia="Calibri" w:cs="Arial"/>
                <w:b/>
                <w:sz w:val="20"/>
                <w:szCs w:val="20"/>
                <w:lang w:val="uk-UA" w:eastAsia="en-US"/>
              </w:rPr>
              <w:t>Категорія</w:t>
            </w:r>
          </w:p>
        </w:tc>
        <w:tc>
          <w:tcPr>
            <w:tcW w:w="1260" w:type="dxa"/>
            <w:vMerge w:val="restart"/>
            <w:shd w:val="clear" w:color="auto" w:fill="auto"/>
            <w:tcMar>
              <w:left w:w="28" w:type="dxa"/>
              <w:right w:w="28" w:type="dxa"/>
            </w:tcMar>
            <w:vAlign w:val="center"/>
          </w:tcPr>
          <w:p w:rsidR="00642FB4" w:rsidRPr="002C0454" w:rsidRDefault="00C52F4A">
            <w:pPr>
              <w:widowControl w:val="0"/>
              <w:spacing w:line="276" w:lineRule="auto"/>
              <w:jc w:val="center"/>
              <w:rPr>
                <w:rFonts w:eastAsia="Calibri" w:cs="Arial"/>
                <w:b/>
                <w:sz w:val="20"/>
                <w:szCs w:val="20"/>
                <w:lang w:val="uk-UA" w:eastAsia="en-US"/>
              </w:rPr>
            </w:pPr>
            <w:r w:rsidRPr="002C0454">
              <w:rPr>
                <w:rFonts w:eastAsia="Calibri" w:cs="Arial"/>
                <w:b/>
                <w:sz w:val="20"/>
                <w:szCs w:val="20"/>
                <w:lang w:val="uk-UA" w:eastAsia="en-US"/>
              </w:rPr>
              <w:t>Площа (Га)</w:t>
            </w:r>
          </w:p>
        </w:tc>
      </w:tr>
      <w:tr w:rsidR="00642FB4" w:rsidRPr="002C0454">
        <w:trPr>
          <w:trHeight w:val="464"/>
          <w:tblHeader/>
        </w:trPr>
        <w:tc>
          <w:tcPr>
            <w:tcW w:w="564" w:type="dxa"/>
            <w:vMerge/>
            <w:shd w:val="clear" w:color="auto" w:fill="auto"/>
            <w:tcMar>
              <w:left w:w="28" w:type="dxa"/>
              <w:right w:w="28" w:type="dxa"/>
            </w:tcMar>
            <w:vAlign w:val="center"/>
          </w:tcPr>
          <w:p w:rsidR="00642FB4" w:rsidRPr="002C0454" w:rsidRDefault="00642FB4">
            <w:pPr>
              <w:widowControl w:val="0"/>
              <w:spacing w:after="200" w:line="276" w:lineRule="auto"/>
              <w:jc w:val="center"/>
              <w:rPr>
                <w:rFonts w:eastAsia="Calibri" w:cs="Arial"/>
                <w:b/>
                <w:sz w:val="20"/>
                <w:szCs w:val="20"/>
                <w:lang w:eastAsia="en-US"/>
              </w:rPr>
            </w:pPr>
          </w:p>
        </w:tc>
        <w:tc>
          <w:tcPr>
            <w:tcW w:w="2880" w:type="dxa"/>
            <w:vMerge/>
            <w:shd w:val="clear" w:color="auto" w:fill="auto"/>
            <w:tcMar>
              <w:left w:w="28" w:type="dxa"/>
              <w:right w:w="28" w:type="dxa"/>
            </w:tcMar>
            <w:vAlign w:val="center"/>
          </w:tcPr>
          <w:p w:rsidR="00642FB4" w:rsidRPr="002C0454" w:rsidRDefault="00642FB4">
            <w:pPr>
              <w:widowControl w:val="0"/>
              <w:spacing w:after="200" w:line="276" w:lineRule="auto"/>
              <w:jc w:val="center"/>
              <w:rPr>
                <w:rFonts w:eastAsia="Calibri" w:cs="Arial"/>
                <w:b/>
                <w:sz w:val="20"/>
                <w:szCs w:val="20"/>
                <w:lang w:eastAsia="en-US"/>
              </w:rPr>
            </w:pPr>
          </w:p>
        </w:tc>
        <w:tc>
          <w:tcPr>
            <w:tcW w:w="2070" w:type="dxa"/>
            <w:vMerge/>
            <w:shd w:val="clear" w:color="auto" w:fill="auto"/>
            <w:tcMar>
              <w:left w:w="28" w:type="dxa"/>
              <w:right w:w="28" w:type="dxa"/>
            </w:tcMar>
            <w:vAlign w:val="center"/>
          </w:tcPr>
          <w:p w:rsidR="00642FB4" w:rsidRPr="002C0454" w:rsidRDefault="00642FB4">
            <w:pPr>
              <w:widowControl w:val="0"/>
              <w:spacing w:after="200" w:line="276" w:lineRule="auto"/>
              <w:jc w:val="center"/>
              <w:rPr>
                <w:rFonts w:eastAsia="Calibri" w:cs="Arial"/>
                <w:b/>
                <w:sz w:val="20"/>
                <w:szCs w:val="20"/>
                <w:lang w:eastAsia="en-US"/>
              </w:rPr>
            </w:pPr>
          </w:p>
        </w:tc>
        <w:tc>
          <w:tcPr>
            <w:tcW w:w="1260" w:type="dxa"/>
            <w:vMerge/>
            <w:shd w:val="clear" w:color="auto" w:fill="auto"/>
            <w:tcMar>
              <w:left w:w="28" w:type="dxa"/>
              <w:right w:w="28" w:type="dxa"/>
            </w:tcMar>
            <w:vAlign w:val="center"/>
          </w:tcPr>
          <w:p w:rsidR="00642FB4" w:rsidRPr="002C0454" w:rsidRDefault="00642FB4">
            <w:pPr>
              <w:widowControl w:val="0"/>
              <w:spacing w:after="200" w:line="276" w:lineRule="auto"/>
              <w:jc w:val="right"/>
              <w:rPr>
                <w:rFonts w:eastAsia="Calibri" w:cs="Arial"/>
                <w:b/>
                <w:sz w:val="20"/>
                <w:szCs w:val="20"/>
                <w:lang w:eastAsia="en-US"/>
              </w:rPr>
            </w:pPr>
          </w:p>
        </w:tc>
      </w:tr>
      <w:tr w:rsidR="00642FB4" w:rsidRPr="002C0454">
        <w:trPr>
          <w:trHeight w:val="227"/>
        </w:trPr>
        <w:tc>
          <w:tcPr>
            <w:tcW w:w="564" w:type="dxa"/>
            <w:tcMar>
              <w:left w:w="28" w:type="dxa"/>
              <w:right w:w="28" w:type="dxa"/>
            </w:tcMar>
            <w:vAlign w:val="center"/>
          </w:tcPr>
          <w:p w:rsidR="00642FB4" w:rsidRPr="002C0454" w:rsidRDefault="00642FB4">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1</w:t>
            </w:r>
          </w:p>
        </w:tc>
        <w:tc>
          <w:tcPr>
            <w:tcW w:w="2880" w:type="dxa"/>
            <w:tcMar>
              <w:left w:w="28" w:type="dxa"/>
              <w:right w:w="28" w:type="dxa"/>
            </w:tcMar>
            <w:vAlign w:val="center"/>
          </w:tcPr>
          <w:p w:rsidR="00642FB4" w:rsidRPr="002C0454" w:rsidRDefault="00C52F4A">
            <w:pPr>
              <w:widowControl w:val="0"/>
              <w:spacing w:before="20" w:after="20" w:line="276" w:lineRule="auto"/>
              <w:rPr>
                <w:rFonts w:eastAsia="Calibri" w:cs="Arial"/>
                <w:sz w:val="20"/>
                <w:szCs w:val="20"/>
                <w:lang w:val="uk-UA" w:eastAsia="en-US"/>
              </w:rPr>
            </w:pPr>
            <w:r w:rsidRPr="002C0454">
              <w:rPr>
                <w:rFonts w:eastAsia="Calibri" w:cs="Arial"/>
                <w:sz w:val="20"/>
                <w:szCs w:val="20"/>
                <w:lang w:val="uk-UA" w:eastAsia="en-US"/>
              </w:rPr>
              <w:t>Національний природний парк Калімані</w:t>
            </w:r>
          </w:p>
        </w:tc>
        <w:tc>
          <w:tcPr>
            <w:tcW w:w="2070" w:type="dxa"/>
            <w:tcMar>
              <w:left w:w="28" w:type="dxa"/>
              <w:right w:w="28" w:type="dxa"/>
            </w:tcMar>
            <w:vAlign w:val="center"/>
          </w:tcPr>
          <w:p w:rsidR="00642FB4" w:rsidRPr="002C0454" w:rsidRDefault="00C52F4A">
            <w:pPr>
              <w:widowControl w:val="0"/>
              <w:spacing w:before="20" w:after="20" w:line="276" w:lineRule="auto"/>
              <w:rPr>
                <w:rFonts w:eastAsia="Calibri" w:cs="Arial"/>
                <w:sz w:val="20"/>
                <w:szCs w:val="20"/>
                <w:lang w:val="uk-UA" w:eastAsia="en-US"/>
              </w:rPr>
            </w:pPr>
            <w:r w:rsidRPr="002C0454">
              <w:rPr>
                <w:rFonts w:eastAsia="Calibri" w:cs="Arial"/>
                <w:sz w:val="20"/>
                <w:szCs w:val="20"/>
                <w:lang w:val="uk-UA" w:eastAsia="en-US"/>
              </w:rPr>
              <w:t>Природний парк</w:t>
            </w:r>
          </w:p>
        </w:tc>
        <w:tc>
          <w:tcPr>
            <w:tcW w:w="1260" w:type="dxa"/>
            <w:tcMar>
              <w:left w:w="28" w:type="dxa"/>
              <w:right w:w="28" w:type="dxa"/>
            </w:tcMar>
          </w:tcPr>
          <w:p w:rsidR="00642FB4" w:rsidRPr="002C0454" w:rsidRDefault="00642FB4">
            <w:pPr>
              <w:spacing w:before="20" w:after="20" w:line="276" w:lineRule="auto"/>
              <w:jc w:val="right"/>
              <w:rPr>
                <w:rFonts w:eastAsia="Calibri" w:cs="Arial"/>
                <w:sz w:val="20"/>
                <w:szCs w:val="20"/>
                <w:lang w:eastAsia="en-US"/>
              </w:rPr>
            </w:pPr>
            <w:r w:rsidRPr="002C0454">
              <w:rPr>
                <w:rFonts w:eastAsia="Calibri" w:cs="Arial"/>
                <w:sz w:val="20"/>
                <w:szCs w:val="20"/>
                <w:lang w:eastAsia="en-US"/>
              </w:rPr>
              <w:t>10700</w:t>
            </w:r>
          </w:p>
        </w:tc>
      </w:tr>
      <w:tr w:rsidR="00642FB4" w:rsidRPr="002C0454">
        <w:trPr>
          <w:trHeight w:val="144"/>
        </w:trPr>
        <w:tc>
          <w:tcPr>
            <w:tcW w:w="564" w:type="dxa"/>
            <w:tcMar>
              <w:left w:w="28" w:type="dxa"/>
              <w:right w:w="28" w:type="dxa"/>
            </w:tcMar>
            <w:vAlign w:val="center"/>
          </w:tcPr>
          <w:p w:rsidR="00642FB4" w:rsidRPr="002C0454" w:rsidRDefault="00642FB4">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2</w:t>
            </w:r>
          </w:p>
        </w:tc>
        <w:tc>
          <w:tcPr>
            <w:tcW w:w="2880" w:type="dxa"/>
            <w:tcMar>
              <w:left w:w="28" w:type="dxa"/>
              <w:right w:w="28" w:type="dxa"/>
            </w:tcMar>
            <w:vAlign w:val="center"/>
          </w:tcPr>
          <w:p w:rsidR="00642FB4" w:rsidRPr="002C0454" w:rsidRDefault="00C52F4A">
            <w:pPr>
              <w:widowControl w:val="0"/>
              <w:spacing w:before="20" w:after="20" w:line="276" w:lineRule="auto"/>
              <w:rPr>
                <w:rFonts w:eastAsia="Calibri" w:cs="Arial"/>
                <w:sz w:val="20"/>
                <w:szCs w:val="20"/>
                <w:lang w:val="uk-UA" w:eastAsia="en-US"/>
              </w:rPr>
            </w:pPr>
            <w:r w:rsidRPr="002C0454">
              <w:rPr>
                <w:rFonts w:eastAsia="Calibri" w:cs="Arial"/>
                <w:sz w:val="20"/>
                <w:szCs w:val="20"/>
                <w:lang w:val="uk-UA" w:eastAsia="en-US"/>
              </w:rPr>
              <w:t>Фентинеле секуларе</w:t>
            </w:r>
            <w:r w:rsidR="00C60823" w:rsidRPr="002C0454">
              <w:rPr>
                <w:rFonts w:eastAsia="Calibri" w:cs="Arial"/>
                <w:sz w:val="20"/>
                <w:szCs w:val="20"/>
                <w:lang w:val="uk-UA" w:eastAsia="en-US"/>
              </w:rPr>
              <w:t xml:space="preserve"> Понореа</w:t>
            </w:r>
          </w:p>
        </w:tc>
        <w:tc>
          <w:tcPr>
            <w:tcW w:w="2070" w:type="dxa"/>
            <w:tcMar>
              <w:left w:w="28" w:type="dxa"/>
              <w:right w:w="28" w:type="dxa"/>
            </w:tcMar>
            <w:vAlign w:val="center"/>
          </w:tcPr>
          <w:p w:rsidR="00642FB4" w:rsidRPr="002C0454" w:rsidRDefault="00C52F4A">
            <w:pPr>
              <w:widowControl w:val="0"/>
              <w:spacing w:before="20" w:after="20" w:line="276" w:lineRule="auto"/>
              <w:rPr>
                <w:rFonts w:eastAsia="Calibri" w:cs="Arial"/>
                <w:sz w:val="20"/>
                <w:szCs w:val="20"/>
                <w:lang w:val="uk-UA" w:eastAsia="en-US"/>
              </w:rPr>
            </w:pPr>
            <w:r w:rsidRPr="002C0454">
              <w:rPr>
                <w:rFonts w:eastAsia="Calibri" w:cs="Arial"/>
                <w:sz w:val="20"/>
                <w:szCs w:val="20"/>
                <w:lang w:val="uk-UA" w:eastAsia="en-US"/>
              </w:rPr>
              <w:t xml:space="preserve">Ботанічний заповідник </w:t>
            </w:r>
          </w:p>
        </w:tc>
        <w:tc>
          <w:tcPr>
            <w:tcW w:w="1260" w:type="dxa"/>
            <w:tcMar>
              <w:left w:w="28" w:type="dxa"/>
              <w:right w:w="28" w:type="dxa"/>
            </w:tcMar>
            <w:vAlign w:val="center"/>
          </w:tcPr>
          <w:p w:rsidR="00642FB4" w:rsidRPr="002C0454" w:rsidRDefault="00642FB4">
            <w:pPr>
              <w:spacing w:before="20" w:after="20" w:line="276" w:lineRule="auto"/>
              <w:jc w:val="right"/>
              <w:rPr>
                <w:rFonts w:eastAsia="Calibri" w:cs="Arial"/>
                <w:sz w:val="20"/>
                <w:szCs w:val="20"/>
                <w:lang w:eastAsia="en-US"/>
              </w:rPr>
            </w:pPr>
            <w:r w:rsidRPr="002C0454">
              <w:rPr>
                <w:rFonts w:eastAsia="Calibri" w:cs="Arial"/>
                <w:sz w:val="20"/>
                <w:szCs w:val="20"/>
                <w:lang w:eastAsia="en-US"/>
              </w:rPr>
              <w:t>24,50</w:t>
            </w:r>
          </w:p>
        </w:tc>
      </w:tr>
      <w:tr w:rsidR="00642FB4" w:rsidRPr="002C0454">
        <w:trPr>
          <w:trHeight w:val="144"/>
        </w:trPr>
        <w:tc>
          <w:tcPr>
            <w:tcW w:w="564" w:type="dxa"/>
            <w:tcMar>
              <w:left w:w="28" w:type="dxa"/>
              <w:right w:w="28" w:type="dxa"/>
            </w:tcMar>
            <w:vAlign w:val="center"/>
          </w:tcPr>
          <w:p w:rsidR="00642FB4" w:rsidRPr="002C0454" w:rsidRDefault="00642FB4">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3</w:t>
            </w:r>
          </w:p>
        </w:tc>
        <w:tc>
          <w:tcPr>
            <w:tcW w:w="2880" w:type="dxa"/>
            <w:tcMar>
              <w:left w:w="28" w:type="dxa"/>
              <w:right w:w="28" w:type="dxa"/>
            </w:tcMar>
            <w:vAlign w:val="center"/>
          </w:tcPr>
          <w:p w:rsidR="00642FB4" w:rsidRPr="002C0454" w:rsidRDefault="00C52F4A">
            <w:pPr>
              <w:widowControl w:val="0"/>
              <w:spacing w:before="20" w:after="20" w:line="276" w:lineRule="auto"/>
              <w:rPr>
                <w:rFonts w:eastAsia="Calibri" w:cs="Arial"/>
                <w:sz w:val="20"/>
                <w:szCs w:val="20"/>
                <w:lang w:val="uk-UA" w:eastAsia="en-US"/>
              </w:rPr>
            </w:pPr>
            <w:r w:rsidRPr="002C0454">
              <w:rPr>
                <w:rFonts w:eastAsia="Calibri" w:cs="Arial"/>
                <w:sz w:val="20"/>
                <w:szCs w:val="20"/>
                <w:lang w:val="uk-UA" w:eastAsia="en-US"/>
              </w:rPr>
              <w:t xml:space="preserve">Фентинеле секуларе Фрумоса </w:t>
            </w:r>
          </w:p>
        </w:tc>
        <w:tc>
          <w:tcPr>
            <w:tcW w:w="2070" w:type="dxa"/>
            <w:tcMar>
              <w:left w:w="28" w:type="dxa"/>
              <w:right w:w="28" w:type="dxa"/>
            </w:tcMar>
            <w:vAlign w:val="center"/>
          </w:tcPr>
          <w:p w:rsidR="00642FB4" w:rsidRPr="002C0454" w:rsidRDefault="00C52F4A">
            <w:pPr>
              <w:widowControl w:val="0"/>
              <w:spacing w:before="20" w:after="20" w:line="276" w:lineRule="auto"/>
              <w:rPr>
                <w:rFonts w:eastAsia="Calibri" w:cs="Arial"/>
                <w:sz w:val="20"/>
                <w:szCs w:val="20"/>
                <w:lang w:eastAsia="en-US"/>
              </w:rPr>
            </w:pPr>
            <w:r w:rsidRPr="002C0454">
              <w:rPr>
                <w:rFonts w:eastAsia="Calibri" w:cs="Arial"/>
                <w:sz w:val="20"/>
                <w:szCs w:val="20"/>
                <w:lang w:val="uk-UA" w:eastAsia="en-US"/>
              </w:rPr>
              <w:t>Ботанічний заповідник</w:t>
            </w:r>
          </w:p>
        </w:tc>
        <w:tc>
          <w:tcPr>
            <w:tcW w:w="1260" w:type="dxa"/>
            <w:tcMar>
              <w:left w:w="28" w:type="dxa"/>
              <w:right w:w="28" w:type="dxa"/>
            </w:tcMar>
            <w:vAlign w:val="center"/>
          </w:tcPr>
          <w:p w:rsidR="00642FB4" w:rsidRPr="002C0454" w:rsidRDefault="00642FB4">
            <w:pPr>
              <w:spacing w:before="20" w:after="20" w:line="276" w:lineRule="auto"/>
              <w:jc w:val="right"/>
              <w:rPr>
                <w:rFonts w:eastAsia="Calibri" w:cs="Arial"/>
                <w:sz w:val="20"/>
                <w:szCs w:val="20"/>
                <w:lang w:eastAsia="en-US"/>
              </w:rPr>
            </w:pPr>
            <w:r w:rsidRPr="002C0454">
              <w:rPr>
                <w:rFonts w:eastAsia="Calibri" w:cs="Arial"/>
                <w:sz w:val="20"/>
                <w:szCs w:val="20"/>
                <w:lang w:eastAsia="en-US"/>
              </w:rPr>
              <w:t>9,50</w:t>
            </w:r>
          </w:p>
        </w:tc>
      </w:tr>
      <w:tr w:rsidR="00642FB4" w:rsidRPr="002C0454">
        <w:trPr>
          <w:trHeight w:val="144"/>
        </w:trPr>
        <w:tc>
          <w:tcPr>
            <w:tcW w:w="564" w:type="dxa"/>
            <w:tcMar>
              <w:left w:w="28" w:type="dxa"/>
              <w:right w:w="28" w:type="dxa"/>
            </w:tcMar>
            <w:vAlign w:val="center"/>
          </w:tcPr>
          <w:p w:rsidR="00642FB4" w:rsidRPr="002C0454" w:rsidRDefault="00642FB4">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4</w:t>
            </w:r>
          </w:p>
        </w:tc>
        <w:tc>
          <w:tcPr>
            <w:tcW w:w="2880" w:type="dxa"/>
            <w:tcMar>
              <w:left w:w="28" w:type="dxa"/>
              <w:right w:w="28" w:type="dxa"/>
            </w:tcMar>
            <w:vAlign w:val="center"/>
          </w:tcPr>
          <w:p w:rsidR="00642FB4" w:rsidRPr="002C0454" w:rsidRDefault="00C60823">
            <w:pPr>
              <w:spacing w:before="20" w:after="20" w:line="276" w:lineRule="auto"/>
              <w:rPr>
                <w:rFonts w:eastAsia="Calibri" w:cs="Arial"/>
                <w:b/>
                <w:sz w:val="20"/>
                <w:szCs w:val="20"/>
                <w:lang w:val="uk-UA" w:eastAsia="en-US"/>
              </w:rPr>
            </w:pPr>
            <w:r w:rsidRPr="002C0454">
              <w:rPr>
                <w:rFonts w:eastAsia="Calibri" w:cs="Arial"/>
                <w:sz w:val="20"/>
                <w:szCs w:val="20"/>
                <w:lang w:val="uk-UA" w:eastAsia="en-US"/>
              </w:rPr>
              <w:t xml:space="preserve">Пієтреле Домней Рареу </w:t>
            </w:r>
          </w:p>
        </w:tc>
        <w:tc>
          <w:tcPr>
            <w:tcW w:w="2070" w:type="dxa"/>
            <w:tcMar>
              <w:left w:w="28" w:type="dxa"/>
              <w:right w:w="28" w:type="dxa"/>
            </w:tcMar>
            <w:vAlign w:val="center"/>
          </w:tcPr>
          <w:p w:rsidR="00642FB4" w:rsidRPr="002C0454" w:rsidRDefault="00C60823">
            <w:pPr>
              <w:spacing w:before="20" w:after="20" w:line="276" w:lineRule="auto"/>
              <w:rPr>
                <w:rFonts w:eastAsia="Calibri" w:cs="Arial"/>
                <w:sz w:val="20"/>
                <w:szCs w:val="20"/>
                <w:lang w:val="uk-UA" w:eastAsia="en-US"/>
              </w:rPr>
            </w:pPr>
            <w:r w:rsidRPr="002C0454">
              <w:rPr>
                <w:rFonts w:eastAsia="Calibri" w:cs="Arial"/>
                <w:sz w:val="20"/>
                <w:szCs w:val="20"/>
                <w:lang w:val="uk-UA" w:eastAsia="en-US"/>
              </w:rPr>
              <w:t xml:space="preserve">Змішаний заповідник </w:t>
            </w:r>
          </w:p>
        </w:tc>
        <w:tc>
          <w:tcPr>
            <w:tcW w:w="1260" w:type="dxa"/>
            <w:tcMar>
              <w:left w:w="28" w:type="dxa"/>
              <w:right w:w="28" w:type="dxa"/>
            </w:tcMar>
            <w:vAlign w:val="center"/>
          </w:tcPr>
          <w:p w:rsidR="00642FB4" w:rsidRPr="002C0454" w:rsidRDefault="00642FB4">
            <w:pPr>
              <w:spacing w:before="20" w:after="20" w:line="276" w:lineRule="auto"/>
              <w:jc w:val="right"/>
              <w:rPr>
                <w:rFonts w:eastAsia="Calibri" w:cs="Arial"/>
                <w:b/>
                <w:sz w:val="20"/>
                <w:szCs w:val="20"/>
                <w:lang w:eastAsia="en-US"/>
              </w:rPr>
            </w:pPr>
            <w:r w:rsidRPr="002C0454">
              <w:rPr>
                <w:rFonts w:eastAsia="Calibri" w:cs="Arial"/>
                <w:sz w:val="20"/>
                <w:szCs w:val="20"/>
                <w:lang w:eastAsia="en-US"/>
              </w:rPr>
              <w:t>973,00</w:t>
            </w:r>
          </w:p>
        </w:tc>
      </w:tr>
      <w:tr w:rsidR="00642FB4" w:rsidRPr="002C0454">
        <w:trPr>
          <w:trHeight w:val="144"/>
        </w:trPr>
        <w:tc>
          <w:tcPr>
            <w:tcW w:w="564" w:type="dxa"/>
            <w:tcMar>
              <w:left w:w="28" w:type="dxa"/>
              <w:right w:w="28" w:type="dxa"/>
            </w:tcMar>
            <w:vAlign w:val="center"/>
          </w:tcPr>
          <w:p w:rsidR="00642FB4" w:rsidRPr="002C0454" w:rsidRDefault="00642FB4">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5</w:t>
            </w:r>
          </w:p>
        </w:tc>
        <w:tc>
          <w:tcPr>
            <w:tcW w:w="2880" w:type="dxa"/>
            <w:tcMar>
              <w:left w:w="28" w:type="dxa"/>
              <w:right w:w="28" w:type="dxa"/>
            </w:tcMar>
            <w:vAlign w:val="center"/>
          </w:tcPr>
          <w:p w:rsidR="00642FB4" w:rsidRPr="002C0454" w:rsidRDefault="00C60823">
            <w:pPr>
              <w:spacing w:before="20" w:after="20" w:line="276" w:lineRule="auto"/>
              <w:rPr>
                <w:rFonts w:eastAsia="Calibri" w:cs="Arial"/>
                <w:b/>
                <w:sz w:val="20"/>
                <w:szCs w:val="20"/>
                <w:lang w:val="uk-UA" w:eastAsia="en-US"/>
              </w:rPr>
            </w:pPr>
            <w:r w:rsidRPr="002C0454">
              <w:rPr>
                <w:rFonts w:eastAsia="Calibri" w:cs="Arial"/>
                <w:sz w:val="20"/>
                <w:szCs w:val="20"/>
                <w:lang w:val="uk-UA" w:eastAsia="en-US"/>
              </w:rPr>
              <w:t xml:space="preserve">Кеєле Зугренілор </w:t>
            </w:r>
          </w:p>
        </w:tc>
        <w:tc>
          <w:tcPr>
            <w:tcW w:w="2070" w:type="dxa"/>
            <w:tcMar>
              <w:left w:w="28" w:type="dxa"/>
              <w:right w:w="28" w:type="dxa"/>
            </w:tcMar>
            <w:vAlign w:val="center"/>
          </w:tcPr>
          <w:p w:rsidR="00642FB4" w:rsidRPr="002C0454" w:rsidRDefault="00C60823">
            <w:pPr>
              <w:spacing w:before="20" w:after="20" w:line="276" w:lineRule="auto"/>
              <w:rPr>
                <w:rFonts w:eastAsia="Calibri" w:cs="Arial"/>
                <w:sz w:val="20"/>
                <w:szCs w:val="20"/>
                <w:lang w:eastAsia="en-US"/>
              </w:rPr>
            </w:pPr>
            <w:r w:rsidRPr="002C0454">
              <w:rPr>
                <w:rFonts w:eastAsia="Calibri" w:cs="Arial"/>
                <w:sz w:val="20"/>
                <w:szCs w:val="20"/>
                <w:lang w:val="uk-UA" w:eastAsia="en-US"/>
              </w:rPr>
              <w:t>Змішаний заповідник</w:t>
            </w:r>
          </w:p>
        </w:tc>
        <w:tc>
          <w:tcPr>
            <w:tcW w:w="1260" w:type="dxa"/>
            <w:tcMar>
              <w:left w:w="28" w:type="dxa"/>
              <w:right w:w="28" w:type="dxa"/>
            </w:tcMar>
            <w:vAlign w:val="center"/>
          </w:tcPr>
          <w:p w:rsidR="00642FB4" w:rsidRPr="002C0454" w:rsidRDefault="00642FB4">
            <w:pPr>
              <w:spacing w:before="20" w:after="20" w:line="276" w:lineRule="auto"/>
              <w:jc w:val="right"/>
              <w:rPr>
                <w:rFonts w:eastAsia="Calibri" w:cs="Arial"/>
                <w:b/>
                <w:sz w:val="20"/>
                <w:szCs w:val="20"/>
                <w:lang w:eastAsia="en-US"/>
              </w:rPr>
            </w:pPr>
            <w:r w:rsidRPr="002C0454">
              <w:rPr>
                <w:rFonts w:eastAsia="Calibri" w:cs="Arial"/>
                <w:sz w:val="20"/>
                <w:szCs w:val="20"/>
                <w:lang w:eastAsia="en-US"/>
              </w:rPr>
              <w:t>314,00</w:t>
            </w:r>
          </w:p>
        </w:tc>
      </w:tr>
      <w:tr w:rsidR="00642FB4" w:rsidRPr="002C0454">
        <w:trPr>
          <w:trHeight w:val="144"/>
        </w:trPr>
        <w:tc>
          <w:tcPr>
            <w:tcW w:w="564" w:type="dxa"/>
            <w:tcMar>
              <w:left w:w="28" w:type="dxa"/>
              <w:right w:w="28" w:type="dxa"/>
            </w:tcMar>
            <w:vAlign w:val="center"/>
          </w:tcPr>
          <w:p w:rsidR="00642FB4" w:rsidRPr="002C0454" w:rsidRDefault="00642FB4">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6</w:t>
            </w:r>
          </w:p>
        </w:tc>
        <w:tc>
          <w:tcPr>
            <w:tcW w:w="2880" w:type="dxa"/>
            <w:tcMar>
              <w:left w:w="28" w:type="dxa"/>
              <w:right w:w="28" w:type="dxa"/>
            </w:tcMar>
            <w:vAlign w:val="center"/>
          </w:tcPr>
          <w:p w:rsidR="00642FB4" w:rsidRPr="002C0454" w:rsidRDefault="00C60823">
            <w:pPr>
              <w:spacing w:before="20" w:after="20" w:line="276" w:lineRule="auto"/>
              <w:rPr>
                <w:rFonts w:eastAsia="Calibri" w:cs="Arial"/>
                <w:b/>
                <w:sz w:val="20"/>
                <w:szCs w:val="20"/>
                <w:lang w:val="uk-UA" w:eastAsia="en-US"/>
              </w:rPr>
            </w:pPr>
            <w:r w:rsidRPr="002C0454">
              <w:rPr>
                <w:rFonts w:eastAsia="Calibri" w:cs="Arial"/>
                <w:sz w:val="20"/>
                <w:szCs w:val="20"/>
                <w:lang w:val="uk-UA" w:eastAsia="en-US"/>
              </w:rPr>
              <w:t xml:space="preserve">Кодрул Секулар Слатіора </w:t>
            </w:r>
          </w:p>
        </w:tc>
        <w:tc>
          <w:tcPr>
            <w:tcW w:w="2070" w:type="dxa"/>
            <w:tcMar>
              <w:left w:w="28" w:type="dxa"/>
              <w:right w:w="28" w:type="dxa"/>
            </w:tcMar>
            <w:vAlign w:val="center"/>
          </w:tcPr>
          <w:p w:rsidR="00642FB4" w:rsidRPr="002C0454" w:rsidRDefault="00C60823">
            <w:pPr>
              <w:spacing w:before="20" w:after="20" w:line="276" w:lineRule="auto"/>
              <w:rPr>
                <w:rFonts w:eastAsia="Calibri" w:cs="Arial"/>
                <w:sz w:val="20"/>
                <w:szCs w:val="20"/>
                <w:lang w:val="uk-UA" w:eastAsia="en-US"/>
              </w:rPr>
            </w:pPr>
            <w:r w:rsidRPr="002C0454">
              <w:rPr>
                <w:rFonts w:eastAsia="Calibri" w:cs="Arial"/>
                <w:sz w:val="20"/>
                <w:szCs w:val="20"/>
                <w:lang w:val="uk-UA" w:eastAsia="en-US"/>
              </w:rPr>
              <w:t>Лісовий заповідник</w:t>
            </w:r>
          </w:p>
        </w:tc>
        <w:tc>
          <w:tcPr>
            <w:tcW w:w="1260" w:type="dxa"/>
            <w:tcMar>
              <w:left w:w="28" w:type="dxa"/>
              <w:right w:w="28" w:type="dxa"/>
            </w:tcMar>
            <w:vAlign w:val="center"/>
          </w:tcPr>
          <w:p w:rsidR="00642FB4" w:rsidRPr="002C0454" w:rsidRDefault="00642FB4">
            <w:pPr>
              <w:spacing w:before="20" w:after="20" w:line="276" w:lineRule="auto"/>
              <w:jc w:val="right"/>
              <w:rPr>
                <w:rFonts w:eastAsia="Calibri" w:cs="Arial"/>
                <w:b/>
                <w:sz w:val="20"/>
                <w:szCs w:val="20"/>
                <w:lang w:eastAsia="en-US"/>
              </w:rPr>
            </w:pPr>
            <w:r w:rsidRPr="002C0454">
              <w:rPr>
                <w:rFonts w:eastAsia="Calibri" w:cs="Arial"/>
                <w:sz w:val="20"/>
                <w:szCs w:val="20"/>
                <w:lang w:eastAsia="en-US"/>
              </w:rPr>
              <w:t>1064,20</w:t>
            </w:r>
          </w:p>
        </w:tc>
      </w:tr>
      <w:tr w:rsidR="00C60823" w:rsidRPr="002C0454" w:rsidTr="001A3E45">
        <w:trPr>
          <w:trHeight w:val="144"/>
        </w:trPr>
        <w:tc>
          <w:tcPr>
            <w:tcW w:w="564" w:type="dxa"/>
            <w:tcMar>
              <w:left w:w="28" w:type="dxa"/>
              <w:right w:w="28" w:type="dxa"/>
            </w:tcMar>
            <w:vAlign w:val="center"/>
          </w:tcPr>
          <w:p w:rsidR="00C60823" w:rsidRPr="002C0454" w:rsidRDefault="00C60823">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7</w:t>
            </w:r>
          </w:p>
        </w:tc>
        <w:tc>
          <w:tcPr>
            <w:tcW w:w="2880" w:type="dxa"/>
            <w:tcMar>
              <w:left w:w="28" w:type="dxa"/>
              <w:right w:w="28" w:type="dxa"/>
            </w:tcMar>
            <w:vAlign w:val="center"/>
          </w:tcPr>
          <w:p w:rsidR="00C60823" w:rsidRPr="002C0454" w:rsidRDefault="00C60823">
            <w:pPr>
              <w:spacing w:before="20" w:after="20" w:line="276" w:lineRule="auto"/>
              <w:rPr>
                <w:rFonts w:eastAsia="Calibri" w:cs="Arial"/>
                <w:b/>
                <w:sz w:val="20"/>
                <w:szCs w:val="20"/>
                <w:lang w:val="uk-UA" w:eastAsia="en-US"/>
              </w:rPr>
            </w:pPr>
            <w:r w:rsidRPr="002C0454">
              <w:rPr>
                <w:rFonts w:eastAsia="Calibri" w:cs="Arial"/>
                <w:sz w:val="20"/>
                <w:szCs w:val="20"/>
                <w:lang w:val="uk-UA" w:eastAsia="en-US"/>
              </w:rPr>
              <w:t xml:space="preserve">Кодрул секулар Гюмалеу </w:t>
            </w:r>
          </w:p>
        </w:tc>
        <w:tc>
          <w:tcPr>
            <w:tcW w:w="2070" w:type="dxa"/>
            <w:tcMar>
              <w:left w:w="28" w:type="dxa"/>
              <w:right w:w="28" w:type="dxa"/>
            </w:tcMar>
          </w:tcPr>
          <w:p w:rsidR="00C60823" w:rsidRPr="002C0454" w:rsidRDefault="00C60823">
            <w:pPr>
              <w:spacing w:before="20" w:after="20" w:line="276" w:lineRule="auto"/>
              <w:rPr>
                <w:rFonts w:eastAsia="Calibri" w:cs="Arial"/>
                <w:sz w:val="20"/>
                <w:szCs w:val="20"/>
                <w:lang w:eastAsia="en-US"/>
              </w:rPr>
            </w:pPr>
            <w:r w:rsidRPr="002C0454">
              <w:rPr>
                <w:rFonts w:eastAsia="Calibri" w:cs="Arial"/>
                <w:sz w:val="20"/>
                <w:szCs w:val="20"/>
                <w:lang w:val="uk-UA" w:eastAsia="en-US"/>
              </w:rPr>
              <w:t>Лісовий заповідник</w:t>
            </w:r>
          </w:p>
        </w:tc>
        <w:tc>
          <w:tcPr>
            <w:tcW w:w="1260" w:type="dxa"/>
            <w:tcMar>
              <w:left w:w="28" w:type="dxa"/>
              <w:right w:w="28" w:type="dxa"/>
            </w:tcMar>
            <w:vAlign w:val="center"/>
          </w:tcPr>
          <w:p w:rsidR="00C60823" w:rsidRPr="002C0454" w:rsidRDefault="00C60823">
            <w:pPr>
              <w:spacing w:before="20" w:after="20" w:line="276" w:lineRule="auto"/>
              <w:jc w:val="right"/>
              <w:rPr>
                <w:rFonts w:eastAsia="Calibri" w:cs="Arial"/>
                <w:b/>
                <w:sz w:val="20"/>
                <w:szCs w:val="20"/>
                <w:lang w:eastAsia="en-US"/>
              </w:rPr>
            </w:pPr>
            <w:r w:rsidRPr="002C0454">
              <w:rPr>
                <w:rFonts w:eastAsia="Calibri" w:cs="Arial"/>
                <w:sz w:val="20"/>
                <w:szCs w:val="20"/>
                <w:lang w:eastAsia="en-US"/>
              </w:rPr>
              <w:t>309,50</w:t>
            </w:r>
          </w:p>
        </w:tc>
      </w:tr>
      <w:tr w:rsidR="00C60823" w:rsidRPr="002C0454" w:rsidTr="001A3E45">
        <w:trPr>
          <w:trHeight w:val="144"/>
        </w:trPr>
        <w:tc>
          <w:tcPr>
            <w:tcW w:w="564" w:type="dxa"/>
            <w:tcMar>
              <w:left w:w="28" w:type="dxa"/>
              <w:right w:w="28" w:type="dxa"/>
            </w:tcMar>
            <w:vAlign w:val="center"/>
          </w:tcPr>
          <w:p w:rsidR="00C60823" w:rsidRPr="002C0454" w:rsidRDefault="00C60823">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8</w:t>
            </w:r>
          </w:p>
        </w:tc>
        <w:tc>
          <w:tcPr>
            <w:tcW w:w="2880" w:type="dxa"/>
            <w:tcMar>
              <w:left w:w="28" w:type="dxa"/>
              <w:right w:w="28" w:type="dxa"/>
            </w:tcMar>
            <w:vAlign w:val="center"/>
          </w:tcPr>
          <w:p w:rsidR="00C60823" w:rsidRPr="002C0454" w:rsidRDefault="00C60823">
            <w:pPr>
              <w:spacing w:before="20" w:after="20" w:line="276" w:lineRule="auto"/>
              <w:rPr>
                <w:rFonts w:eastAsia="Calibri" w:cs="Arial"/>
                <w:b/>
                <w:sz w:val="20"/>
                <w:szCs w:val="20"/>
                <w:lang w:val="uk-UA" w:eastAsia="en-US"/>
              </w:rPr>
            </w:pPr>
            <w:r w:rsidRPr="002C0454">
              <w:rPr>
                <w:rFonts w:eastAsia="Calibri" w:cs="Arial"/>
                <w:sz w:val="20"/>
                <w:szCs w:val="20"/>
                <w:lang w:val="uk-UA" w:eastAsia="en-US"/>
              </w:rPr>
              <w:t xml:space="preserve">Тіновул Пояна Стимпей </w:t>
            </w:r>
          </w:p>
        </w:tc>
        <w:tc>
          <w:tcPr>
            <w:tcW w:w="2070" w:type="dxa"/>
            <w:tcMar>
              <w:left w:w="28" w:type="dxa"/>
              <w:right w:w="28" w:type="dxa"/>
            </w:tcMar>
          </w:tcPr>
          <w:p w:rsidR="00C60823" w:rsidRPr="002C0454" w:rsidRDefault="00C60823">
            <w:pPr>
              <w:spacing w:before="20" w:after="20" w:line="276" w:lineRule="auto"/>
              <w:rPr>
                <w:rFonts w:eastAsia="Calibri" w:cs="Arial"/>
                <w:sz w:val="20"/>
                <w:szCs w:val="20"/>
                <w:lang w:eastAsia="en-US"/>
              </w:rPr>
            </w:pPr>
            <w:r w:rsidRPr="002C0454">
              <w:rPr>
                <w:rFonts w:eastAsia="Calibri" w:cs="Arial"/>
                <w:sz w:val="20"/>
                <w:szCs w:val="20"/>
                <w:lang w:val="uk-UA" w:eastAsia="en-US"/>
              </w:rPr>
              <w:t>Лісовий заповідник</w:t>
            </w:r>
          </w:p>
        </w:tc>
        <w:tc>
          <w:tcPr>
            <w:tcW w:w="1260" w:type="dxa"/>
            <w:tcMar>
              <w:left w:w="28" w:type="dxa"/>
              <w:right w:w="28" w:type="dxa"/>
            </w:tcMar>
            <w:vAlign w:val="center"/>
          </w:tcPr>
          <w:p w:rsidR="00C60823" w:rsidRPr="002C0454" w:rsidRDefault="00C60823">
            <w:pPr>
              <w:spacing w:before="20" w:after="20" w:line="276" w:lineRule="auto"/>
              <w:jc w:val="right"/>
              <w:rPr>
                <w:rFonts w:eastAsia="Calibri" w:cs="Arial"/>
                <w:b/>
                <w:sz w:val="20"/>
                <w:szCs w:val="20"/>
                <w:lang w:eastAsia="en-US"/>
              </w:rPr>
            </w:pPr>
            <w:r w:rsidRPr="002C0454">
              <w:rPr>
                <w:rFonts w:eastAsia="Calibri" w:cs="Arial"/>
                <w:sz w:val="20"/>
                <w:szCs w:val="20"/>
                <w:lang w:eastAsia="en-US"/>
              </w:rPr>
              <w:t>681,8</w:t>
            </w:r>
          </w:p>
        </w:tc>
      </w:tr>
      <w:tr w:rsidR="00C60823" w:rsidRPr="002C0454" w:rsidTr="001A3E45">
        <w:trPr>
          <w:trHeight w:val="144"/>
        </w:trPr>
        <w:tc>
          <w:tcPr>
            <w:tcW w:w="564" w:type="dxa"/>
            <w:tcMar>
              <w:left w:w="28" w:type="dxa"/>
              <w:right w:w="28" w:type="dxa"/>
            </w:tcMar>
            <w:vAlign w:val="center"/>
          </w:tcPr>
          <w:p w:rsidR="00C60823" w:rsidRPr="002C0454" w:rsidRDefault="00C60823">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9</w:t>
            </w:r>
          </w:p>
        </w:tc>
        <w:tc>
          <w:tcPr>
            <w:tcW w:w="2880" w:type="dxa"/>
            <w:tcMar>
              <w:left w:w="28" w:type="dxa"/>
              <w:right w:w="28" w:type="dxa"/>
            </w:tcMar>
            <w:vAlign w:val="center"/>
          </w:tcPr>
          <w:p w:rsidR="00C60823" w:rsidRPr="002C0454" w:rsidRDefault="00C60823">
            <w:pPr>
              <w:spacing w:before="20" w:after="20" w:line="276" w:lineRule="auto"/>
              <w:rPr>
                <w:rFonts w:eastAsia="Calibri" w:cs="Arial"/>
                <w:b/>
                <w:sz w:val="20"/>
                <w:szCs w:val="20"/>
                <w:lang w:val="uk-UA" w:eastAsia="en-US"/>
              </w:rPr>
            </w:pPr>
            <w:r w:rsidRPr="002C0454">
              <w:rPr>
                <w:rFonts w:eastAsia="Calibri" w:cs="Arial"/>
                <w:sz w:val="20"/>
                <w:szCs w:val="20"/>
                <w:lang w:val="uk-UA" w:eastAsia="en-US"/>
              </w:rPr>
              <w:t xml:space="preserve">Тіновул Шару Дорней </w:t>
            </w:r>
          </w:p>
        </w:tc>
        <w:tc>
          <w:tcPr>
            <w:tcW w:w="2070" w:type="dxa"/>
            <w:tcMar>
              <w:left w:w="28" w:type="dxa"/>
              <w:right w:w="28" w:type="dxa"/>
            </w:tcMar>
          </w:tcPr>
          <w:p w:rsidR="00C60823" w:rsidRPr="002C0454" w:rsidRDefault="00C60823">
            <w:pPr>
              <w:spacing w:before="20" w:after="20" w:line="276" w:lineRule="auto"/>
              <w:rPr>
                <w:rFonts w:eastAsia="Calibri" w:cs="Arial"/>
                <w:sz w:val="20"/>
                <w:szCs w:val="20"/>
                <w:lang w:eastAsia="en-US"/>
              </w:rPr>
            </w:pPr>
            <w:r w:rsidRPr="002C0454">
              <w:rPr>
                <w:rFonts w:eastAsia="Calibri" w:cs="Arial"/>
                <w:sz w:val="20"/>
                <w:szCs w:val="20"/>
                <w:lang w:val="uk-UA" w:eastAsia="en-US"/>
              </w:rPr>
              <w:t>Лісовий заповідник</w:t>
            </w:r>
          </w:p>
        </w:tc>
        <w:tc>
          <w:tcPr>
            <w:tcW w:w="1260" w:type="dxa"/>
            <w:tcMar>
              <w:left w:w="28" w:type="dxa"/>
              <w:right w:w="28" w:type="dxa"/>
            </w:tcMar>
            <w:vAlign w:val="center"/>
          </w:tcPr>
          <w:p w:rsidR="00C60823" w:rsidRPr="002C0454" w:rsidRDefault="00C60823">
            <w:pPr>
              <w:spacing w:before="20" w:after="20" w:line="276" w:lineRule="auto"/>
              <w:jc w:val="right"/>
              <w:rPr>
                <w:rFonts w:eastAsia="Calibri" w:cs="Arial"/>
                <w:b/>
                <w:sz w:val="20"/>
                <w:szCs w:val="20"/>
                <w:lang w:eastAsia="en-US"/>
              </w:rPr>
            </w:pPr>
            <w:r w:rsidRPr="002C0454">
              <w:rPr>
                <w:rFonts w:eastAsia="Calibri" w:cs="Arial"/>
                <w:sz w:val="20"/>
                <w:szCs w:val="20"/>
                <w:lang w:eastAsia="en-US"/>
              </w:rPr>
              <w:t>36,0</w:t>
            </w:r>
          </w:p>
        </w:tc>
      </w:tr>
      <w:tr w:rsidR="00C60823" w:rsidRPr="002C0454" w:rsidTr="001A3E45">
        <w:trPr>
          <w:trHeight w:val="144"/>
        </w:trPr>
        <w:tc>
          <w:tcPr>
            <w:tcW w:w="564" w:type="dxa"/>
            <w:tcMar>
              <w:left w:w="28" w:type="dxa"/>
              <w:right w:w="28" w:type="dxa"/>
            </w:tcMar>
            <w:vAlign w:val="center"/>
          </w:tcPr>
          <w:p w:rsidR="00C60823" w:rsidRPr="002C0454" w:rsidRDefault="00C60823">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10</w:t>
            </w:r>
          </w:p>
        </w:tc>
        <w:tc>
          <w:tcPr>
            <w:tcW w:w="2880" w:type="dxa"/>
            <w:tcMar>
              <w:left w:w="28" w:type="dxa"/>
              <w:right w:w="28" w:type="dxa"/>
            </w:tcMar>
            <w:vAlign w:val="center"/>
          </w:tcPr>
          <w:p w:rsidR="00C60823" w:rsidRPr="002C0454" w:rsidRDefault="00C60823">
            <w:pPr>
              <w:spacing w:before="20" w:after="20" w:line="276" w:lineRule="auto"/>
              <w:rPr>
                <w:rFonts w:eastAsia="Calibri" w:cs="Arial"/>
                <w:b/>
                <w:sz w:val="20"/>
                <w:szCs w:val="20"/>
                <w:lang w:val="uk-UA" w:eastAsia="en-US"/>
              </w:rPr>
            </w:pPr>
            <w:r w:rsidRPr="002C0454">
              <w:rPr>
                <w:rFonts w:eastAsia="Calibri" w:cs="Arial"/>
                <w:sz w:val="20"/>
                <w:szCs w:val="20"/>
                <w:lang w:val="uk-UA" w:eastAsia="en-US"/>
              </w:rPr>
              <w:t xml:space="preserve">Падуреа Замостя Лунке </w:t>
            </w:r>
          </w:p>
        </w:tc>
        <w:tc>
          <w:tcPr>
            <w:tcW w:w="2070" w:type="dxa"/>
            <w:tcMar>
              <w:left w:w="28" w:type="dxa"/>
              <w:right w:w="28" w:type="dxa"/>
            </w:tcMar>
          </w:tcPr>
          <w:p w:rsidR="00C60823" w:rsidRPr="002C0454" w:rsidRDefault="00C60823">
            <w:pPr>
              <w:spacing w:before="20" w:after="20" w:line="276" w:lineRule="auto"/>
              <w:rPr>
                <w:rFonts w:eastAsia="Calibri" w:cs="Arial"/>
                <w:sz w:val="20"/>
                <w:szCs w:val="20"/>
                <w:lang w:eastAsia="en-US"/>
              </w:rPr>
            </w:pPr>
            <w:r w:rsidRPr="002C0454">
              <w:rPr>
                <w:rFonts w:eastAsia="Calibri" w:cs="Arial"/>
                <w:sz w:val="20"/>
                <w:szCs w:val="20"/>
                <w:lang w:val="uk-UA" w:eastAsia="en-US"/>
              </w:rPr>
              <w:t>Лісовий заповідник</w:t>
            </w:r>
          </w:p>
        </w:tc>
        <w:tc>
          <w:tcPr>
            <w:tcW w:w="1260" w:type="dxa"/>
            <w:tcMar>
              <w:left w:w="28" w:type="dxa"/>
              <w:right w:w="28" w:type="dxa"/>
            </w:tcMar>
            <w:vAlign w:val="center"/>
          </w:tcPr>
          <w:p w:rsidR="00C60823" w:rsidRPr="002C0454" w:rsidRDefault="00C60823">
            <w:pPr>
              <w:spacing w:before="20" w:after="20" w:line="276" w:lineRule="auto"/>
              <w:jc w:val="right"/>
              <w:rPr>
                <w:rFonts w:eastAsia="Calibri" w:cs="Arial"/>
                <w:b/>
                <w:sz w:val="20"/>
                <w:szCs w:val="20"/>
                <w:lang w:eastAsia="en-US"/>
              </w:rPr>
            </w:pPr>
            <w:r w:rsidRPr="002C0454">
              <w:rPr>
                <w:rFonts w:eastAsia="Calibri" w:cs="Arial"/>
                <w:sz w:val="20"/>
                <w:szCs w:val="20"/>
                <w:lang w:eastAsia="en-US"/>
              </w:rPr>
              <w:t>107,6</w:t>
            </w:r>
          </w:p>
        </w:tc>
      </w:tr>
      <w:tr w:rsidR="00C60823" w:rsidRPr="002C0454" w:rsidTr="001A3E45">
        <w:trPr>
          <w:trHeight w:val="409"/>
        </w:trPr>
        <w:tc>
          <w:tcPr>
            <w:tcW w:w="564" w:type="dxa"/>
            <w:tcMar>
              <w:left w:w="28" w:type="dxa"/>
              <w:right w:w="28" w:type="dxa"/>
            </w:tcMar>
            <w:vAlign w:val="center"/>
          </w:tcPr>
          <w:p w:rsidR="00C60823" w:rsidRPr="002C0454" w:rsidRDefault="00C60823">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11</w:t>
            </w:r>
          </w:p>
        </w:tc>
        <w:tc>
          <w:tcPr>
            <w:tcW w:w="2880" w:type="dxa"/>
            <w:tcMar>
              <w:left w:w="28" w:type="dxa"/>
              <w:right w:w="28" w:type="dxa"/>
            </w:tcMar>
            <w:vAlign w:val="center"/>
          </w:tcPr>
          <w:p w:rsidR="00C60823" w:rsidRPr="002C0454" w:rsidRDefault="00C60823">
            <w:pPr>
              <w:spacing w:before="20" w:after="20" w:line="276" w:lineRule="auto"/>
              <w:rPr>
                <w:rFonts w:eastAsia="Calibri" w:cs="Arial"/>
                <w:b/>
                <w:sz w:val="20"/>
                <w:szCs w:val="20"/>
                <w:lang w:val="uk-UA" w:eastAsia="en-US"/>
              </w:rPr>
            </w:pPr>
            <w:r w:rsidRPr="002C0454">
              <w:rPr>
                <w:rFonts w:eastAsia="Calibri" w:cs="Arial"/>
                <w:sz w:val="20"/>
                <w:szCs w:val="20"/>
                <w:lang w:val="uk-UA" w:eastAsia="en-US"/>
              </w:rPr>
              <w:t xml:space="preserve">Падуреа Кружана </w:t>
            </w:r>
          </w:p>
        </w:tc>
        <w:tc>
          <w:tcPr>
            <w:tcW w:w="2070" w:type="dxa"/>
            <w:tcMar>
              <w:left w:w="28" w:type="dxa"/>
              <w:right w:w="28" w:type="dxa"/>
            </w:tcMar>
          </w:tcPr>
          <w:p w:rsidR="00C60823" w:rsidRPr="002C0454" w:rsidRDefault="00C60823">
            <w:pPr>
              <w:spacing w:before="20" w:after="20" w:line="276" w:lineRule="auto"/>
              <w:rPr>
                <w:rFonts w:eastAsia="Calibri" w:cs="Arial"/>
                <w:sz w:val="20"/>
                <w:szCs w:val="20"/>
                <w:lang w:eastAsia="en-US"/>
              </w:rPr>
            </w:pPr>
            <w:r w:rsidRPr="002C0454">
              <w:rPr>
                <w:rFonts w:eastAsia="Calibri" w:cs="Arial"/>
                <w:sz w:val="20"/>
                <w:szCs w:val="20"/>
                <w:lang w:val="uk-UA" w:eastAsia="en-US"/>
              </w:rPr>
              <w:t>Лісовий заповідник</w:t>
            </w:r>
          </w:p>
        </w:tc>
        <w:tc>
          <w:tcPr>
            <w:tcW w:w="1260" w:type="dxa"/>
            <w:tcMar>
              <w:left w:w="28" w:type="dxa"/>
              <w:right w:w="28" w:type="dxa"/>
            </w:tcMar>
            <w:vAlign w:val="center"/>
          </w:tcPr>
          <w:p w:rsidR="00C60823" w:rsidRPr="002C0454" w:rsidRDefault="00C60823">
            <w:pPr>
              <w:spacing w:before="20" w:after="20" w:line="276" w:lineRule="auto"/>
              <w:jc w:val="right"/>
              <w:rPr>
                <w:rFonts w:eastAsia="Calibri" w:cs="Arial"/>
                <w:b/>
                <w:sz w:val="20"/>
                <w:szCs w:val="20"/>
                <w:lang w:eastAsia="en-US"/>
              </w:rPr>
            </w:pPr>
            <w:r w:rsidRPr="002C0454">
              <w:rPr>
                <w:rFonts w:eastAsia="Calibri" w:cs="Arial"/>
                <w:sz w:val="20"/>
                <w:szCs w:val="20"/>
                <w:lang w:eastAsia="en-US"/>
              </w:rPr>
              <w:t>39,40</w:t>
            </w:r>
          </w:p>
        </w:tc>
      </w:tr>
      <w:tr w:rsidR="00C60823" w:rsidRPr="002C0454" w:rsidTr="001A3E45">
        <w:trPr>
          <w:trHeight w:val="70"/>
        </w:trPr>
        <w:tc>
          <w:tcPr>
            <w:tcW w:w="564" w:type="dxa"/>
            <w:tcMar>
              <w:left w:w="28" w:type="dxa"/>
              <w:right w:w="28" w:type="dxa"/>
            </w:tcMar>
            <w:vAlign w:val="center"/>
          </w:tcPr>
          <w:p w:rsidR="00C60823" w:rsidRPr="002C0454" w:rsidRDefault="00C60823">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12</w:t>
            </w:r>
          </w:p>
        </w:tc>
        <w:tc>
          <w:tcPr>
            <w:tcW w:w="2880" w:type="dxa"/>
            <w:tcMar>
              <w:left w:w="28" w:type="dxa"/>
              <w:right w:w="28" w:type="dxa"/>
            </w:tcMar>
            <w:vAlign w:val="center"/>
          </w:tcPr>
          <w:p w:rsidR="00C60823" w:rsidRPr="002C0454" w:rsidRDefault="00C60823">
            <w:pPr>
              <w:spacing w:before="20" w:after="20" w:line="276" w:lineRule="auto"/>
              <w:rPr>
                <w:rFonts w:eastAsia="Calibri" w:cs="Arial"/>
                <w:b/>
                <w:sz w:val="20"/>
                <w:szCs w:val="20"/>
                <w:lang w:val="uk-UA" w:eastAsia="en-US"/>
              </w:rPr>
            </w:pPr>
            <w:r w:rsidRPr="002C0454">
              <w:rPr>
                <w:rFonts w:eastAsia="Calibri" w:cs="Arial"/>
                <w:sz w:val="20"/>
                <w:szCs w:val="20"/>
                <w:lang w:val="uk-UA" w:eastAsia="en-US"/>
              </w:rPr>
              <w:t xml:space="preserve">Фагетул Драгомірна </w:t>
            </w:r>
          </w:p>
        </w:tc>
        <w:tc>
          <w:tcPr>
            <w:tcW w:w="2070" w:type="dxa"/>
            <w:tcMar>
              <w:left w:w="28" w:type="dxa"/>
              <w:right w:w="28" w:type="dxa"/>
            </w:tcMar>
          </w:tcPr>
          <w:p w:rsidR="00C60823" w:rsidRPr="002C0454" w:rsidRDefault="00C60823">
            <w:pPr>
              <w:spacing w:before="20" w:after="20" w:line="276" w:lineRule="auto"/>
              <w:rPr>
                <w:rFonts w:eastAsia="Calibri" w:cs="Arial"/>
                <w:sz w:val="20"/>
                <w:szCs w:val="20"/>
                <w:lang w:eastAsia="en-US"/>
              </w:rPr>
            </w:pPr>
            <w:r w:rsidRPr="002C0454">
              <w:rPr>
                <w:rFonts w:eastAsia="Calibri" w:cs="Arial"/>
                <w:sz w:val="20"/>
                <w:szCs w:val="20"/>
                <w:lang w:val="uk-UA" w:eastAsia="en-US"/>
              </w:rPr>
              <w:t>Лісовий заповідник</w:t>
            </w:r>
          </w:p>
        </w:tc>
        <w:tc>
          <w:tcPr>
            <w:tcW w:w="1260" w:type="dxa"/>
            <w:tcMar>
              <w:left w:w="28" w:type="dxa"/>
              <w:right w:w="28" w:type="dxa"/>
            </w:tcMar>
            <w:vAlign w:val="center"/>
          </w:tcPr>
          <w:p w:rsidR="00C60823" w:rsidRPr="002C0454" w:rsidRDefault="00C60823">
            <w:pPr>
              <w:spacing w:before="20" w:after="20" w:line="276" w:lineRule="auto"/>
              <w:jc w:val="right"/>
              <w:rPr>
                <w:rFonts w:eastAsia="Calibri" w:cs="Arial"/>
                <w:b/>
                <w:sz w:val="20"/>
                <w:szCs w:val="20"/>
                <w:lang w:eastAsia="en-US"/>
              </w:rPr>
            </w:pPr>
            <w:r w:rsidRPr="002C0454">
              <w:rPr>
                <w:rFonts w:eastAsia="Calibri" w:cs="Arial"/>
                <w:sz w:val="20"/>
                <w:szCs w:val="20"/>
                <w:lang w:eastAsia="en-US"/>
              </w:rPr>
              <w:t>139,40</w:t>
            </w:r>
          </w:p>
        </w:tc>
      </w:tr>
      <w:tr w:rsidR="00C60823" w:rsidRPr="002C0454" w:rsidTr="001A3E45">
        <w:trPr>
          <w:trHeight w:val="271"/>
        </w:trPr>
        <w:tc>
          <w:tcPr>
            <w:tcW w:w="564" w:type="dxa"/>
            <w:tcMar>
              <w:left w:w="28" w:type="dxa"/>
              <w:right w:w="28" w:type="dxa"/>
            </w:tcMar>
            <w:vAlign w:val="center"/>
          </w:tcPr>
          <w:p w:rsidR="00C60823" w:rsidRPr="002C0454" w:rsidRDefault="00C60823">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13</w:t>
            </w:r>
          </w:p>
        </w:tc>
        <w:tc>
          <w:tcPr>
            <w:tcW w:w="2880" w:type="dxa"/>
            <w:tcMar>
              <w:left w:w="28" w:type="dxa"/>
              <w:right w:w="28" w:type="dxa"/>
            </w:tcMar>
            <w:vAlign w:val="center"/>
          </w:tcPr>
          <w:p w:rsidR="00C60823" w:rsidRPr="002C0454" w:rsidRDefault="00C60823">
            <w:pPr>
              <w:spacing w:before="20" w:after="20" w:line="276" w:lineRule="auto"/>
              <w:rPr>
                <w:rFonts w:eastAsia="Calibri" w:cs="Arial"/>
                <w:b/>
                <w:sz w:val="20"/>
                <w:szCs w:val="20"/>
                <w:lang w:val="uk-UA" w:eastAsia="en-US"/>
              </w:rPr>
            </w:pPr>
            <w:r w:rsidRPr="002C0454">
              <w:rPr>
                <w:rFonts w:eastAsia="Calibri" w:cs="Arial"/>
                <w:sz w:val="20"/>
                <w:szCs w:val="20"/>
                <w:lang w:val="uk-UA" w:eastAsia="en-US"/>
              </w:rPr>
              <w:t xml:space="preserve">Рекітушул Маре </w:t>
            </w:r>
          </w:p>
        </w:tc>
        <w:tc>
          <w:tcPr>
            <w:tcW w:w="2070" w:type="dxa"/>
            <w:tcMar>
              <w:left w:w="28" w:type="dxa"/>
              <w:right w:w="28" w:type="dxa"/>
            </w:tcMar>
          </w:tcPr>
          <w:p w:rsidR="00C60823" w:rsidRPr="002C0454" w:rsidRDefault="00C60823">
            <w:pPr>
              <w:spacing w:before="20" w:after="20" w:line="276" w:lineRule="auto"/>
              <w:rPr>
                <w:rFonts w:eastAsia="Calibri" w:cs="Arial"/>
                <w:sz w:val="20"/>
                <w:szCs w:val="20"/>
                <w:lang w:eastAsia="en-US"/>
              </w:rPr>
            </w:pPr>
            <w:r w:rsidRPr="002C0454">
              <w:rPr>
                <w:rFonts w:eastAsia="Calibri" w:cs="Arial"/>
                <w:sz w:val="20"/>
                <w:szCs w:val="20"/>
                <w:lang w:val="uk-UA" w:eastAsia="en-US"/>
              </w:rPr>
              <w:t>Ботанічний заповідник</w:t>
            </w:r>
          </w:p>
        </w:tc>
        <w:tc>
          <w:tcPr>
            <w:tcW w:w="1260" w:type="dxa"/>
            <w:tcMar>
              <w:left w:w="28" w:type="dxa"/>
              <w:right w:w="28" w:type="dxa"/>
            </w:tcMar>
            <w:vAlign w:val="center"/>
          </w:tcPr>
          <w:p w:rsidR="00C60823" w:rsidRPr="002C0454" w:rsidRDefault="00C60823">
            <w:pPr>
              <w:spacing w:before="20" w:after="20" w:line="276" w:lineRule="auto"/>
              <w:jc w:val="right"/>
              <w:rPr>
                <w:rFonts w:eastAsia="Calibri" w:cs="Arial"/>
                <w:b/>
                <w:sz w:val="20"/>
                <w:szCs w:val="20"/>
                <w:lang w:eastAsia="en-US"/>
              </w:rPr>
            </w:pPr>
            <w:r w:rsidRPr="002C0454">
              <w:rPr>
                <w:rFonts w:eastAsia="Calibri" w:cs="Arial"/>
                <w:sz w:val="20"/>
                <w:szCs w:val="20"/>
                <w:lang w:eastAsia="en-US"/>
              </w:rPr>
              <w:t>316,4</w:t>
            </w:r>
          </w:p>
        </w:tc>
      </w:tr>
      <w:tr w:rsidR="00C60823" w:rsidRPr="002C0454" w:rsidTr="001A3E45">
        <w:trPr>
          <w:trHeight w:val="70"/>
        </w:trPr>
        <w:tc>
          <w:tcPr>
            <w:tcW w:w="564" w:type="dxa"/>
            <w:tcMar>
              <w:left w:w="28" w:type="dxa"/>
              <w:right w:w="28" w:type="dxa"/>
            </w:tcMar>
            <w:vAlign w:val="center"/>
          </w:tcPr>
          <w:p w:rsidR="00C60823" w:rsidRPr="002C0454" w:rsidRDefault="00C60823">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14</w:t>
            </w:r>
          </w:p>
        </w:tc>
        <w:tc>
          <w:tcPr>
            <w:tcW w:w="2880" w:type="dxa"/>
            <w:tcMar>
              <w:left w:w="28" w:type="dxa"/>
              <w:right w:w="28" w:type="dxa"/>
            </w:tcMar>
            <w:vAlign w:val="center"/>
          </w:tcPr>
          <w:p w:rsidR="00C60823" w:rsidRPr="002C0454" w:rsidRDefault="00C60823">
            <w:pPr>
              <w:spacing w:before="20" w:after="20" w:line="276" w:lineRule="auto"/>
              <w:rPr>
                <w:rFonts w:eastAsia="Calibri" w:cs="Arial"/>
                <w:sz w:val="20"/>
                <w:szCs w:val="20"/>
                <w:lang w:val="uk-UA" w:eastAsia="en-US"/>
              </w:rPr>
            </w:pPr>
            <w:r w:rsidRPr="002C0454">
              <w:rPr>
                <w:rFonts w:eastAsia="Calibri" w:cs="Arial"/>
                <w:sz w:val="20"/>
                <w:szCs w:val="20"/>
                <w:lang w:val="uk-UA" w:eastAsia="en-US"/>
              </w:rPr>
              <w:t xml:space="preserve">Тіновул Геіна Лучіна </w:t>
            </w:r>
          </w:p>
        </w:tc>
        <w:tc>
          <w:tcPr>
            <w:tcW w:w="2070" w:type="dxa"/>
            <w:tcMar>
              <w:left w:w="28" w:type="dxa"/>
              <w:right w:w="28" w:type="dxa"/>
            </w:tcMar>
          </w:tcPr>
          <w:p w:rsidR="00C60823" w:rsidRPr="002C0454" w:rsidRDefault="00C60823">
            <w:pPr>
              <w:spacing w:before="20" w:after="20" w:line="276" w:lineRule="auto"/>
              <w:rPr>
                <w:rFonts w:eastAsia="Calibri" w:cs="Arial"/>
                <w:sz w:val="20"/>
                <w:szCs w:val="20"/>
                <w:lang w:eastAsia="en-US"/>
              </w:rPr>
            </w:pPr>
            <w:r w:rsidRPr="002C0454">
              <w:rPr>
                <w:rFonts w:eastAsia="Calibri" w:cs="Arial"/>
                <w:sz w:val="20"/>
                <w:szCs w:val="20"/>
                <w:lang w:val="uk-UA" w:eastAsia="en-US"/>
              </w:rPr>
              <w:t>Ботанічний заповідник</w:t>
            </w:r>
          </w:p>
        </w:tc>
        <w:tc>
          <w:tcPr>
            <w:tcW w:w="1260" w:type="dxa"/>
            <w:tcMar>
              <w:left w:w="28" w:type="dxa"/>
              <w:right w:w="28" w:type="dxa"/>
            </w:tcMar>
            <w:vAlign w:val="center"/>
          </w:tcPr>
          <w:p w:rsidR="00C60823" w:rsidRPr="002C0454" w:rsidRDefault="00C60823">
            <w:pPr>
              <w:spacing w:before="20" w:after="20" w:line="276" w:lineRule="auto"/>
              <w:jc w:val="right"/>
              <w:rPr>
                <w:rFonts w:eastAsia="Calibri" w:cs="Arial"/>
                <w:b/>
                <w:sz w:val="20"/>
                <w:szCs w:val="20"/>
                <w:lang w:eastAsia="en-US"/>
              </w:rPr>
            </w:pPr>
            <w:r w:rsidRPr="002C0454">
              <w:rPr>
                <w:rFonts w:eastAsia="Calibri" w:cs="Arial"/>
                <w:sz w:val="20"/>
                <w:szCs w:val="20"/>
                <w:lang w:eastAsia="en-US"/>
              </w:rPr>
              <w:t>1,00</w:t>
            </w:r>
          </w:p>
        </w:tc>
      </w:tr>
      <w:tr w:rsidR="00C60823" w:rsidRPr="002C0454" w:rsidTr="001A3E45">
        <w:trPr>
          <w:trHeight w:val="70"/>
        </w:trPr>
        <w:tc>
          <w:tcPr>
            <w:tcW w:w="564" w:type="dxa"/>
            <w:tcMar>
              <w:left w:w="28" w:type="dxa"/>
              <w:right w:w="28" w:type="dxa"/>
            </w:tcMar>
            <w:vAlign w:val="center"/>
          </w:tcPr>
          <w:p w:rsidR="00C60823" w:rsidRPr="002C0454" w:rsidRDefault="00C60823">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15</w:t>
            </w:r>
          </w:p>
        </w:tc>
        <w:tc>
          <w:tcPr>
            <w:tcW w:w="2880" w:type="dxa"/>
            <w:tcMar>
              <w:left w:w="28" w:type="dxa"/>
              <w:right w:w="28" w:type="dxa"/>
            </w:tcMar>
            <w:vAlign w:val="center"/>
          </w:tcPr>
          <w:p w:rsidR="00C60823" w:rsidRPr="002C0454" w:rsidRDefault="00C60823">
            <w:pPr>
              <w:spacing w:before="20" w:after="20" w:line="276" w:lineRule="auto"/>
              <w:rPr>
                <w:rFonts w:eastAsia="Calibri" w:cs="Arial"/>
                <w:b/>
                <w:sz w:val="20"/>
                <w:szCs w:val="20"/>
                <w:lang w:val="uk-UA" w:eastAsia="en-US"/>
              </w:rPr>
            </w:pPr>
            <w:r w:rsidRPr="002C0454">
              <w:rPr>
                <w:rFonts w:eastAsia="Calibri" w:cs="Arial"/>
                <w:sz w:val="20"/>
                <w:szCs w:val="20"/>
                <w:lang w:val="uk-UA" w:eastAsia="en-US"/>
              </w:rPr>
              <w:t>Фантинеле монтане Тодіреску</w:t>
            </w:r>
          </w:p>
        </w:tc>
        <w:tc>
          <w:tcPr>
            <w:tcW w:w="2070" w:type="dxa"/>
            <w:tcMar>
              <w:left w:w="28" w:type="dxa"/>
              <w:right w:w="28" w:type="dxa"/>
            </w:tcMar>
          </w:tcPr>
          <w:p w:rsidR="00C60823" w:rsidRPr="002C0454" w:rsidRDefault="00C60823">
            <w:pPr>
              <w:spacing w:before="20" w:after="20" w:line="276" w:lineRule="auto"/>
              <w:rPr>
                <w:rFonts w:eastAsia="Calibri" w:cs="Arial"/>
                <w:sz w:val="20"/>
                <w:szCs w:val="20"/>
                <w:lang w:eastAsia="en-US"/>
              </w:rPr>
            </w:pPr>
            <w:r w:rsidRPr="002C0454">
              <w:rPr>
                <w:rFonts w:eastAsia="Calibri" w:cs="Arial"/>
                <w:sz w:val="20"/>
                <w:szCs w:val="20"/>
                <w:lang w:val="uk-UA" w:eastAsia="en-US"/>
              </w:rPr>
              <w:t>Ботанічний заповідник</w:t>
            </w:r>
          </w:p>
        </w:tc>
        <w:tc>
          <w:tcPr>
            <w:tcW w:w="1260" w:type="dxa"/>
            <w:tcMar>
              <w:left w:w="28" w:type="dxa"/>
              <w:right w:w="28" w:type="dxa"/>
            </w:tcMar>
            <w:vAlign w:val="center"/>
          </w:tcPr>
          <w:p w:rsidR="00C60823" w:rsidRPr="002C0454" w:rsidRDefault="00C60823">
            <w:pPr>
              <w:spacing w:before="20" w:after="20" w:line="276" w:lineRule="auto"/>
              <w:jc w:val="right"/>
              <w:rPr>
                <w:rFonts w:eastAsia="Calibri" w:cs="Arial"/>
                <w:sz w:val="20"/>
                <w:szCs w:val="20"/>
                <w:lang w:eastAsia="en-US"/>
              </w:rPr>
            </w:pPr>
            <w:r w:rsidRPr="002C0454">
              <w:rPr>
                <w:rFonts w:eastAsia="Calibri" w:cs="Arial"/>
                <w:sz w:val="20"/>
                <w:szCs w:val="20"/>
                <w:lang w:eastAsia="en-US"/>
              </w:rPr>
              <w:t>38,10</w:t>
            </w:r>
          </w:p>
        </w:tc>
      </w:tr>
      <w:tr w:rsidR="00642FB4" w:rsidRPr="002C0454">
        <w:trPr>
          <w:trHeight w:val="169"/>
        </w:trPr>
        <w:tc>
          <w:tcPr>
            <w:tcW w:w="564" w:type="dxa"/>
            <w:tcMar>
              <w:left w:w="28" w:type="dxa"/>
              <w:right w:w="28" w:type="dxa"/>
            </w:tcMar>
            <w:vAlign w:val="center"/>
          </w:tcPr>
          <w:p w:rsidR="00642FB4" w:rsidRPr="002C0454" w:rsidRDefault="00642FB4">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16</w:t>
            </w:r>
          </w:p>
        </w:tc>
        <w:tc>
          <w:tcPr>
            <w:tcW w:w="2880" w:type="dxa"/>
            <w:tcMar>
              <w:left w:w="28" w:type="dxa"/>
              <w:right w:w="28" w:type="dxa"/>
            </w:tcMar>
            <w:vAlign w:val="center"/>
          </w:tcPr>
          <w:p w:rsidR="00642FB4" w:rsidRPr="002C0454" w:rsidRDefault="00C60823">
            <w:pPr>
              <w:spacing w:before="20" w:after="20" w:line="276" w:lineRule="auto"/>
              <w:rPr>
                <w:rFonts w:eastAsia="Calibri" w:cs="Arial"/>
                <w:sz w:val="20"/>
                <w:szCs w:val="20"/>
                <w:lang w:val="uk-UA" w:eastAsia="en-US"/>
              </w:rPr>
            </w:pPr>
            <w:r w:rsidRPr="002C0454">
              <w:rPr>
                <w:rFonts w:eastAsia="Calibri" w:cs="Arial"/>
                <w:sz w:val="20"/>
                <w:szCs w:val="20"/>
                <w:lang w:val="uk-UA" w:eastAsia="en-US"/>
              </w:rPr>
              <w:t xml:space="preserve">Кеєле Лукавей </w:t>
            </w:r>
          </w:p>
        </w:tc>
        <w:tc>
          <w:tcPr>
            <w:tcW w:w="2070" w:type="dxa"/>
            <w:tcMar>
              <w:left w:w="28" w:type="dxa"/>
              <w:right w:w="28" w:type="dxa"/>
            </w:tcMar>
            <w:vAlign w:val="center"/>
          </w:tcPr>
          <w:p w:rsidR="00642FB4" w:rsidRPr="002C0454" w:rsidRDefault="00C60823">
            <w:pPr>
              <w:spacing w:before="20" w:after="20" w:line="276" w:lineRule="auto"/>
              <w:rPr>
                <w:rFonts w:eastAsia="Calibri" w:cs="Arial"/>
                <w:sz w:val="20"/>
                <w:szCs w:val="20"/>
                <w:lang w:val="uk-UA" w:eastAsia="en-US"/>
              </w:rPr>
            </w:pPr>
            <w:r w:rsidRPr="002C0454">
              <w:rPr>
                <w:rFonts w:eastAsia="Calibri" w:cs="Arial"/>
                <w:sz w:val="20"/>
                <w:szCs w:val="20"/>
                <w:lang w:val="uk-UA" w:eastAsia="en-US"/>
              </w:rPr>
              <w:t xml:space="preserve">Геологічний заповідник </w:t>
            </w:r>
          </w:p>
        </w:tc>
        <w:tc>
          <w:tcPr>
            <w:tcW w:w="1260" w:type="dxa"/>
            <w:tcMar>
              <w:left w:w="28" w:type="dxa"/>
              <w:right w:w="28" w:type="dxa"/>
            </w:tcMar>
            <w:vAlign w:val="center"/>
          </w:tcPr>
          <w:p w:rsidR="00642FB4" w:rsidRPr="002C0454" w:rsidRDefault="00642FB4">
            <w:pPr>
              <w:spacing w:before="20" w:after="20" w:line="276" w:lineRule="auto"/>
              <w:jc w:val="right"/>
              <w:rPr>
                <w:rFonts w:eastAsia="Calibri" w:cs="Arial"/>
                <w:sz w:val="20"/>
                <w:szCs w:val="20"/>
                <w:lang w:eastAsia="en-US"/>
              </w:rPr>
            </w:pPr>
            <w:r w:rsidRPr="002C0454">
              <w:rPr>
                <w:rFonts w:eastAsia="Calibri" w:cs="Arial"/>
                <w:sz w:val="20"/>
                <w:szCs w:val="20"/>
                <w:lang w:eastAsia="en-US"/>
              </w:rPr>
              <w:t>33,00</w:t>
            </w:r>
          </w:p>
        </w:tc>
      </w:tr>
      <w:tr w:rsidR="00C60823" w:rsidRPr="002C0454" w:rsidTr="001A3E45">
        <w:trPr>
          <w:trHeight w:val="70"/>
        </w:trPr>
        <w:tc>
          <w:tcPr>
            <w:tcW w:w="564" w:type="dxa"/>
            <w:tcMar>
              <w:left w:w="28" w:type="dxa"/>
              <w:right w:w="28" w:type="dxa"/>
            </w:tcMar>
            <w:vAlign w:val="center"/>
          </w:tcPr>
          <w:p w:rsidR="00C60823" w:rsidRPr="002C0454" w:rsidRDefault="00C60823">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17</w:t>
            </w:r>
          </w:p>
        </w:tc>
        <w:tc>
          <w:tcPr>
            <w:tcW w:w="2880" w:type="dxa"/>
            <w:tcMar>
              <w:left w:w="28" w:type="dxa"/>
              <w:right w:w="28" w:type="dxa"/>
            </w:tcMar>
            <w:vAlign w:val="center"/>
          </w:tcPr>
          <w:p w:rsidR="00C60823" w:rsidRPr="002C0454" w:rsidRDefault="00C60823">
            <w:pPr>
              <w:spacing w:before="20" w:after="20" w:line="276" w:lineRule="auto"/>
              <w:rPr>
                <w:rFonts w:eastAsia="Calibri" w:cs="Arial"/>
                <w:b/>
                <w:sz w:val="20"/>
                <w:szCs w:val="20"/>
                <w:lang w:val="uk-UA" w:eastAsia="en-US"/>
              </w:rPr>
            </w:pPr>
            <w:r w:rsidRPr="002C0454">
              <w:rPr>
                <w:rFonts w:eastAsia="Calibri" w:cs="Arial"/>
                <w:sz w:val="20"/>
                <w:szCs w:val="20"/>
                <w:lang w:val="uk-UA" w:eastAsia="en-US"/>
              </w:rPr>
              <w:t xml:space="preserve">Пятра пінулуй ші Пятра Шоймулуй </w:t>
            </w:r>
          </w:p>
        </w:tc>
        <w:tc>
          <w:tcPr>
            <w:tcW w:w="2070" w:type="dxa"/>
            <w:tcMar>
              <w:left w:w="28" w:type="dxa"/>
              <w:right w:w="28" w:type="dxa"/>
            </w:tcMar>
          </w:tcPr>
          <w:p w:rsidR="00C60823" w:rsidRPr="002C0454" w:rsidRDefault="00C60823">
            <w:pPr>
              <w:spacing w:before="20" w:after="20" w:line="276" w:lineRule="auto"/>
              <w:rPr>
                <w:rFonts w:eastAsia="Calibri" w:cs="Arial"/>
                <w:sz w:val="20"/>
                <w:szCs w:val="20"/>
                <w:lang w:eastAsia="en-US"/>
              </w:rPr>
            </w:pPr>
            <w:r w:rsidRPr="002C0454">
              <w:rPr>
                <w:rFonts w:eastAsia="Calibri" w:cs="Arial"/>
                <w:sz w:val="20"/>
                <w:szCs w:val="20"/>
                <w:lang w:val="uk-UA" w:eastAsia="en-US"/>
              </w:rPr>
              <w:t xml:space="preserve">Геологічний заповідник </w:t>
            </w:r>
          </w:p>
        </w:tc>
        <w:tc>
          <w:tcPr>
            <w:tcW w:w="1260" w:type="dxa"/>
            <w:tcMar>
              <w:left w:w="28" w:type="dxa"/>
              <w:right w:w="28" w:type="dxa"/>
            </w:tcMar>
            <w:vAlign w:val="center"/>
          </w:tcPr>
          <w:p w:rsidR="00C60823" w:rsidRPr="002C0454" w:rsidRDefault="00C60823">
            <w:pPr>
              <w:spacing w:before="20" w:after="20" w:line="276" w:lineRule="auto"/>
              <w:jc w:val="right"/>
              <w:rPr>
                <w:rFonts w:eastAsia="Calibri" w:cs="Arial"/>
                <w:sz w:val="20"/>
                <w:szCs w:val="20"/>
                <w:lang w:eastAsia="en-US"/>
              </w:rPr>
            </w:pPr>
            <w:r w:rsidRPr="002C0454">
              <w:rPr>
                <w:rFonts w:eastAsia="Calibri" w:cs="Arial"/>
                <w:sz w:val="20"/>
                <w:szCs w:val="20"/>
                <w:lang w:eastAsia="en-US"/>
              </w:rPr>
              <w:t>0,50</w:t>
            </w:r>
          </w:p>
        </w:tc>
      </w:tr>
      <w:tr w:rsidR="00C60823" w:rsidRPr="002C0454" w:rsidTr="001A3E45">
        <w:trPr>
          <w:trHeight w:val="78"/>
        </w:trPr>
        <w:tc>
          <w:tcPr>
            <w:tcW w:w="564" w:type="dxa"/>
            <w:tcMar>
              <w:left w:w="28" w:type="dxa"/>
              <w:right w:w="28" w:type="dxa"/>
            </w:tcMar>
            <w:vAlign w:val="center"/>
          </w:tcPr>
          <w:p w:rsidR="00C60823" w:rsidRPr="002C0454" w:rsidRDefault="00C60823">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18</w:t>
            </w:r>
          </w:p>
        </w:tc>
        <w:tc>
          <w:tcPr>
            <w:tcW w:w="2880" w:type="dxa"/>
            <w:tcMar>
              <w:left w:w="28" w:type="dxa"/>
              <w:right w:w="28" w:type="dxa"/>
            </w:tcMar>
            <w:vAlign w:val="center"/>
          </w:tcPr>
          <w:p w:rsidR="00C60823" w:rsidRPr="002C0454" w:rsidRDefault="00C60823">
            <w:pPr>
              <w:spacing w:before="20" w:after="20" w:line="276" w:lineRule="auto"/>
              <w:rPr>
                <w:rFonts w:eastAsia="Calibri" w:cs="Arial"/>
                <w:b/>
                <w:sz w:val="20"/>
                <w:szCs w:val="20"/>
                <w:lang w:val="uk-UA" w:eastAsia="en-US"/>
              </w:rPr>
            </w:pPr>
            <w:r w:rsidRPr="002C0454">
              <w:rPr>
                <w:rFonts w:eastAsia="Calibri" w:cs="Arial"/>
                <w:sz w:val="20"/>
                <w:szCs w:val="20"/>
                <w:lang w:val="uk-UA" w:eastAsia="en-US"/>
              </w:rPr>
              <w:t xml:space="preserve">Пятра Цібеулуй </w:t>
            </w:r>
          </w:p>
        </w:tc>
        <w:tc>
          <w:tcPr>
            <w:tcW w:w="2070" w:type="dxa"/>
            <w:tcMar>
              <w:left w:w="28" w:type="dxa"/>
              <w:right w:w="28" w:type="dxa"/>
            </w:tcMar>
          </w:tcPr>
          <w:p w:rsidR="00C60823" w:rsidRPr="002C0454" w:rsidRDefault="00C60823">
            <w:pPr>
              <w:spacing w:before="20" w:after="20" w:line="276" w:lineRule="auto"/>
              <w:rPr>
                <w:rFonts w:eastAsia="Calibri" w:cs="Arial"/>
                <w:sz w:val="20"/>
                <w:szCs w:val="20"/>
                <w:lang w:eastAsia="en-US"/>
              </w:rPr>
            </w:pPr>
            <w:r w:rsidRPr="002C0454">
              <w:rPr>
                <w:rFonts w:eastAsia="Calibri" w:cs="Arial"/>
                <w:sz w:val="20"/>
                <w:szCs w:val="20"/>
                <w:lang w:val="uk-UA" w:eastAsia="en-US"/>
              </w:rPr>
              <w:t xml:space="preserve">Геологічний заповідник </w:t>
            </w:r>
          </w:p>
        </w:tc>
        <w:tc>
          <w:tcPr>
            <w:tcW w:w="1260" w:type="dxa"/>
            <w:tcMar>
              <w:left w:w="28" w:type="dxa"/>
              <w:right w:w="28" w:type="dxa"/>
            </w:tcMar>
            <w:vAlign w:val="center"/>
          </w:tcPr>
          <w:p w:rsidR="00C60823" w:rsidRPr="002C0454" w:rsidRDefault="00C60823">
            <w:pPr>
              <w:spacing w:before="20" w:after="20" w:line="276" w:lineRule="auto"/>
              <w:jc w:val="right"/>
              <w:rPr>
                <w:rFonts w:eastAsia="Calibri" w:cs="Arial"/>
                <w:sz w:val="20"/>
                <w:szCs w:val="20"/>
                <w:lang w:eastAsia="en-US"/>
              </w:rPr>
            </w:pPr>
            <w:r w:rsidRPr="002C0454">
              <w:rPr>
                <w:rFonts w:eastAsia="Calibri" w:cs="Arial"/>
                <w:sz w:val="20"/>
                <w:szCs w:val="20"/>
                <w:lang w:eastAsia="en-US"/>
              </w:rPr>
              <w:t>20,30</w:t>
            </w:r>
          </w:p>
        </w:tc>
      </w:tr>
      <w:tr w:rsidR="00C60823" w:rsidRPr="002C0454" w:rsidTr="001A3E45">
        <w:trPr>
          <w:trHeight w:val="81"/>
        </w:trPr>
        <w:tc>
          <w:tcPr>
            <w:tcW w:w="564" w:type="dxa"/>
            <w:tcMar>
              <w:left w:w="28" w:type="dxa"/>
              <w:right w:w="28" w:type="dxa"/>
            </w:tcMar>
            <w:vAlign w:val="center"/>
          </w:tcPr>
          <w:p w:rsidR="00C60823" w:rsidRPr="002C0454" w:rsidRDefault="00C60823">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19</w:t>
            </w:r>
          </w:p>
        </w:tc>
        <w:tc>
          <w:tcPr>
            <w:tcW w:w="2880" w:type="dxa"/>
            <w:tcMar>
              <w:left w:w="28" w:type="dxa"/>
              <w:right w:w="28" w:type="dxa"/>
            </w:tcMar>
            <w:vAlign w:val="center"/>
          </w:tcPr>
          <w:p w:rsidR="00C60823" w:rsidRPr="002C0454" w:rsidRDefault="00C60823">
            <w:pPr>
              <w:spacing w:before="20" w:after="20" w:line="276" w:lineRule="auto"/>
              <w:rPr>
                <w:rFonts w:eastAsia="Calibri" w:cs="Arial"/>
                <w:sz w:val="20"/>
                <w:szCs w:val="20"/>
                <w:lang w:val="uk-UA" w:eastAsia="en-US"/>
              </w:rPr>
            </w:pPr>
            <w:r w:rsidRPr="002C0454">
              <w:rPr>
                <w:rFonts w:eastAsia="Calibri" w:cs="Arial"/>
                <w:sz w:val="20"/>
                <w:szCs w:val="20"/>
                <w:lang w:val="uk-UA" w:eastAsia="en-US"/>
              </w:rPr>
              <w:t xml:space="preserve">Кеєле Мора Дракулуй </w:t>
            </w:r>
          </w:p>
        </w:tc>
        <w:tc>
          <w:tcPr>
            <w:tcW w:w="2070" w:type="dxa"/>
            <w:tcMar>
              <w:left w:w="28" w:type="dxa"/>
              <w:right w:w="28" w:type="dxa"/>
            </w:tcMar>
          </w:tcPr>
          <w:p w:rsidR="00C60823" w:rsidRPr="002C0454" w:rsidRDefault="00C60823">
            <w:pPr>
              <w:spacing w:before="20" w:after="20" w:line="276" w:lineRule="auto"/>
              <w:rPr>
                <w:rFonts w:eastAsia="Calibri" w:cs="Arial"/>
                <w:sz w:val="20"/>
                <w:szCs w:val="20"/>
                <w:lang w:eastAsia="en-US"/>
              </w:rPr>
            </w:pPr>
            <w:r w:rsidRPr="002C0454">
              <w:rPr>
                <w:rFonts w:eastAsia="Calibri" w:cs="Arial"/>
                <w:sz w:val="20"/>
                <w:szCs w:val="20"/>
                <w:lang w:val="uk-UA" w:eastAsia="en-US"/>
              </w:rPr>
              <w:t xml:space="preserve">Геологічний заповідник </w:t>
            </w:r>
          </w:p>
        </w:tc>
        <w:tc>
          <w:tcPr>
            <w:tcW w:w="1260" w:type="dxa"/>
            <w:tcMar>
              <w:left w:w="28" w:type="dxa"/>
              <w:right w:w="28" w:type="dxa"/>
            </w:tcMar>
            <w:vAlign w:val="center"/>
          </w:tcPr>
          <w:p w:rsidR="00C60823" w:rsidRPr="002C0454" w:rsidRDefault="00C60823">
            <w:pPr>
              <w:spacing w:before="20" w:after="20" w:line="276" w:lineRule="auto"/>
              <w:jc w:val="right"/>
              <w:rPr>
                <w:rFonts w:eastAsia="Calibri" w:cs="Arial"/>
                <w:sz w:val="20"/>
                <w:szCs w:val="20"/>
                <w:lang w:eastAsia="en-US"/>
              </w:rPr>
            </w:pPr>
            <w:r w:rsidRPr="002C0454">
              <w:rPr>
                <w:rFonts w:eastAsia="Calibri" w:cs="Arial"/>
                <w:sz w:val="20"/>
                <w:szCs w:val="20"/>
                <w:lang w:eastAsia="en-US"/>
              </w:rPr>
              <w:t>1,30</w:t>
            </w:r>
          </w:p>
        </w:tc>
      </w:tr>
      <w:tr w:rsidR="00642FB4" w:rsidRPr="002C0454">
        <w:trPr>
          <w:trHeight w:val="114"/>
        </w:trPr>
        <w:tc>
          <w:tcPr>
            <w:tcW w:w="564" w:type="dxa"/>
            <w:tcMar>
              <w:left w:w="28" w:type="dxa"/>
              <w:right w:w="28" w:type="dxa"/>
            </w:tcMar>
            <w:vAlign w:val="center"/>
          </w:tcPr>
          <w:p w:rsidR="00642FB4" w:rsidRPr="002C0454" w:rsidRDefault="00642FB4">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20</w:t>
            </w:r>
          </w:p>
        </w:tc>
        <w:tc>
          <w:tcPr>
            <w:tcW w:w="2880" w:type="dxa"/>
            <w:tcMar>
              <w:left w:w="28" w:type="dxa"/>
              <w:right w:w="28" w:type="dxa"/>
            </w:tcMar>
            <w:vAlign w:val="center"/>
          </w:tcPr>
          <w:p w:rsidR="00642FB4" w:rsidRPr="002C0454" w:rsidRDefault="00C60823">
            <w:pPr>
              <w:spacing w:before="20" w:after="20" w:line="276" w:lineRule="auto"/>
              <w:rPr>
                <w:rFonts w:eastAsia="Calibri" w:cs="Arial"/>
                <w:sz w:val="20"/>
                <w:szCs w:val="20"/>
                <w:lang w:val="uk-UA" w:eastAsia="en-US"/>
              </w:rPr>
            </w:pPr>
            <w:r w:rsidRPr="002C0454">
              <w:rPr>
                <w:rFonts w:eastAsia="Calibri" w:cs="Arial"/>
                <w:sz w:val="20"/>
                <w:szCs w:val="20"/>
                <w:lang w:val="uk-UA" w:eastAsia="en-US"/>
              </w:rPr>
              <w:t xml:space="preserve">Стрателе де ла Пожорита </w:t>
            </w:r>
          </w:p>
        </w:tc>
        <w:tc>
          <w:tcPr>
            <w:tcW w:w="2070" w:type="dxa"/>
            <w:tcMar>
              <w:left w:w="28" w:type="dxa"/>
              <w:right w:w="28" w:type="dxa"/>
            </w:tcMar>
            <w:vAlign w:val="center"/>
          </w:tcPr>
          <w:p w:rsidR="00642FB4" w:rsidRPr="002C0454" w:rsidRDefault="00C60823">
            <w:pPr>
              <w:spacing w:before="20" w:after="20" w:line="276" w:lineRule="auto"/>
              <w:rPr>
                <w:rFonts w:eastAsia="Calibri" w:cs="Arial"/>
                <w:sz w:val="20"/>
                <w:szCs w:val="20"/>
                <w:lang w:val="uk-UA" w:eastAsia="en-US"/>
              </w:rPr>
            </w:pPr>
            <w:r w:rsidRPr="002C0454">
              <w:rPr>
                <w:rFonts w:eastAsia="Calibri" w:cs="Arial"/>
                <w:sz w:val="20"/>
                <w:szCs w:val="20"/>
                <w:lang w:val="uk-UA" w:eastAsia="en-US"/>
              </w:rPr>
              <w:t xml:space="preserve">Палеонтологічний  заповідник </w:t>
            </w:r>
          </w:p>
        </w:tc>
        <w:tc>
          <w:tcPr>
            <w:tcW w:w="1260" w:type="dxa"/>
            <w:tcMar>
              <w:left w:w="28" w:type="dxa"/>
              <w:right w:w="28" w:type="dxa"/>
            </w:tcMar>
            <w:vAlign w:val="center"/>
          </w:tcPr>
          <w:p w:rsidR="00642FB4" w:rsidRPr="002C0454" w:rsidRDefault="00642FB4">
            <w:pPr>
              <w:spacing w:before="20" w:after="20" w:line="276" w:lineRule="auto"/>
              <w:jc w:val="right"/>
              <w:rPr>
                <w:rFonts w:eastAsia="Calibri" w:cs="Arial"/>
                <w:sz w:val="20"/>
                <w:szCs w:val="20"/>
                <w:lang w:eastAsia="en-US"/>
              </w:rPr>
            </w:pPr>
            <w:r w:rsidRPr="002C0454">
              <w:rPr>
                <w:rFonts w:eastAsia="Calibri" w:cs="Arial"/>
                <w:sz w:val="20"/>
                <w:szCs w:val="20"/>
                <w:lang w:eastAsia="en-US"/>
              </w:rPr>
              <w:t>1,00</w:t>
            </w:r>
          </w:p>
        </w:tc>
      </w:tr>
      <w:tr w:rsidR="00642FB4" w:rsidRPr="002C0454">
        <w:trPr>
          <w:trHeight w:val="108"/>
        </w:trPr>
        <w:tc>
          <w:tcPr>
            <w:tcW w:w="564" w:type="dxa"/>
            <w:tcMar>
              <w:left w:w="28" w:type="dxa"/>
              <w:right w:w="28" w:type="dxa"/>
            </w:tcMar>
            <w:vAlign w:val="center"/>
          </w:tcPr>
          <w:p w:rsidR="00642FB4" w:rsidRPr="002C0454" w:rsidRDefault="00642FB4">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21</w:t>
            </w:r>
          </w:p>
        </w:tc>
        <w:tc>
          <w:tcPr>
            <w:tcW w:w="2880" w:type="dxa"/>
            <w:tcMar>
              <w:left w:w="28" w:type="dxa"/>
              <w:right w:w="28" w:type="dxa"/>
            </w:tcMar>
            <w:vAlign w:val="center"/>
          </w:tcPr>
          <w:p w:rsidR="00642FB4" w:rsidRPr="002C0454" w:rsidRDefault="00C60823" w:rsidP="00C60823">
            <w:pPr>
              <w:spacing w:before="20" w:after="20" w:line="276" w:lineRule="auto"/>
              <w:rPr>
                <w:rFonts w:eastAsia="Calibri" w:cs="Arial"/>
                <w:sz w:val="20"/>
                <w:szCs w:val="20"/>
                <w:lang w:eastAsia="en-US"/>
              </w:rPr>
            </w:pPr>
            <w:r w:rsidRPr="002C0454">
              <w:rPr>
                <w:rFonts w:eastAsia="Calibri" w:cs="Arial"/>
                <w:sz w:val="20"/>
                <w:szCs w:val="20"/>
                <w:lang w:val="uk-UA" w:eastAsia="en-US"/>
              </w:rPr>
              <w:t>Дванацять Апостолів</w:t>
            </w:r>
            <w:r w:rsidR="00642FB4" w:rsidRPr="002C0454">
              <w:rPr>
                <w:rFonts w:eastAsia="Calibri" w:cs="Arial"/>
                <w:sz w:val="20"/>
                <w:szCs w:val="20"/>
                <w:lang w:eastAsia="en-US"/>
              </w:rPr>
              <w:t xml:space="preserve"> (PN-K)</w:t>
            </w:r>
          </w:p>
        </w:tc>
        <w:tc>
          <w:tcPr>
            <w:tcW w:w="2070" w:type="dxa"/>
            <w:tcMar>
              <w:left w:w="28" w:type="dxa"/>
              <w:right w:w="28" w:type="dxa"/>
            </w:tcMar>
            <w:vAlign w:val="center"/>
          </w:tcPr>
          <w:p w:rsidR="00642FB4" w:rsidRPr="002C0454" w:rsidRDefault="00C60823">
            <w:pPr>
              <w:spacing w:before="20" w:after="20" w:line="276" w:lineRule="auto"/>
              <w:rPr>
                <w:rFonts w:eastAsia="Calibri" w:cs="Arial"/>
                <w:sz w:val="20"/>
                <w:szCs w:val="20"/>
                <w:lang w:eastAsia="en-US"/>
              </w:rPr>
            </w:pPr>
            <w:r w:rsidRPr="002C0454">
              <w:rPr>
                <w:rFonts w:eastAsia="Calibri" w:cs="Arial"/>
                <w:sz w:val="20"/>
                <w:szCs w:val="20"/>
                <w:lang w:val="uk-UA" w:eastAsia="en-US"/>
              </w:rPr>
              <w:t>Геологічний заповідник</w:t>
            </w:r>
          </w:p>
        </w:tc>
        <w:tc>
          <w:tcPr>
            <w:tcW w:w="1260" w:type="dxa"/>
            <w:tcMar>
              <w:left w:w="28" w:type="dxa"/>
              <w:right w:w="28" w:type="dxa"/>
            </w:tcMar>
            <w:vAlign w:val="center"/>
          </w:tcPr>
          <w:p w:rsidR="00642FB4" w:rsidRPr="002C0454" w:rsidRDefault="00642FB4">
            <w:pPr>
              <w:spacing w:before="20" w:after="20" w:line="276" w:lineRule="auto"/>
              <w:jc w:val="right"/>
              <w:rPr>
                <w:rFonts w:eastAsia="Calibri" w:cs="Arial"/>
                <w:sz w:val="20"/>
                <w:szCs w:val="20"/>
                <w:lang w:eastAsia="en-US"/>
              </w:rPr>
            </w:pPr>
            <w:r w:rsidRPr="002C0454">
              <w:rPr>
                <w:rFonts w:eastAsia="Calibri" w:cs="Arial"/>
                <w:sz w:val="20"/>
                <w:szCs w:val="20"/>
                <w:lang w:eastAsia="en-US"/>
              </w:rPr>
              <w:t>200,00</w:t>
            </w:r>
          </w:p>
        </w:tc>
      </w:tr>
      <w:tr w:rsidR="00C60823" w:rsidRPr="002C0454" w:rsidTr="001A3E45">
        <w:trPr>
          <w:trHeight w:val="70"/>
        </w:trPr>
        <w:tc>
          <w:tcPr>
            <w:tcW w:w="564" w:type="dxa"/>
            <w:tcMar>
              <w:left w:w="28" w:type="dxa"/>
              <w:right w:w="28" w:type="dxa"/>
            </w:tcMar>
            <w:vAlign w:val="center"/>
          </w:tcPr>
          <w:p w:rsidR="00C60823" w:rsidRPr="002C0454" w:rsidRDefault="00C60823">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22</w:t>
            </w:r>
          </w:p>
        </w:tc>
        <w:tc>
          <w:tcPr>
            <w:tcW w:w="2880" w:type="dxa"/>
            <w:tcMar>
              <w:left w:w="28" w:type="dxa"/>
              <w:right w:w="28" w:type="dxa"/>
            </w:tcMar>
            <w:vAlign w:val="center"/>
          </w:tcPr>
          <w:p w:rsidR="00C60823" w:rsidRPr="002C0454" w:rsidRDefault="00C60823" w:rsidP="00C60823">
            <w:pPr>
              <w:spacing w:before="20" w:after="20" w:line="276" w:lineRule="auto"/>
              <w:rPr>
                <w:rFonts w:eastAsia="Calibri" w:cs="Arial"/>
                <w:sz w:val="20"/>
                <w:szCs w:val="20"/>
                <w:lang w:val="uk-UA" w:eastAsia="en-US"/>
              </w:rPr>
            </w:pPr>
            <w:r w:rsidRPr="002C0454">
              <w:rPr>
                <w:rFonts w:eastAsia="Calibri" w:cs="Arial"/>
                <w:sz w:val="20"/>
                <w:szCs w:val="20"/>
                <w:lang w:val="uk-UA" w:eastAsia="en-US"/>
              </w:rPr>
              <w:t xml:space="preserve">Жнепеніш ку Пінус чембра </w:t>
            </w:r>
            <w:r w:rsidRPr="002C0454">
              <w:rPr>
                <w:rFonts w:eastAsia="Calibri" w:cs="Arial"/>
                <w:sz w:val="20"/>
                <w:szCs w:val="20"/>
                <w:lang w:eastAsia="en-US"/>
              </w:rPr>
              <w:t xml:space="preserve"> </w:t>
            </w:r>
            <w:r w:rsidRPr="002C0454">
              <w:rPr>
                <w:rFonts w:eastAsia="Calibri" w:cs="Arial"/>
                <w:sz w:val="20"/>
                <w:szCs w:val="20"/>
                <w:lang w:val="uk-UA" w:eastAsia="en-US"/>
              </w:rPr>
              <w:t xml:space="preserve"> </w:t>
            </w:r>
          </w:p>
        </w:tc>
        <w:tc>
          <w:tcPr>
            <w:tcW w:w="2070" w:type="dxa"/>
            <w:tcMar>
              <w:left w:w="28" w:type="dxa"/>
              <w:right w:w="28" w:type="dxa"/>
            </w:tcMar>
          </w:tcPr>
          <w:p w:rsidR="00C60823" w:rsidRPr="002C0454" w:rsidRDefault="00C60823">
            <w:pPr>
              <w:spacing w:before="20" w:after="20" w:line="276" w:lineRule="auto"/>
              <w:rPr>
                <w:rFonts w:eastAsia="Calibri" w:cs="Arial"/>
                <w:sz w:val="20"/>
                <w:szCs w:val="20"/>
                <w:lang w:eastAsia="en-US"/>
              </w:rPr>
            </w:pPr>
            <w:r w:rsidRPr="002C0454">
              <w:rPr>
                <w:rFonts w:eastAsia="Calibri" w:cs="Arial"/>
                <w:sz w:val="20"/>
                <w:szCs w:val="20"/>
                <w:lang w:val="uk-UA" w:eastAsia="en-US"/>
              </w:rPr>
              <w:t>Лісовий заповідник</w:t>
            </w:r>
          </w:p>
        </w:tc>
        <w:tc>
          <w:tcPr>
            <w:tcW w:w="1260" w:type="dxa"/>
            <w:tcMar>
              <w:left w:w="28" w:type="dxa"/>
              <w:right w:w="28" w:type="dxa"/>
            </w:tcMar>
            <w:vAlign w:val="center"/>
          </w:tcPr>
          <w:p w:rsidR="00C60823" w:rsidRPr="002C0454" w:rsidRDefault="00C60823">
            <w:pPr>
              <w:spacing w:before="20" w:after="20" w:line="276" w:lineRule="auto"/>
              <w:jc w:val="right"/>
              <w:rPr>
                <w:rFonts w:eastAsia="Calibri" w:cs="Arial"/>
                <w:sz w:val="20"/>
                <w:szCs w:val="20"/>
                <w:lang w:eastAsia="en-US"/>
              </w:rPr>
            </w:pPr>
            <w:r w:rsidRPr="002C0454">
              <w:rPr>
                <w:rFonts w:eastAsia="Calibri" w:cs="Arial"/>
                <w:sz w:val="20"/>
                <w:szCs w:val="20"/>
                <w:lang w:eastAsia="en-US"/>
              </w:rPr>
              <w:t>384,20</w:t>
            </w:r>
          </w:p>
        </w:tc>
      </w:tr>
      <w:tr w:rsidR="00C60823" w:rsidRPr="002C0454" w:rsidTr="001A3E45">
        <w:trPr>
          <w:trHeight w:val="355"/>
        </w:trPr>
        <w:tc>
          <w:tcPr>
            <w:tcW w:w="564" w:type="dxa"/>
            <w:tcMar>
              <w:left w:w="28" w:type="dxa"/>
              <w:right w:w="28" w:type="dxa"/>
            </w:tcMar>
            <w:vAlign w:val="center"/>
          </w:tcPr>
          <w:p w:rsidR="00C60823" w:rsidRPr="002C0454" w:rsidRDefault="00C60823">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23</w:t>
            </w:r>
          </w:p>
        </w:tc>
        <w:tc>
          <w:tcPr>
            <w:tcW w:w="2880" w:type="dxa"/>
            <w:tcMar>
              <w:left w:w="28" w:type="dxa"/>
              <w:right w:w="28" w:type="dxa"/>
            </w:tcMar>
            <w:vAlign w:val="center"/>
          </w:tcPr>
          <w:p w:rsidR="00C60823" w:rsidRPr="002C0454" w:rsidRDefault="00C60823">
            <w:pPr>
              <w:spacing w:before="20" w:after="20" w:line="276" w:lineRule="auto"/>
              <w:rPr>
                <w:rFonts w:eastAsia="Calibri" w:cs="Arial"/>
                <w:b/>
                <w:sz w:val="20"/>
                <w:szCs w:val="20"/>
                <w:lang w:val="uk-UA" w:eastAsia="en-US"/>
              </w:rPr>
            </w:pPr>
            <w:r w:rsidRPr="002C0454">
              <w:rPr>
                <w:rFonts w:eastAsia="Calibri" w:cs="Arial"/>
                <w:sz w:val="20"/>
                <w:szCs w:val="20"/>
                <w:lang w:val="uk-UA" w:eastAsia="en-US"/>
              </w:rPr>
              <w:t xml:space="preserve">Фентинеле секуларе дела Калафіндешті </w:t>
            </w:r>
          </w:p>
        </w:tc>
        <w:tc>
          <w:tcPr>
            <w:tcW w:w="2070" w:type="dxa"/>
            <w:tcMar>
              <w:left w:w="28" w:type="dxa"/>
              <w:right w:w="28" w:type="dxa"/>
            </w:tcMar>
          </w:tcPr>
          <w:p w:rsidR="00C60823" w:rsidRPr="002C0454" w:rsidRDefault="00C60823">
            <w:pPr>
              <w:spacing w:before="20" w:after="20" w:line="276" w:lineRule="auto"/>
              <w:rPr>
                <w:rFonts w:eastAsia="Calibri" w:cs="Arial"/>
                <w:sz w:val="20"/>
                <w:szCs w:val="20"/>
                <w:lang w:eastAsia="en-US"/>
              </w:rPr>
            </w:pPr>
            <w:r w:rsidRPr="002C0454">
              <w:rPr>
                <w:rFonts w:eastAsia="Calibri" w:cs="Arial"/>
                <w:sz w:val="20"/>
                <w:szCs w:val="20"/>
                <w:lang w:val="uk-UA" w:eastAsia="en-US"/>
              </w:rPr>
              <w:t>Лісовий заповідник</w:t>
            </w:r>
          </w:p>
        </w:tc>
        <w:tc>
          <w:tcPr>
            <w:tcW w:w="1260" w:type="dxa"/>
            <w:tcMar>
              <w:left w:w="28" w:type="dxa"/>
              <w:right w:w="28" w:type="dxa"/>
            </w:tcMar>
            <w:vAlign w:val="center"/>
          </w:tcPr>
          <w:p w:rsidR="00C60823" w:rsidRPr="002C0454" w:rsidRDefault="00C60823">
            <w:pPr>
              <w:spacing w:before="20" w:after="20" w:line="276" w:lineRule="auto"/>
              <w:jc w:val="right"/>
              <w:rPr>
                <w:rFonts w:eastAsia="Calibri" w:cs="Arial"/>
                <w:b/>
                <w:sz w:val="20"/>
                <w:szCs w:val="20"/>
                <w:lang w:eastAsia="en-US"/>
              </w:rPr>
            </w:pPr>
            <w:r w:rsidRPr="002C0454">
              <w:rPr>
                <w:rFonts w:eastAsia="Calibri" w:cs="Arial"/>
                <w:sz w:val="20"/>
                <w:szCs w:val="20"/>
                <w:lang w:eastAsia="en-US"/>
              </w:rPr>
              <w:t>7,00</w:t>
            </w:r>
          </w:p>
        </w:tc>
      </w:tr>
      <w:tr w:rsidR="00C60823" w:rsidRPr="002C0454" w:rsidTr="001A3E45">
        <w:trPr>
          <w:trHeight w:val="189"/>
        </w:trPr>
        <w:tc>
          <w:tcPr>
            <w:tcW w:w="564" w:type="dxa"/>
            <w:tcMar>
              <w:left w:w="28" w:type="dxa"/>
              <w:right w:w="28" w:type="dxa"/>
            </w:tcMar>
            <w:vAlign w:val="center"/>
          </w:tcPr>
          <w:p w:rsidR="00C60823" w:rsidRPr="002C0454" w:rsidRDefault="00C60823">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24</w:t>
            </w:r>
          </w:p>
        </w:tc>
        <w:tc>
          <w:tcPr>
            <w:tcW w:w="2880" w:type="dxa"/>
            <w:tcMar>
              <w:left w:w="28" w:type="dxa"/>
              <w:right w:w="28" w:type="dxa"/>
            </w:tcMar>
            <w:vAlign w:val="center"/>
          </w:tcPr>
          <w:p w:rsidR="00C60823" w:rsidRPr="002C0454" w:rsidRDefault="00C60823">
            <w:pPr>
              <w:spacing w:before="20" w:after="20" w:line="276" w:lineRule="auto"/>
              <w:rPr>
                <w:rFonts w:eastAsia="Calibri" w:cs="Arial"/>
                <w:b/>
                <w:sz w:val="20"/>
                <w:szCs w:val="20"/>
                <w:lang w:val="uk-UA" w:eastAsia="en-US"/>
              </w:rPr>
            </w:pPr>
            <w:r w:rsidRPr="002C0454">
              <w:rPr>
                <w:rFonts w:eastAsia="Calibri" w:cs="Arial"/>
                <w:sz w:val="20"/>
                <w:szCs w:val="20"/>
                <w:lang w:val="uk-UA" w:eastAsia="en-US"/>
              </w:rPr>
              <w:t xml:space="preserve">Падуреа Рошошо </w:t>
            </w:r>
          </w:p>
        </w:tc>
        <w:tc>
          <w:tcPr>
            <w:tcW w:w="2070" w:type="dxa"/>
            <w:tcMar>
              <w:left w:w="28" w:type="dxa"/>
              <w:right w:w="28" w:type="dxa"/>
            </w:tcMar>
          </w:tcPr>
          <w:p w:rsidR="00C60823" w:rsidRPr="002C0454" w:rsidRDefault="00C60823">
            <w:pPr>
              <w:spacing w:before="20" w:after="20" w:line="276" w:lineRule="auto"/>
              <w:rPr>
                <w:rFonts w:eastAsia="Calibri" w:cs="Arial"/>
                <w:sz w:val="20"/>
                <w:szCs w:val="20"/>
                <w:lang w:eastAsia="en-US"/>
              </w:rPr>
            </w:pPr>
            <w:r w:rsidRPr="002C0454">
              <w:rPr>
                <w:rFonts w:eastAsia="Calibri" w:cs="Arial"/>
                <w:sz w:val="20"/>
                <w:szCs w:val="20"/>
                <w:lang w:val="uk-UA" w:eastAsia="en-US"/>
              </w:rPr>
              <w:t>Лісовий заповідник</w:t>
            </w:r>
          </w:p>
        </w:tc>
        <w:tc>
          <w:tcPr>
            <w:tcW w:w="1260" w:type="dxa"/>
            <w:tcMar>
              <w:left w:w="28" w:type="dxa"/>
              <w:right w:w="28" w:type="dxa"/>
            </w:tcMar>
            <w:vAlign w:val="center"/>
          </w:tcPr>
          <w:p w:rsidR="00C60823" w:rsidRPr="002C0454" w:rsidRDefault="00C60823">
            <w:pPr>
              <w:spacing w:before="20" w:after="20" w:line="276" w:lineRule="auto"/>
              <w:jc w:val="right"/>
              <w:rPr>
                <w:rFonts w:eastAsia="Calibri" w:cs="Arial"/>
                <w:b/>
                <w:sz w:val="20"/>
                <w:szCs w:val="20"/>
                <w:lang w:eastAsia="en-US"/>
              </w:rPr>
            </w:pPr>
            <w:r w:rsidRPr="002C0454">
              <w:rPr>
                <w:rFonts w:eastAsia="Calibri" w:cs="Arial"/>
                <w:sz w:val="20"/>
                <w:szCs w:val="20"/>
                <w:lang w:eastAsia="en-US"/>
              </w:rPr>
              <w:t>204,80</w:t>
            </w:r>
          </w:p>
        </w:tc>
      </w:tr>
      <w:tr w:rsidR="00C60823" w:rsidRPr="002C0454" w:rsidTr="001A3E45">
        <w:trPr>
          <w:trHeight w:val="208"/>
        </w:trPr>
        <w:tc>
          <w:tcPr>
            <w:tcW w:w="564" w:type="dxa"/>
            <w:tcMar>
              <w:left w:w="28" w:type="dxa"/>
              <w:right w:w="28" w:type="dxa"/>
            </w:tcMar>
            <w:vAlign w:val="center"/>
          </w:tcPr>
          <w:p w:rsidR="00C60823" w:rsidRPr="002C0454" w:rsidRDefault="00C60823">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25</w:t>
            </w:r>
          </w:p>
        </w:tc>
        <w:tc>
          <w:tcPr>
            <w:tcW w:w="2880" w:type="dxa"/>
            <w:tcMar>
              <w:left w:w="28" w:type="dxa"/>
              <w:right w:w="28" w:type="dxa"/>
            </w:tcMar>
            <w:vAlign w:val="center"/>
          </w:tcPr>
          <w:p w:rsidR="00C60823" w:rsidRPr="002C0454" w:rsidRDefault="00C60823">
            <w:pPr>
              <w:spacing w:before="20" w:after="20" w:line="276" w:lineRule="auto"/>
              <w:rPr>
                <w:rFonts w:eastAsia="Calibri" w:cs="Arial"/>
                <w:b/>
                <w:sz w:val="20"/>
                <w:szCs w:val="20"/>
                <w:lang w:val="uk-UA" w:eastAsia="en-US"/>
              </w:rPr>
            </w:pPr>
            <w:r w:rsidRPr="002C0454">
              <w:rPr>
                <w:rFonts w:eastAsia="Calibri" w:cs="Arial"/>
                <w:sz w:val="20"/>
                <w:szCs w:val="20"/>
                <w:lang w:val="uk-UA" w:eastAsia="en-US"/>
              </w:rPr>
              <w:t xml:space="preserve">Падуреа Лобен </w:t>
            </w:r>
          </w:p>
        </w:tc>
        <w:tc>
          <w:tcPr>
            <w:tcW w:w="2070" w:type="dxa"/>
            <w:tcMar>
              <w:left w:w="28" w:type="dxa"/>
              <w:right w:w="28" w:type="dxa"/>
            </w:tcMar>
          </w:tcPr>
          <w:p w:rsidR="00C60823" w:rsidRPr="002C0454" w:rsidRDefault="00C60823">
            <w:pPr>
              <w:spacing w:before="20" w:after="20" w:line="276" w:lineRule="auto"/>
              <w:rPr>
                <w:rFonts w:eastAsia="Calibri" w:cs="Arial"/>
                <w:sz w:val="20"/>
                <w:szCs w:val="20"/>
                <w:lang w:eastAsia="en-US"/>
              </w:rPr>
            </w:pPr>
            <w:r w:rsidRPr="002C0454">
              <w:rPr>
                <w:rFonts w:eastAsia="Calibri" w:cs="Arial"/>
                <w:sz w:val="20"/>
                <w:szCs w:val="20"/>
                <w:lang w:val="uk-UA" w:eastAsia="en-US"/>
              </w:rPr>
              <w:t>Лісовий заповідник</w:t>
            </w:r>
          </w:p>
        </w:tc>
        <w:tc>
          <w:tcPr>
            <w:tcW w:w="1260" w:type="dxa"/>
            <w:tcMar>
              <w:left w:w="28" w:type="dxa"/>
              <w:right w:w="28" w:type="dxa"/>
            </w:tcMar>
            <w:vAlign w:val="center"/>
          </w:tcPr>
          <w:p w:rsidR="00C60823" w:rsidRPr="002C0454" w:rsidRDefault="00C60823">
            <w:pPr>
              <w:spacing w:before="20" w:after="20" w:line="276" w:lineRule="auto"/>
              <w:jc w:val="right"/>
              <w:rPr>
                <w:rFonts w:eastAsia="Calibri" w:cs="Arial"/>
                <w:sz w:val="20"/>
                <w:szCs w:val="20"/>
                <w:lang w:eastAsia="en-US"/>
              </w:rPr>
            </w:pPr>
            <w:r w:rsidRPr="002C0454">
              <w:rPr>
                <w:rFonts w:eastAsia="Calibri" w:cs="Arial"/>
                <w:sz w:val="20"/>
                <w:szCs w:val="20"/>
                <w:lang w:eastAsia="en-US"/>
              </w:rPr>
              <w:t>483,00</w:t>
            </w:r>
          </w:p>
        </w:tc>
      </w:tr>
      <w:tr w:rsidR="00C60823" w:rsidRPr="002C0454" w:rsidTr="001A3E45">
        <w:trPr>
          <w:trHeight w:val="225"/>
        </w:trPr>
        <w:tc>
          <w:tcPr>
            <w:tcW w:w="564" w:type="dxa"/>
            <w:tcMar>
              <w:left w:w="28" w:type="dxa"/>
              <w:right w:w="28" w:type="dxa"/>
            </w:tcMar>
            <w:vAlign w:val="center"/>
          </w:tcPr>
          <w:p w:rsidR="00C60823" w:rsidRPr="002C0454" w:rsidRDefault="00C60823">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26</w:t>
            </w:r>
          </w:p>
        </w:tc>
        <w:tc>
          <w:tcPr>
            <w:tcW w:w="2880" w:type="dxa"/>
            <w:tcMar>
              <w:left w:w="28" w:type="dxa"/>
              <w:right w:w="28" w:type="dxa"/>
            </w:tcMar>
            <w:vAlign w:val="center"/>
          </w:tcPr>
          <w:p w:rsidR="00C60823" w:rsidRPr="002C0454" w:rsidRDefault="00C60823">
            <w:pPr>
              <w:spacing w:before="20" w:after="20" w:line="276" w:lineRule="auto"/>
              <w:rPr>
                <w:rFonts w:eastAsia="Calibri" w:cs="Arial"/>
                <w:b/>
                <w:sz w:val="20"/>
                <w:szCs w:val="20"/>
                <w:lang w:val="uk-UA" w:eastAsia="en-US"/>
              </w:rPr>
            </w:pPr>
            <w:r w:rsidRPr="002C0454">
              <w:rPr>
                <w:rFonts w:eastAsia="Calibri" w:cs="Arial"/>
                <w:sz w:val="20"/>
                <w:szCs w:val="20"/>
                <w:lang w:val="uk-UA" w:eastAsia="en-US"/>
              </w:rPr>
              <w:t xml:space="preserve">Падуреа Воєводяска </w:t>
            </w:r>
          </w:p>
        </w:tc>
        <w:tc>
          <w:tcPr>
            <w:tcW w:w="2070" w:type="dxa"/>
            <w:tcMar>
              <w:left w:w="28" w:type="dxa"/>
              <w:right w:w="28" w:type="dxa"/>
            </w:tcMar>
          </w:tcPr>
          <w:p w:rsidR="00C60823" w:rsidRPr="002C0454" w:rsidRDefault="00C60823">
            <w:pPr>
              <w:spacing w:before="20" w:after="20" w:line="276" w:lineRule="auto"/>
              <w:rPr>
                <w:rFonts w:eastAsia="Calibri" w:cs="Arial"/>
                <w:sz w:val="20"/>
                <w:szCs w:val="20"/>
                <w:lang w:eastAsia="en-US"/>
              </w:rPr>
            </w:pPr>
            <w:r w:rsidRPr="002C0454">
              <w:rPr>
                <w:rFonts w:eastAsia="Calibri" w:cs="Arial"/>
                <w:sz w:val="20"/>
                <w:szCs w:val="20"/>
                <w:lang w:val="uk-UA" w:eastAsia="en-US"/>
              </w:rPr>
              <w:t>Лісовий заповідник</w:t>
            </w:r>
          </w:p>
        </w:tc>
        <w:tc>
          <w:tcPr>
            <w:tcW w:w="1260" w:type="dxa"/>
            <w:tcMar>
              <w:left w:w="28" w:type="dxa"/>
              <w:right w:w="28" w:type="dxa"/>
            </w:tcMar>
            <w:vAlign w:val="center"/>
          </w:tcPr>
          <w:p w:rsidR="00C60823" w:rsidRPr="002C0454" w:rsidRDefault="00C60823">
            <w:pPr>
              <w:spacing w:before="20" w:after="20" w:line="276" w:lineRule="auto"/>
              <w:jc w:val="right"/>
              <w:rPr>
                <w:rFonts w:eastAsia="Calibri" w:cs="Arial"/>
                <w:sz w:val="20"/>
                <w:szCs w:val="20"/>
                <w:lang w:eastAsia="en-US"/>
              </w:rPr>
            </w:pPr>
            <w:r w:rsidRPr="002C0454">
              <w:rPr>
                <w:rFonts w:eastAsia="Calibri" w:cs="Arial"/>
                <w:sz w:val="20"/>
                <w:szCs w:val="20"/>
                <w:lang w:eastAsia="en-US"/>
              </w:rPr>
              <w:t>101,90</w:t>
            </w:r>
          </w:p>
        </w:tc>
      </w:tr>
      <w:tr w:rsidR="00642FB4" w:rsidRPr="002C0454">
        <w:trPr>
          <w:trHeight w:val="399"/>
        </w:trPr>
        <w:tc>
          <w:tcPr>
            <w:tcW w:w="564" w:type="dxa"/>
            <w:tcMar>
              <w:left w:w="28" w:type="dxa"/>
              <w:right w:w="28" w:type="dxa"/>
            </w:tcMar>
            <w:vAlign w:val="center"/>
          </w:tcPr>
          <w:p w:rsidR="00642FB4" w:rsidRPr="002C0454" w:rsidRDefault="00642FB4">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27</w:t>
            </w:r>
          </w:p>
        </w:tc>
        <w:tc>
          <w:tcPr>
            <w:tcW w:w="2880" w:type="dxa"/>
            <w:tcMar>
              <w:left w:w="28" w:type="dxa"/>
              <w:right w:w="28" w:type="dxa"/>
            </w:tcMar>
            <w:vAlign w:val="center"/>
          </w:tcPr>
          <w:p w:rsidR="00642FB4" w:rsidRPr="002C0454" w:rsidRDefault="00C60823">
            <w:pPr>
              <w:spacing w:before="20" w:after="20" w:line="276" w:lineRule="auto"/>
              <w:rPr>
                <w:rFonts w:eastAsia="Calibri" w:cs="Arial"/>
                <w:color w:val="000000"/>
                <w:sz w:val="20"/>
                <w:szCs w:val="20"/>
                <w:lang w:val="uk-UA" w:eastAsia="en-US"/>
              </w:rPr>
            </w:pPr>
            <w:r w:rsidRPr="002C0454">
              <w:rPr>
                <w:rFonts w:eastAsia="Calibri" w:cs="Arial"/>
                <w:color w:val="000000"/>
                <w:sz w:val="20"/>
                <w:szCs w:val="20"/>
                <w:lang w:val="uk-UA" w:eastAsia="en-US"/>
              </w:rPr>
              <w:t xml:space="preserve">Параул Каілор </w:t>
            </w:r>
          </w:p>
        </w:tc>
        <w:tc>
          <w:tcPr>
            <w:tcW w:w="2070" w:type="dxa"/>
            <w:tcMar>
              <w:left w:w="28" w:type="dxa"/>
              <w:right w:w="28" w:type="dxa"/>
            </w:tcMar>
            <w:vAlign w:val="center"/>
          </w:tcPr>
          <w:p w:rsidR="00642FB4" w:rsidRPr="002C0454" w:rsidRDefault="00C60823">
            <w:pPr>
              <w:spacing w:before="20" w:after="20" w:line="276" w:lineRule="auto"/>
              <w:rPr>
                <w:rFonts w:eastAsia="Calibri" w:cs="Arial"/>
                <w:sz w:val="20"/>
                <w:szCs w:val="20"/>
                <w:lang w:eastAsia="en-US"/>
              </w:rPr>
            </w:pPr>
            <w:r w:rsidRPr="002C0454">
              <w:rPr>
                <w:rFonts w:eastAsia="Calibri" w:cs="Arial"/>
                <w:sz w:val="20"/>
                <w:szCs w:val="20"/>
                <w:lang w:val="uk-UA" w:eastAsia="en-US"/>
              </w:rPr>
              <w:t>Палеонтологічний  заповідник</w:t>
            </w:r>
          </w:p>
        </w:tc>
        <w:tc>
          <w:tcPr>
            <w:tcW w:w="1260" w:type="dxa"/>
            <w:tcMar>
              <w:left w:w="28" w:type="dxa"/>
              <w:right w:w="28" w:type="dxa"/>
            </w:tcMar>
            <w:vAlign w:val="center"/>
          </w:tcPr>
          <w:p w:rsidR="00642FB4" w:rsidRPr="002C0454" w:rsidRDefault="00642FB4">
            <w:pPr>
              <w:spacing w:before="20" w:after="20" w:line="276" w:lineRule="auto"/>
              <w:jc w:val="right"/>
              <w:rPr>
                <w:rFonts w:eastAsia="Calibri" w:cs="Arial"/>
                <w:sz w:val="20"/>
                <w:szCs w:val="20"/>
                <w:lang w:eastAsia="en-US"/>
              </w:rPr>
            </w:pPr>
            <w:r w:rsidRPr="002C0454">
              <w:rPr>
                <w:rFonts w:eastAsia="Calibri" w:cs="Arial"/>
                <w:sz w:val="20"/>
                <w:szCs w:val="20"/>
                <w:lang w:eastAsia="en-US"/>
              </w:rPr>
              <w:t>0,1</w:t>
            </w:r>
          </w:p>
        </w:tc>
      </w:tr>
      <w:tr w:rsidR="00642FB4" w:rsidRPr="002C0454">
        <w:trPr>
          <w:trHeight w:val="70"/>
        </w:trPr>
        <w:tc>
          <w:tcPr>
            <w:tcW w:w="564" w:type="dxa"/>
            <w:tcMar>
              <w:left w:w="28" w:type="dxa"/>
              <w:right w:w="28" w:type="dxa"/>
            </w:tcMar>
            <w:vAlign w:val="center"/>
          </w:tcPr>
          <w:p w:rsidR="00642FB4" w:rsidRPr="002C0454" w:rsidRDefault="00642FB4">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28</w:t>
            </w:r>
          </w:p>
        </w:tc>
        <w:tc>
          <w:tcPr>
            <w:tcW w:w="2880" w:type="dxa"/>
            <w:tcMar>
              <w:left w:w="28" w:type="dxa"/>
              <w:right w:w="28" w:type="dxa"/>
            </w:tcMar>
            <w:vAlign w:val="center"/>
          </w:tcPr>
          <w:p w:rsidR="00642FB4" w:rsidRPr="002C0454" w:rsidRDefault="00C60823">
            <w:pPr>
              <w:spacing w:before="20" w:after="20" w:line="276" w:lineRule="auto"/>
              <w:rPr>
                <w:rFonts w:eastAsia="Calibri" w:cs="Arial"/>
                <w:color w:val="000000"/>
                <w:sz w:val="20"/>
                <w:szCs w:val="20"/>
                <w:lang w:val="uk-UA" w:eastAsia="en-US"/>
              </w:rPr>
            </w:pPr>
            <w:r w:rsidRPr="002C0454">
              <w:rPr>
                <w:rFonts w:eastAsia="Calibri" w:cs="Arial"/>
                <w:color w:val="000000"/>
                <w:sz w:val="20"/>
                <w:szCs w:val="20"/>
                <w:lang w:val="uk-UA" w:eastAsia="en-US"/>
              </w:rPr>
              <w:t xml:space="preserve">Пятра Бухій </w:t>
            </w:r>
          </w:p>
        </w:tc>
        <w:tc>
          <w:tcPr>
            <w:tcW w:w="2070" w:type="dxa"/>
            <w:tcMar>
              <w:left w:w="28" w:type="dxa"/>
              <w:right w:w="28" w:type="dxa"/>
            </w:tcMar>
            <w:vAlign w:val="center"/>
          </w:tcPr>
          <w:p w:rsidR="00642FB4" w:rsidRPr="002C0454" w:rsidRDefault="00C60823">
            <w:pPr>
              <w:spacing w:before="20" w:after="20" w:line="276" w:lineRule="auto"/>
              <w:rPr>
                <w:rFonts w:eastAsia="Calibri" w:cs="Arial"/>
                <w:sz w:val="20"/>
                <w:szCs w:val="20"/>
                <w:lang w:eastAsia="en-US"/>
              </w:rPr>
            </w:pPr>
            <w:r w:rsidRPr="002C0454">
              <w:rPr>
                <w:rFonts w:eastAsia="Calibri" w:cs="Arial"/>
                <w:sz w:val="20"/>
                <w:szCs w:val="20"/>
                <w:lang w:val="uk-UA" w:eastAsia="en-US"/>
              </w:rPr>
              <w:t>Геологічний заповідник</w:t>
            </w:r>
          </w:p>
        </w:tc>
        <w:tc>
          <w:tcPr>
            <w:tcW w:w="1260" w:type="dxa"/>
            <w:tcMar>
              <w:left w:w="28" w:type="dxa"/>
              <w:right w:w="28" w:type="dxa"/>
            </w:tcMar>
            <w:vAlign w:val="center"/>
          </w:tcPr>
          <w:p w:rsidR="00642FB4" w:rsidRPr="002C0454" w:rsidRDefault="00642FB4">
            <w:pPr>
              <w:spacing w:before="20" w:after="20" w:line="276" w:lineRule="auto"/>
              <w:jc w:val="right"/>
              <w:rPr>
                <w:rFonts w:eastAsia="Calibri" w:cs="Arial"/>
                <w:sz w:val="20"/>
                <w:szCs w:val="20"/>
                <w:lang w:eastAsia="en-US"/>
              </w:rPr>
            </w:pPr>
            <w:r w:rsidRPr="002C0454">
              <w:rPr>
                <w:rFonts w:eastAsia="Calibri" w:cs="Arial"/>
                <w:sz w:val="20"/>
                <w:szCs w:val="20"/>
                <w:lang w:eastAsia="en-US"/>
              </w:rPr>
              <w:t>2</w:t>
            </w:r>
          </w:p>
        </w:tc>
      </w:tr>
      <w:tr w:rsidR="00642FB4">
        <w:trPr>
          <w:trHeight w:val="77"/>
        </w:trPr>
        <w:tc>
          <w:tcPr>
            <w:tcW w:w="564" w:type="dxa"/>
            <w:tcMar>
              <w:left w:w="28" w:type="dxa"/>
              <w:right w:w="28" w:type="dxa"/>
            </w:tcMar>
            <w:vAlign w:val="center"/>
          </w:tcPr>
          <w:p w:rsidR="00642FB4" w:rsidRPr="002C0454" w:rsidRDefault="00642FB4">
            <w:pPr>
              <w:widowControl w:val="0"/>
              <w:spacing w:before="20" w:after="20" w:line="276" w:lineRule="auto"/>
              <w:jc w:val="center"/>
              <w:rPr>
                <w:rFonts w:eastAsia="Calibri" w:cs="Arial"/>
                <w:sz w:val="20"/>
                <w:szCs w:val="20"/>
                <w:lang w:eastAsia="en-US"/>
              </w:rPr>
            </w:pPr>
            <w:r w:rsidRPr="002C0454">
              <w:rPr>
                <w:rFonts w:eastAsia="Calibri" w:cs="Arial"/>
                <w:sz w:val="20"/>
                <w:szCs w:val="20"/>
                <w:lang w:eastAsia="en-US"/>
              </w:rPr>
              <w:t>29</w:t>
            </w:r>
          </w:p>
        </w:tc>
        <w:tc>
          <w:tcPr>
            <w:tcW w:w="2880" w:type="dxa"/>
            <w:tcMar>
              <w:left w:w="28" w:type="dxa"/>
              <w:right w:w="28" w:type="dxa"/>
            </w:tcMar>
            <w:vAlign w:val="center"/>
          </w:tcPr>
          <w:p w:rsidR="00642FB4" w:rsidRPr="002C0454" w:rsidRDefault="00C60823">
            <w:pPr>
              <w:spacing w:before="20" w:after="20" w:line="276" w:lineRule="auto"/>
              <w:rPr>
                <w:rFonts w:eastAsia="Calibri" w:cs="Arial"/>
                <w:sz w:val="20"/>
                <w:szCs w:val="20"/>
                <w:lang w:val="uk-UA" w:eastAsia="en-US"/>
              </w:rPr>
            </w:pPr>
            <w:r w:rsidRPr="002C0454">
              <w:rPr>
                <w:rFonts w:eastAsia="Calibri" w:cs="Arial"/>
                <w:sz w:val="20"/>
                <w:szCs w:val="20"/>
                <w:lang w:val="uk-UA" w:eastAsia="en-US"/>
              </w:rPr>
              <w:t xml:space="preserve">Пештера Лілєчіор </w:t>
            </w:r>
          </w:p>
        </w:tc>
        <w:tc>
          <w:tcPr>
            <w:tcW w:w="2070" w:type="dxa"/>
            <w:tcMar>
              <w:left w:w="28" w:type="dxa"/>
              <w:right w:w="28" w:type="dxa"/>
            </w:tcMar>
            <w:vAlign w:val="center"/>
          </w:tcPr>
          <w:p w:rsidR="00642FB4" w:rsidRPr="002C0454" w:rsidRDefault="00C60823">
            <w:pPr>
              <w:spacing w:before="20" w:after="20" w:line="276" w:lineRule="auto"/>
              <w:rPr>
                <w:rFonts w:eastAsia="Calibri" w:cs="Arial"/>
                <w:sz w:val="20"/>
                <w:szCs w:val="20"/>
                <w:lang w:val="uk-UA" w:eastAsia="en-US"/>
              </w:rPr>
            </w:pPr>
            <w:r w:rsidRPr="002C0454">
              <w:rPr>
                <w:rFonts w:eastAsia="Calibri" w:cs="Arial"/>
                <w:sz w:val="20"/>
                <w:szCs w:val="20"/>
                <w:lang w:val="uk-UA" w:eastAsia="en-US"/>
              </w:rPr>
              <w:t xml:space="preserve">Науковий заповідник </w:t>
            </w:r>
          </w:p>
        </w:tc>
        <w:tc>
          <w:tcPr>
            <w:tcW w:w="1260" w:type="dxa"/>
            <w:tcMar>
              <w:left w:w="28" w:type="dxa"/>
              <w:right w:w="28" w:type="dxa"/>
            </w:tcMar>
            <w:vAlign w:val="center"/>
          </w:tcPr>
          <w:p w:rsidR="00642FB4" w:rsidRDefault="00642FB4">
            <w:pPr>
              <w:spacing w:before="20" w:after="20" w:line="276" w:lineRule="auto"/>
              <w:jc w:val="right"/>
              <w:rPr>
                <w:rFonts w:eastAsia="Calibri" w:cs="Arial"/>
                <w:sz w:val="20"/>
                <w:szCs w:val="20"/>
                <w:lang w:eastAsia="en-US"/>
              </w:rPr>
            </w:pPr>
            <w:r w:rsidRPr="002C0454">
              <w:rPr>
                <w:rFonts w:eastAsia="Calibri" w:cs="Arial"/>
                <w:sz w:val="20"/>
                <w:szCs w:val="20"/>
                <w:lang w:eastAsia="en-US"/>
              </w:rPr>
              <w:t>6</w:t>
            </w:r>
          </w:p>
        </w:tc>
      </w:tr>
    </w:tbl>
    <w:p w:rsidR="00C60823" w:rsidRDefault="00C60823">
      <w:pPr>
        <w:spacing w:before="60" w:after="60" w:line="288" w:lineRule="auto"/>
        <w:jc w:val="both"/>
        <w:rPr>
          <w:rFonts w:cs="Arial"/>
        </w:rPr>
      </w:pPr>
    </w:p>
    <w:p w:rsidR="00C60823" w:rsidRPr="00C60823" w:rsidRDefault="00C60823" w:rsidP="00C60823">
      <w:pPr>
        <w:rPr>
          <w:rFonts w:cs="Arial"/>
        </w:rPr>
      </w:pPr>
    </w:p>
    <w:p w:rsidR="00C60823" w:rsidRPr="00C60823" w:rsidRDefault="00C60823" w:rsidP="00C60823">
      <w:pPr>
        <w:rPr>
          <w:rFonts w:cs="Arial"/>
        </w:rPr>
      </w:pPr>
    </w:p>
    <w:p w:rsidR="00C60823" w:rsidRPr="00C60823" w:rsidRDefault="00C60823" w:rsidP="00C60823">
      <w:pPr>
        <w:rPr>
          <w:rFonts w:cs="Arial"/>
        </w:rPr>
      </w:pPr>
    </w:p>
    <w:p w:rsidR="00C60823" w:rsidRPr="00C60823" w:rsidRDefault="00C60823" w:rsidP="00C60823">
      <w:pPr>
        <w:rPr>
          <w:rFonts w:cs="Arial"/>
        </w:rPr>
      </w:pPr>
    </w:p>
    <w:p w:rsidR="00C60823" w:rsidRPr="00C60823" w:rsidRDefault="00C60823" w:rsidP="00C60823">
      <w:pPr>
        <w:rPr>
          <w:rFonts w:cs="Arial"/>
        </w:rPr>
      </w:pPr>
    </w:p>
    <w:p w:rsidR="00C60823" w:rsidRPr="00C60823" w:rsidRDefault="00C60823" w:rsidP="00C60823">
      <w:pPr>
        <w:rPr>
          <w:rFonts w:cs="Arial"/>
        </w:rPr>
      </w:pPr>
    </w:p>
    <w:p w:rsidR="00C60823" w:rsidRPr="00C60823" w:rsidRDefault="00C60823" w:rsidP="00C60823">
      <w:pPr>
        <w:rPr>
          <w:rFonts w:cs="Arial"/>
        </w:rPr>
      </w:pPr>
    </w:p>
    <w:p w:rsidR="00C60823" w:rsidRPr="00C60823" w:rsidRDefault="00C60823" w:rsidP="00C60823">
      <w:pPr>
        <w:rPr>
          <w:rFonts w:cs="Arial"/>
        </w:rPr>
      </w:pPr>
    </w:p>
    <w:p w:rsidR="00C60823" w:rsidRPr="00C60823" w:rsidRDefault="00C60823" w:rsidP="00C60823">
      <w:pPr>
        <w:rPr>
          <w:rFonts w:cs="Arial"/>
        </w:rPr>
      </w:pPr>
    </w:p>
    <w:p w:rsidR="00C60823" w:rsidRPr="00C60823" w:rsidRDefault="00C60823" w:rsidP="00C60823">
      <w:pPr>
        <w:rPr>
          <w:rFonts w:cs="Arial"/>
        </w:rPr>
      </w:pPr>
    </w:p>
    <w:p w:rsidR="00C60823" w:rsidRPr="00C60823" w:rsidRDefault="00C60823" w:rsidP="00C60823">
      <w:pPr>
        <w:rPr>
          <w:rFonts w:cs="Arial"/>
        </w:rPr>
      </w:pPr>
    </w:p>
    <w:p w:rsidR="00C60823" w:rsidRPr="00C60823" w:rsidRDefault="00C60823" w:rsidP="00C60823">
      <w:pPr>
        <w:rPr>
          <w:rFonts w:cs="Arial"/>
        </w:rPr>
      </w:pPr>
    </w:p>
    <w:p w:rsidR="00C60823" w:rsidRPr="00C60823" w:rsidRDefault="00C60823" w:rsidP="00C60823">
      <w:pPr>
        <w:rPr>
          <w:rFonts w:cs="Arial"/>
        </w:rPr>
      </w:pPr>
    </w:p>
    <w:p w:rsidR="00C60823" w:rsidRDefault="00C60823" w:rsidP="00C60823">
      <w:pPr>
        <w:rPr>
          <w:rFonts w:cs="Arial"/>
        </w:rPr>
      </w:pPr>
    </w:p>
    <w:p w:rsidR="00C60823" w:rsidRPr="00C60823" w:rsidRDefault="00C60823" w:rsidP="00C60823">
      <w:pPr>
        <w:rPr>
          <w:rFonts w:cs="Arial"/>
        </w:rPr>
      </w:pPr>
    </w:p>
    <w:p w:rsidR="00C60823" w:rsidRDefault="00C60823" w:rsidP="00C60823">
      <w:pPr>
        <w:rPr>
          <w:rFonts w:cs="Arial"/>
        </w:rPr>
      </w:pPr>
    </w:p>
    <w:p w:rsidR="00642FB4" w:rsidRPr="00C60823" w:rsidRDefault="00C60823" w:rsidP="002C0454">
      <w:pPr>
        <w:tabs>
          <w:tab w:val="left" w:pos="5665"/>
        </w:tabs>
        <w:rPr>
          <w:rFonts w:cs="Arial"/>
        </w:rPr>
        <w:sectPr w:rsidR="00642FB4" w:rsidRPr="00C60823">
          <w:headerReference w:type="default" r:id="rId49"/>
          <w:footerReference w:type="default" r:id="rId50"/>
          <w:pgSz w:w="11909" w:h="16834" w:code="9"/>
          <w:pgMar w:top="562" w:right="849" w:bottom="562" w:left="1138" w:header="288" w:footer="0" w:gutter="0"/>
          <w:cols w:space="708"/>
          <w:docGrid w:linePitch="360"/>
        </w:sectPr>
      </w:pPr>
      <w:r>
        <w:rPr>
          <w:rFonts w:cs="Arial"/>
        </w:rPr>
        <w:tab/>
      </w:r>
    </w:p>
    <w:p w:rsidR="00642FB4" w:rsidRDefault="00642FB4">
      <w:pPr>
        <w:spacing w:before="60" w:after="60" w:line="288" w:lineRule="auto"/>
        <w:jc w:val="both"/>
        <w:rPr>
          <w:rFonts w:cs="Arial"/>
        </w:rPr>
      </w:pPr>
    </w:p>
    <w:p w:rsidR="00642FB4" w:rsidRDefault="001C33BE">
      <w:pPr>
        <w:spacing w:before="60" w:after="60" w:line="288" w:lineRule="auto"/>
        <w:jc w:val="center"/>
        <w:rPr>
          <w:snapToGrid w:val="0"/>
          <w:position w:val="-6"/>
        </w:rPr>
        <w:sectPr w:rsidR="00642FB4">
          <w:headerReference w:type="default" r:id="rId51"/>
          <w:footerReference w:type="default" r:id="rId52"/>
          <w:pgSz w:w="16834" w:h="11909" w:orient="landscape" w:code="9"/>
          <w:pgMar w:top="1138" w:right="849" w:bottom="475" w:left="562" w:header="288" w:footer="0" w:gutter="0"/>
          <w:cols w:space="708"/>
          <w:docGrid w:linePitch="360"/>
        </w:sectPr>
      </w:pPr>
      <w:r>
        <w:rPr>
          <w:noProof/>
          <w:position w:val="-6"/>
          <w:lang w:val="en-US" w:eastAsia="en-US"/>
        </w:rPr>
        <w:drawing>
          <wp:inline distT="0" distB="0" distL="0" distR="0" wp14:anchorId="4A20F969" wp14:editId="6E0D0FB4">
            <wp:extent cx="8213725" cy="5804535"/>
            <wp:effectExtent l="19050" t="0" r="0" b="0"/>
            <wp:docPr id="26" name="Рисунок 26" descr="SEA_Suceav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EA_Suceava_1"/>
                    <pic:cNvPicPr>
                      <a:picLocks noChangeAspect="1" noChangeArrowheads="1"/>
                    </pic:cNvPicPr>
                  </pic:nvPicPr>
                  <pic:blipFill>
                    <a:blip r:embed="rId53" cstate="print"/>
                    <a:srcRect/>
                    <a:stretch>
                      <a:fillRect/>
                    </a:stretch>
                  </pic:blipFill>
                  <pic:spPr bwMode="auto">
                    <a:xfrm>
                      <a:off x="0" y="0"/>
                      <a:ext cx="8213725" cy="5804535"/>
                    </a:xfrm>
                    <a:prstGeom prst="rect">
                      <a:avLst/>
                    </a:prstGeom>
                    <a:noFill/>
                    <a:ln w="9525">
                      <a:noFill/>
                      <a:miter lim="800000"/>
                      <a:headEnd/>
                      <a:tailEnd/>
                    </a:ln>
                  </pic:spPr>
                </pic:pic>
              </a:graphicData>
            </a:graphic>
          </wp:inline>
        </w:drawing>
      </w:r>
    </w:p>
    <w:p w:rsidR="00642FB4" w:rsidRDefault="00642FB4">
      <w:pPr>
        <w:numPr>
          <w:ilvl w:val="0"/>
          <w:numId w:val="14"/>
        </w:numPr>
        <w:autoSpaceDE w:val="0"/>
        <w:autoSpaceDN w:val="0"/>
        <w:adjustRightInd w:val="0"/>
        <w:spacing w:before="60" w:after="60" w:line="288" w:lineRule="auto"/>
        <w:ind w:left="1080" w:hanging="360"/>
        <w:jc w:val="both"/>
        <w:rPr>
          <w:rFonts w:eastAsia="Calibri" w:cs="Arial"/>
          <w:color w:val="000000"/>
        </w:rPr>
      </w:pPr>
      <w:r>
        <w:rPr>
          <w:b/>
          <w:color w:val="000000"/>
        </w:rPr>
        <w:t xml:space="preserve">ОСОБЛИВО ОХОРОНЮВАНІ ТЕРИТОРІЇ  – SPA </w:t>
      </w:r>
    </w:p>
    <w:p w:rsidR="00642FB4" w:rsidRDefault="00642FB4">
      <w:pPr>
        <w:autoSpaceDE w:val="0"/>
        <w:autoSpaceDN w:val="0"/>
        <w:adjustRightInd w:val="0"/>
        <w:spacing w:before="60" w:after="60" w:line="288" w:lineRule="auto"/>
        <w:jc w:val="both"/>
        <w:rPr>
          <w:rFonts w:eastAsia="Calibri" w:cs="Arial"/>
          <w:color w:val="000000"/>
        </w:rPr>
      </w:pPr>
    </w:p>
    <w:p w:rsidR="00642FB4" w:rsidRDefault="00642FB4">
      <w:pPr>
        <w:widowControl w:val="0"/>
        <w:spacing w:before="60" w:after="60" w:line="288" w:lineRule="auto"/>
        <w:ind w:firstLine="630"/>
        <w:jc w:val="both"/>
        <w:rPr>
          <w:rFonts w:eastAsia="Calibri" w:cs="Arial"/>
          <w:color w:val="000000"/>
        </w:rPr>
      </w:pPr>
      <w:r>
        <w:rPr>
          <w:color w:val="000000"/>
        </w:rPr>
        <w:t xml:space="preserve">У повіті Сучава, оголошено </w:t>
      </w:r>
      <w:r>
        <w:rPr>
          <w:b/>
          <w:color w:val="000000"/>
        </w:rPr>
        <w:t>6 Особливо охоронюваних територій</w:t>
      </w:r>
      <w:r>
        <w:rPr>
          <w:color w:val="000000"/>
        </w:rPr>
        <w:t xml:space="preserve">. </w:t>
      </w:r>
    </w:p>
    <w:p w:rsidR="00642FB4" w:rsidRDefault="00642FB4">
      <w:pPr>
        <w:widowControl w:val="0"/>
        <w:spacing w:before="60" w:after="60" w:line="288" w:lineRule="auto"/>
        <w:jc w:val="both"/>
        <w:rPr>
          <w:rFonts w:eastAsia="Calibri" w:cs="Arial"/>
          <w:color w:val="000000"/>
        </w:rPr>
      </w:pPr>
    </w:p>
    <w:p w:rsidR="00642FB4" w:rsidRDefault="00642FB4">
      <w:pPr>
        <w:widowControl w:val="0"/>
        <w:spacing w:before="60" w:after="60" w:line="288" w:lineRule="auto"/>
        <w:jc w:val="both"/>
        <w:rPr>
          <w:rFonts w:cs="Arial"/>
          <w:b/>
          <w:sz w:val="22"/>
          <w:szCs w:val="22"/>
        </w:rPr>
      </w:pPr>
      <w:r>
        <w:rPr>
          <w:b/>
          <w:sz w:val="22"/>
        </w:rPr>
        <w:t>Таблиця 5.1.1   Особливо охоронювані території (SPA) у повіті Сучава</w:t>
      </w:r>
    </w:p>
    <w:tbl>
      <w:tblPr>
        <w:tblW w:w="9892" w:type="dxa"/>
        <w:jc w:val="center"/>
        <w:tblLayout w:type="fixed"/>
        <w:tblCellMar>
          <w:left w:w="28" w:type="dxa"/>
          <w:right w:w="28" w:type="dxa"/>
        </w:tblCellMar>
        <w:tblLook w:val="01E0" w:firstRow="1" w:lastRow="1" w:firstColumn="1" w:lastColumn="1" w:noHBand="0" w:noVBand="0"/>
      </w:tblPr>
      <w:tblGrid>
        <w:gridCol w:w="594"/>
        <w:gridCol w:w="1816"/>
        <w:gridCol w:w="2977"/>
        <w:gridCol w:w="992"/>
        <w:gridCol w:w="1173"/>
        <w:gridCol w:w="1170"/>
        <w:gridCol w:w="1170"/>
      </w:tblGrid>
      <w:tr w:rsidR="00642FB4">
        <w:trPr>
          <w:trHeight w:hRule="exact" w:val="510"/>
          <w:tblHeader/>
          <w:jc w:val="center"/>
        </w:trPr>
        <w:tc>
          <w:tcPr>
            <w:tcW w:w="59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widowControl w:val="0"/>
              <w:jc w:val="both"/>
              <w:rPr>
                <w:rFonts w:cs="Arial"/>
                <w:b/>
                <w:sz w:val="20"/>
                <w:szCs w:val="20"/>
              </w:rPr>
            </w:pPr>
            <w:r>
              <w:rPr>
                <w:b/>
                <w:sz w:val="20"/>
              </w:rPr>
              <w:t>№</w:t>
            </w:r>
          </w:p>
          <w:p w:rsidR="00642FB4" w:rsidRDefault="00642FB4">
            <w:pPr>
              <w:widowControl w:val="0"/>
              <w:jc w:val="both"/>
              <w:rPr>
                <w:rFonts w:cs="Arial"/>
                <w:b/>
                <w:sz w:val="20"/>
                <w:szCs w:val="20"/>
              </w:rPr>
            </w:pPr>
            <w:r>
              <w:rPr>
                <w:b/>
                <w:sz w:val="20"/>
              </w:rPr>
              <w:t>п/п</w:t>
            </w:r>
          </w:p>
        </w:tc>
        <w:tc>
          <w:tcPr>
            <w:tcW w:w="181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widowControl w:val="0"/>
              <w:jc w:val="both"/>
              <w:rPr>
                <w:rFonts w:cs="Arial"/>
                <w:b/>
                <w:sz w:val="20"/>
                <w:szCs w:val="20"/>
              </w:rPr>
            </w:pPr>
            <w:r>
              <w:rPr>
                <w:b/>
                <w:sz w:val="20"/>
              </w:rPr>
              <w:t>Назва SPA</w:t>
            </w:r>
          </w:p>
        </w:tc>
        <w:tc>
          <w:tcPr>
            <w:tcW w:w="297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widowControl w:val="0"/>
              <w:jc w:val="both"/>
              <w:rPr>
                <w:rFonts w:cs="Arial"/>
                <w:b/>
                <w:sz w:val="20"/>
                <w:szCs w:val="20"/>
              </w:rPr>
            </w:pPr>
            <w:r>
              <w:rPr>
                <w:b/>
                <w:sz w:val="20"/>
              </w:rPr>
              <w:t>Розташування SPA</w:t>
            </w:r>
          </w:p>
        </w:tc>
        <w:tc>
          <w:tcPr>
            <w:tcW w:w="216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widowControl w:val="0"/>
              <w:jc w:val="both"/>
              <w:rPr>
                <w:rFonts w:cs="Arial"/>
                <w:b/>
                <w:sz w:val="20"/>
                <w:szCs w:val="20"/>
              </w:rPr>
            </w:pPr>
            <w:r>
              <w:rPr>
                <w:b/>
                <w:sz w:val="20"/>
              </w:rPr>
              <w:t>Площа (га)</w:t>
            </w:r>
          </w:p>
        </w:tc>
        <w:tc>
          <w:tcPr>
            <w:tcW w:w="117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widowControl w:val="0"/>
              <w:jc w:val="both"/>
              <w:rPr>
                <w:rFonts w:cs="Arial"/>
                <w:b/>
                <w:sz w:val="20"/>
                <w:szCs w:val="20"/>
              </w:rPr>
            </w:pPr>
            <w:r>
              <w:rPr>
                <w:b/>
                <w:sz w:val="20"/>
              </w:rPr>
              <w:t>Площа яка покриває площу ОПТ (%)</w:t>
            </w:r>
          </w:p>
        </w:tc>
        <w:tc>
          <w:tcPr>
            <w:tcW w:w="117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widowControl w:val="0"/>
              <w:jc w:val="both"/>
              <w:rPr>
                <w:rFonts w:cs="Arial"/>
                <w:b/>
                <w:sz w:val="20"/>
                <w:szCs w:val="20"/>
              </w:rPr>
            </w:pPr>
            <w:r>
              <w:rPr>
                <w:b/>
                <w:sz w:val="20"/>
              </w:rPr>
              <w:t>Площа зайнята з площі повіту (%)</w:t>
            </w:r>
          </w:p>
        </w:tc>
      </w:tr>
      <w:tr w:rsidR="00642FB4">
        <w:trPr>
          <w:trHeight w:hRule="exact" w:val="510"/>
          <w:tblHeader/>
          <w:jc w:val="center"/>
        </w:trPr>
        <w:tc>
          <w:tcPr>
            <w:tcW w:w="594" w:type="dxa"/>
            <w:vMerge/>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jc w:val="both"/>
              <w:rPr>
                <w:rFonts w:cs="Arial"/>
                <w:b/>
                <w:sz w:val="20"/>
                <w:szCs w:val="20"/>
              </w:rPr>
            </w:pPr>
          </w:p>
        </w:tc>
        <w:tc>
          <w:tcPr>
            <w:tcW w:w="1816" w:type="dxa"/>
            <w:vMerge/>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jc w:val="both"/>
              <w:rPr>
                <w:rFonts w:cs="Arial"/>
                <w:b/>
                <w:sz w:val="20"/>
                <w:szCs w:val="20"/>
              </w:rPr>
            </w:pPr>
          </w:p>
        </w:tc>
        <w:tc>
          <w:tcPr>
            <w:tcW w:w="2977" w:type="dxa"/>
            <w:vMerge/>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jc w:val="both"/>
              <w:rPr>
                <w:rFonts w:cs="Arial"/>
                <w:b/>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widowControl w:val="0"/>
              <w:tabs>
                <w:tab w:val="left" w:pos="720"/>
                <w:tab w:val="center" w:pos="4680"/>
                <w:tab w:val="right" w:pos="9360"/>
              </w:tabs>
              <w:jc w:val="both"/>
              <w:rPr>
                <w:rFonts w:cs="Arial"/>
                <w:b/>
                <w:color w:val="000000"/>
                <w:sz w:val="20"/>
                <w:szCs w:val="20"/>
              </w:rPr>
            </w:pPr>
            <w:r>
              <w:rPr>
                <w:b/>
                <w:color w:val="000000"/>
                <w:sz w:val="20"/>
              </w:rPr>
              <w:t>Всього</w:t>
            </w:r>
          </w:p>
        </w:tc>
        <w:tc>
          <w:tcPr>
            <w:tcW w:w="1173" w:type="dxa"/>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widowControl w:val="0"/>
              <w:ind w:right="-29"/>
              <w:jc w:val="both"/>
              <w:rPr>
                <w:rFonts w:cs="Arial"/>
                <w:b/>
                <w:sz w:val="20"/>
                <w:szCs w:val="20"/>
              </w:rPr>
            </w:pPr>
            <w:r>
              <w:rPr>
                <w:b/>
                <w:color w:val="000000"/>
                <w:sz w:val="20"/>
              </w:rPr>
              <w:t>На терит. повіту</w:t>
            </w:r>
          </w:p>
        </w:tc>
        <w:tc>
          <w:tcPr>
            <w:tcW w:w="1170" w:type="dxa"/>
            <w:vMerge/>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jc w:val="both"/>
              <w:rPr>
                <w:rFonts w:cs="Arial"/>
                <w:b/>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jc w:val="both"/>
              <w:rPr>
                <w:rFonts w:cs="Arial"/>
                <w:b/>
                <w:sz w:val="20"/>
                <w:szCs w:val="20"/>
              </w:rPr>
            </w:pPr>
          </w:p>
        </w:tc>
      </w:tr>
      <w:tr w:rsidR="00642FB4">
        <w:trPr>
          <w:trHeight w:hRule="exact" w:val="510"/>
          <w:jc w:val="center"/>
        </w:trPr>
        <w:tc>
          <w:tcPr>
            <w:tcW w:w="594"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115"/>
              <w:jc w:val="both"/>
              <w:rPr>
                <w:rFonts w:cs="Arial"/>
                <w:sz w:val="20"/>
                <w:szCs w:val="20"/>
              </w:rPr>
            </w:pPr>
            <w:r>
              <w:rPr>
                <w:sz w:val="20"/>
              </w:rPr>
              <w:t>1.</w:t>
            </w:r>
          </w:p>
        </w:tc>
        <w:tc>
          <w:tcPr>
            <w:tcW w:w="1816"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Озера Фелтичені</w:t>
            </w:r>
          </w:p>
        </w:tc>
        <w:tc>
          <w:tcPr>
            <w:tcW w:w="2977"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Фелтичені Бунешть, Ридишень</w:t>
            </w:r>
          </w:p>
        </w:tc>
        <w:tc>
          <w:tcPr>
            <w:tcW w:w="992"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659,8</w:t>
            </w:r>
          </w:p>
        </w:tc>
        <w:tc>
          <w:tcPr>
            <w:tcW w:w="1173"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659,8</w:t>
            </w:r>
          </w:p>
        </w:tc>
        <w:tc>
          <w:tcPr>
            <w:tcW w:w="117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Не застосовується</w:t>
            </w:r>
          </w:p>
        </w:tc>
        <w:tc>
          <w:tcPr>
            <w:tcW w:w="117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0,08%</w:t>
            </w:r>
          </w:p>
        </w:tc>
      </w:tr>
      <w:tr w:rsidR="00642FB4">
        <w:trPr>
          <w:trHeight w:hRule="exact" w:val="510"/>
          <w:jc w:val="center"/>
        </w:trPr>
        <w:tc>
          <w:tcPr>
            <w:tcW w:w="594"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115"/>
              <w:jc w:val="both"/>
              <w:rPr>
                <w:rFonts w:cs="Arial"/>
                <w:sz w:val="20"/>
                <w:szCs w:val="20"/>
              </w:rPr>
            </w:pPr>
            <w:r>
              <w:rPr>
                <w:sz w:val="20"/>
              </w:rPr>
              <w:t>2.</w:t>
            </w:r>
          </w:p>
        </w:tc>
        <w:tc>
          <w:tcPr>
            <w:tcW w:w="1816"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Обчіна Фередеулуй</w:t>
            </w:r>
          </w:p>
        </w:tc>
        <w:tc>
          <w:tcPr>
            <w:tcW w:w="2977"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Бряза, Бродіна, Кемпулунг-Молдовенеск, Фрумосу, Ізвоареле-Сучевей, Молдавія Суліца, Молдовіца, Садова, Ульма, Вама, Ватра Молдовіцей</w:t>
            </w:r>
          </w:p>
        </w:tc>
        <w:tc>
          <w:tcPr>
            <w:tcW w:w="992"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63983,3</w:t>
            </w:r>
          </w:p>
        </w:tc>
        <w:tc>
          <w:tcPr>
            <w:tcW w:w="1173"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63983,3</w:t>
            </w:r>
          </w:p>
        </w:tc>
        <w:tc>
          <w:tcPr>
            <w:tcW w:w="117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17,81%</w:t>
            </w:r>
          </w:p>
        </w:tc>
        <w:tc>
          <w:tcPr>
            <w:tcW w:w="117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7,5%</w:t>
            </w:r>
          </w:p>
        </w:tc>
      </w:tr>
      <w:tr w:rsidR="00642FB4">
        <w:trPr>
          <w:trHeight w:hRule="exact" w:val="510"/>
          <w:jc w:val="center"/>
        </w:trPr>
        <w:tc>
          <w:tcPr>
            <w:tcW w:w="594"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58"/>
              <w:jc w:val="both"/>
              <w:rPr>
                <w:rFonts w:cs="Arial"/>
                <w:sz w:val="20"/>
                <w:szCs w:val="20"/>
              </w:rPr>
            </w:pPr>
            <w:r>
              <w:rPr>
                <w:sz w:val="20"/>
              </w:rPr>
              <w:t>3.</w:t>
            </w:r>
          </w:p>
        </w:tc>
        <w:tc>
          <w:tcPr>
            <w:tcW w:w="1816"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Гори Рариу Джумалиу</w:t>
            </w:r>
          </w:p>
        </w:tc>
        <w:tc>
          <w:tcPr>
            <w:tcW w:w="2977"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Кемпулунг Молдовенеск, Круча, Дорна Аріні, Стулпікані</w:t>
            </w:r>
          </w:p>
        </w:tc>
        <w:tc>
          <w:tcPr>
            <w:tcW w:w="992"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2157,3</w:t>
            </w:r>
          </w:p>
        </w:tc>
        <w:tc>
          <w:tcPr>
            <w:tcW w:w="1173"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2157,3</w:t>
            </w:r>
          </w:p>
        </w:tc>
        <w:tc>
          <w:tcPr>
            <w:tcW w:w="117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90 %</w:t>
            </w:r>
          </w:p>
        </w:tc>
        <w:tc>
          <w:tcPr>
            <w:tcW w:w="117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0,25%</w:t>
            </w:r>
          </w:p>
        </w:tc>
      </w:tr>
      <w:tr w:rsidR="00642FB4">
        <w:trPr>
          <w:trHeight w:hRule="exact" w:val="510"/>
          <w:jc w:val="center"/>
        </w:trPr>
        <w:tc>
          <w:tcPr>
            <w:tcW w:w="594"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368" w:firstLine="394"/>
              <w:jc w:val="both"/>
              <w:rPr>
                <w:rFonts w:cs="Arial"/>
                <w:sz w:val="20"/>
                <w:szCs w:val="20"/>
              </w:rPr>
            </w:pPr>
            <w:r>
              <w:rPr>
                <w:sz w:val="20"/>
              </w:rPr>
              <w:t>4.</w:t>
            </w:r>
          </w:p>
        </w:tc>
        <w:tc>
          <w:tcPr>
            <w:tcW w:w="1816"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Гори Килімань</w:t>
            </w:r>
          </w:p>
        </w:tc>
        <w:tc>
          <w:tcPr>
            <w:tcW w:w="2977"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Дорна Кандренілор, Паначі, Пояна Стампей, Шару Дорней</w:t>
            </w:r>
          </w:p>
        </w:tc>
        <w:tc>
          <w:tcPr>
            <w:tcW w:w="992"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29048</w:t>
            </w:r>
          </w:p>
        </w:tc>
        <w:tc>
          <w:tcPr>
            <w:tcW w:w="1173"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15395</w:t>
            </w:r>
          </w:p>
        </w:tc>
        <w:tc>
          <w:tcPr>
            <w:tcW w:w="117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21%</w:t>
            </w:r>
          </w:p>
        </w:tc>
        <w:tc>
          <w:tcPr>
            <w:tcW w:w="117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53%</w:t>
            </w:r>
          </w:p>
        </w:tc>
      </w:tr>
      <w:tr w:rsidR="00642FB4">
        <w:trPr>
          <w:trHeight w:hRule="exact" w:val="510"/>
          <w:jc w:val="center"/>
        </w:trPr>
        <w:tc>
          <w:tcPr>
            <w:tcW w:w="594"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115"/>
              <w:jc w:val="both"/>
              <w:rPr>
                <w:rFonts w:cs="Arial"/>
                <w:sz w:val="20"/>
                <w:szCs w:val="20"/>
              </w:rPr>
            </w:pPr>
            <w:r>
              <w:rPr>
                <w:sz w:val="20"/>
              </w:rPr>
              <w:t>5.</w:t>
            </w:r>
          </w:p>
        </w:tc>
        <w:tc>
          <w:tcPr>
            <w:tcW w:w="1816"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color w:val="000000"/>
                <w:sz w:val="20"/>
              </w:rPr>
              <w:t>Водосховища Рогожень Бучечя</w:t>
            </w:r>
          </w:p>
        </w:tc>
        <w:tc>
          <w:tcPr>
            <w:tcW w:w="2977"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Сучава, Ботошань</w:t>
            </w:r>
          </w:p>
        </w:tc>
        <w:tc>
          <w:tcPr>
            <w:tcW w:w="992"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2100</w:t>
            </w:r>
          </w:p>
        </w:tc>
        <w:tc>
          <w:tcPr>
            <w:tcW w:w="1173"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567</w:t>
            </w:r>
          </w:p>
        </w:tc>
        <w:tc>
          <w:tcPr>
            <w:tcW w:w="117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Не застосовується</w:t>
            </w:r>
          </w:p>
        </w:tc>
        <w:tc>
          <w:tcPr>
            <w:tcW w:w="117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0,06</w:t>
            </w:r>
          </w:p>
        </w:tc>
      </w:tr>
      <w:tr w:rsidR="00642FB4">
        <w:trPr>
          <w:trHeight w:hRule="exact" w:val="825"/>
          <w:jc w:val="center"/>
        </w:trPr>
        <w:tc>
          <w:tcPr>
            <w:tcW w:w="594"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115"/>
              <w:jc w:val="both"/>
              <w:rPr>
                <w:rFonts w:cs="Arial"/>
                <w:sz w:val="20"/>
                <w:szCs w:val="20"/>
              </w:rPr>
            </w:pPr>
            <w:r>
              <w:rPr>
                <w:sz w:val="20"/>
              </w:rPr>
              <w:t>6.</w:t>
            </w:r>
          </w:p>
        </w:tc>
        <w:tc>
          <w:tcPr>
            <w:tcW w:w="1816"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color w:val="000000"/>
                <w:sz w:val="20"/>
                <w:szCs w:val="20"/>
              </w:rPr>
            </w:pPr>
            <w:r>
              <w:rPr>
                <w:color w:val="000000"/>
                <w:sz w:val="20"/>
              </w:rPr>
              <w:t>Дорогой- Шауа Бучечей (4% у повіті Сучава)</w:t>
            </w:r>
          </w:p>
        </w:tc>
        <w:tc>
          <w:tcPr>
            <w:tcW w:w="2977"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Сучава, Ботошань</w:t>
            </w:r>
          </w:p>
        </w:tc>
        <w:tc>
          <w:tcPr>
            <w:tcW w:w="992"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25330</w:t>
            </w:r>
          </w:p>
        </w:tc>
        <w:tc>
          <w:tcPr>
            <w:tcW w:w="1173"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1013</w:t>
            </w:r>
          </w:p>
        </w:tc>
        <w:tc>
          <w:tcPr>
            <w:tcW w:w="117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Не застосовується</w:t>
            </w:r>
          </w:p>
        </w:tc>
        <w:tc>
          <w:tcPr>
            <w:tcW w:w="117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0,11</w:t>
            </w:r>
          </w:p>
        </w:tc>
      </w:tr>
    </w:tbl>
    <w:p w:rsidR="00642FB4" w:rsidRDefault="00642FB4">
      <w:pPr>
        <w:widowControl w:val="0"/>
        <w:spacing w:line="720" w:lineRule="auto"/>
        <w:ind w:left="540"/>
        <w:jc w:val="both"/>
        <w:rPr>
          <w:rFonts w:cs="Arial"/>
          <w:sz w:val="6"/>
          <w:szCs w:val="6"/>
        </w:rPr>
      </w:pPr>
    </w:p>
    <w:p w:rsidR="00642FB4" w:rsidRDefault="00642FB4">
      <w:pPr>
        <w:widowControl w:val="0"/>
        <w:spacing w:line="720" w:lineRule="auto"/>
        <w:ind w:left="540"/>
        <w:jc w:val="both"/>
        <w:rPr>
          <w:rFonts w:cs="Arial"/>
          <w:sz w:val="6"/>
          <w:szCs w:val="6"/>
        </w:rPr>
      </w:pPr>
    </w:p>
    <w:p w:rsidR="00642FB4" w:rsidRDefault="00642FB4">
      <w:pPr>
        <w:widowControl w:val="0"/>
        <w:spacing w:line="720" w:lineRule="auto"/>
        <w:ind w:left="540"/>
        <w:jc w:val="both"/>
        <w:rPr>
          <w:rFonts w:cs="Arial"/>
          <w:sz w:val="10"/>
          <w:szCs w:val="10"/>
        </w:rPr>
      </w:pPr>
    </w:p>
    <w:p w:rsidR="00642FB4" w:rsidRDefault="001C33BE">
      <w:pPr>
        <w:widowControl w:val="0"/>
        <w:spacing w:line="720" w:lineRule="auto"/>
        <w:jc w:val="center"/>
        <w:rPr>
          <w:rFonts w:cs="Arial"/>
          <w:noProof/>
          <w:sz w:val="22"/>
          <w:szCs w:val="22"/>
        </w:rPr>
      </w:pPr>
      <w:r>
        <w:rPr>
          <w:rFonts w:cs="Arial"/>
          <w:noProof/>
          <w:sz w:val="22"/>
          <w:szCs w:val="22"/>
          <w:lang w:val="en-US" w:eastAsia="en-US"/>
        </w:rPr>
        <w:drawing>
          <wp:inline distT="0" distB="0" distL="0" distR="0" wp14:anchorId="06204F13" wp14:editId="208647EC">
            <wp:extent cx="5001260" cy="2480945"/>
            <wp:effectExtent l="19050" t="0" r="8890" b="0"/>
            <wp:docPr id="27" name="Picture 2" descr="Description: C:\Users\mariana.filip\Pictures\New 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mariana.filip\Pictures\New Picture (2).png"/>
                    <pic:cNvPicPr>
                      <a:picLocks noChangeAspect="1" noChangeArrowheads="1"/>
                    </pic:cNvPicPr>
                  </pic:nvPicPr>
                  <pic:blipFill>
                    <a:blip r:embed="rId54" cstate="print"/>
                    <a:srcRect/>
                    <a:stretch>
                      <a:fillRect/>
                    </a:stretch>
                  </pic:blipFill>
                  <pic:spPr bwMode="auto">
                    <a:xfrm>
                      <a:off x="0" y="0"/>
                      <a:ext cx="5001260" cy="2480945"/>
                    </a:xfrm>
                    <a:prstGeom prst="rect">
                      <a:avLst/>
                    </a:prstGeom>
                    <a:noFill/>
                    <a:ln w="9525">
                      <a:noFill/>
                      <a:miter lim="800000"/>
                      <a:headEnd/>
                      <a:tailEnd/>
                    </a:ln>
                  </pic:spPr>
                </pic:pic>
              </a:graphicData>
            </a:graphic>
          </wp:inline>
        </w:drawing>
      </w:r>
    </w:p>
    <w:p w:rsidR="00642FB4" w:rsidRDefault="00642FB4">
      <w:pPr>
        <w:widowControl w:val="0"/>
        <w:spacing w:before="60" w:after="60" w:line="288" w:lineRule="auto"/>
        <w:ind w:left="539"/>
        <w:jc w:val="center"/>
        <w:rPr>
          <w:rFonts w:cs="Arial"/>
          <w:b/>
          <w:sz w:val="22"/>
          <w:szCs w:val="22"/>
        </w:rPr>
      </w:pPr>
      <w:r>
        <w:rPr>
          <w:b/>
          <w:i/>
          <w:sz w:val="22"/>
        </w:rPr>
        <w:t>Рисунок 5.4.1</w:t>
      </w:r>
      <w:r>
        <w:rPr>
          <w:b/>
          <w:sz w:val="22"/>
        </w:rPr>
        <w:t xml:space="preserve"> Гори Рариу-Джумалиу</w:t>
      </w:r>
      <w:r>
        <w:rPr>
          <w:sz w:val="22"/>
        </w:rPr>
        <w:t>– Особливо охоронюваних територій</w:t>
      </w:r>
    </w:p>
    <w:p w:rsidR="00642FB4" w:rsidRDefault="00642FB4">
      <w:pPr>
        <w:widowControl w:val="0"/>
        <w:spacing w:line="720" w:lineRule="auto"/>
        <w:jc w:val="both"/>
        <w:rPr>
          <w:rFonts w:cs="Arial"/>
          <w:sz w:val="22"/>
          <w:szCs w:val="22"/>
        </w:rPr>
      </w:pPr>
    </w:p>
    <w:p w:rsidR="00642FB4" w:rsidRDefault="00642FB4">
      <w:pPr>
        <w:widowControl w:val="0"/>
        <w:spacing w:line="720" w:lineRule="auto"/>
        <w:jc w:val="both"/>
        <w:rPr>
          <w:rFonts w:cs="Arial"/>
          <w:sz w:val="22"/>
          <w:szCs w:val="22"/>
        </w:rPr>
      </w:pPr>
    </w:p>
    <w:p w:rsidR="00642FB4" w:rsidRDefault="00642FB4">
      <w:pPr>
        <w:widowControl w:val="0"/>
        <w:spacing w:line="720" w:lineRule="auto"/>
        <w:jc w:val="both"/>
        <w:rPr>
          <w:rFonts w:cs="Arial"/>
          <w:sz w:val="22"/>
          <w:szCs w:val="22"/>
        </w:rPr>
      </w:pPr>
    </w:p>
    <w:p w:rsidR="00642FB4" w:rsidRDefault="00642FB4">
      <w:pPr>
        <w:widowControl w:val="0"/>
        <w:spacing w:line="720" w:lineRule="auto"/>
        <w:jc w:val="both"/>
        <w:rPr>
          <w:rFonts w:cs="Arial"/>
          <w:sz w:val="22"/>
          <w:szCs w:val="22"/>
        </w:rPr>
      </w:pPr>
    </w:p>
    <w:p w:rsidR="00642FB4" w:rsidRDefault="00642FB4">
      <w:pPr>
        <w:spacing w:before="60" w:after="60" w:line="288" w:lineRule="auto"/>
        <w:jc w:val="both"/>
        <w:rPr>
          <w:rFonts w:cs="Arial"/>
        </w:rPr>
      </w:pPr>
    </w:p>
    <w:p w:rsidR="00642FB4" w:rsidRDefault="00642FB4">
      <w:pPr>
        <w:numPr>
          <w:ilvl w:val="0"/>
          <w:numId w:val="14"/>
        </w:numPr>
        <w:autoSpaceDE w:val="0"/>
        <w:autoSpaceDN w:val="0"/>
        <w:adjustRightInd w:val="0"/>
        <w:spacing w:before="60" w:after="60" w:line="288" w:lineRule="auto"/>
        <w:ind w:left="1080" w:hanging="360"/>
        <w:jc w:val="both"/>
        <w:rPr>
          <w:rFonts w:eastAsia="Calibri" w:cs="Arial"/>
          <w:color w:val="000000"/>
        </w:rPr>
      </w:pPr>
      <w:r>
        <w:rPr>
          <w:b/>
          <w:color w:val="000000"/>
        </w:rPr>
        <w:t xml:space="preserve">ДІЛЯНКИ КОМУНІТАРНОГО ЗНАЧЕННЯ-SCI </w:t>
      </w:r>
    </w:p>
    <w:p w:rsidR="00642FB4" w:rsidRDefault="00642FB4">
      <w:pPr>
        <w:autoSpaceDE w:val="0"/>
        <w:autoSpaceDN w:val="0"/>
        <w:adjustRightInd w:val="0"/>
        <w:spacing w:before="60" w:after="60" w:line="288" w:lineRule="auto"/>
        <w:ind w:left="1080"/>
        <w:jc w:val="both"/>
        <w:rPr>
          <w:rFonts w:eastAsia="Calibri" w:cs="Arial"/>
          <w:color w:val="000000"/>
        </w:rPr>
      </w:pPr>
    </w:p>
    <w:p w:rsidR="00642FB4" w:rsidRDefault="00642FB4">
      <w:pPr>
        <w:spacing w:before="60" w:after="60" w:line="288" w:lineRule="auto"/>
        <w:ind w:firstLine="720"/>
        <w:jc w:val="both"/>
        <w:rPr>
          <w:rFonts w:eastAsia="Calibri" w:cs="Arial"/>
          <w:color w:val="000000"/>
        </w:rPr>
      </w:pPr>
      <w:r>
        <w:rPr>
          <w:color w:val="000000"/>
        </w:rPr>
        <w:t>На даний час у повіті Сучава існує 23 Ділянки комунітарного значення.</w:t>
      </w:r>
    </w:p>
    <w:p w:rsidR="00642FB4" w:rsidRDefault="00642FB4">
      <w:pPr>
        <w:spacing w:before="60" w:after="60" w:line="288" w:lineRule="auto"/>
        <w:jc w:val="both"/>
        <w:rPr>
          <w:rFonts w:cs="Arial"/>
        </w:rPr>
      </w:pPr>
    </w:p>
    <w:p w:rsidR="00642FB4" w:rsidRDefault="00642FB4">
      <w:pPr>
        <w:widowControl w:val="0"/>
        <w:ind w:left="547"/>
        <w:jc w:val="both"/>
        <w:rPr>
          <w:rFonts w:cs="Arial"/>
          <w:b/>
          <w:sz w:val="22"/>
          <w:szCs w:val="22"/>
        </w:rPr>
      </w:pPr>
      <w:r>
        <w:rPr>
          <w:b/>
          <w:sz w:val="22"/>
        </w:rPr>
        <w:t>Таблиця 5.1.2   Ділянки комунітарного значення (SCI) у повіті Сучава</w:t>
      </w:r>
    </w:p>
    <w:tbl>
      <w:tblPr>
        <w:tblW w:w="10378" w:type="dxa"/>
        <w:tblLayout w:type="fixed"/>
        <w:tblCellMar>
          <w:left w:w="28" w:type="dxa"/>
          <w:right w:w="28" w:type="dxa"/>
        </w:tblCellMar>
        <w:tblLook w:val="01E0" w:firstRow="1" w:lastRow="1" w:firstColumn="1" w:lastColumn="1" w:noHBand="0" w:noVBand="0"/>
      </w:tblPr>
      <w:tblGrid>
        <w:gridCol w:w="595"/>
        <w:gridCol w:w="1985"/>
        <w:gridCol w:w="3260"/>
        <w:gridCol w:w="810"/>
        <w:gridCol w:w="41"/>
        <w:gridCol w:w="949"/>
        <w:gridCol w:w="43"/>
        <w:gridCol w:w="1397"/>
        <w:gridCol w:w="21"/>
        <w:gridCol w:w="1271"/>
        <w:gridCol w:w="6"/>
      </w:tblGrid>
      <w:tr w:rsidR="00642FB4">
        <w:trPr>
          <w:gridAfter w:val="1"/>
          <w:wAfter w:w="6" w:type="dxa"/>
          <w:trHeight w:hRule="exact" w:val="510"/>
          <w:tblHeader/>
        </w:trPr>
        <w:tc>
          <w:tcPr>
            <w:tcW w:w="59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widowControl w:val="0"/>
              <w:jc w:val="both"/>
              <w:rPr>
                <w:rFonts w:cs="Arial"/>
                <w:b/>
                <w:sz w:val="20"/>
                <w:szCs w:val="20"/>
              </w:rPr>
            </w:pPr>
            <w:r>
              <w:rPr>
                <w:b/>
                <w:sz w:val="20"/>
              </w:rPr>
              <w:t>№</w:t>
            </w:r>
          </w:p>
          <w:p w:rsidR="00642FB4" w:rsidRDefault="00642FB4">
            <w:pPr>
              <w:widowControl w:val="0"/>
              <w:jc w:val="both"/>
              <w:rPr>
                <w:rFonts w:cs="Arial"/>
                <w:b/>
                <w:sz w:val="20"/>
                <w:szCs w:val="20"/>
              </w:rPr>
            </w:pPr>
            <w:r>
              <w:rPr>
                <w:b/>
                <w:sz w:val="20"/>
              </w:rPr>
              <w:t>п/п</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widowControl w:val="0"/>
              <w:jc w:val="both"/>
              <w:rPr>
                <w:rFonts w:cs="Arial"/>
                <w:b/>
                <w:sz w:val="20"/>
                <w:szCs w:val="20"/>
              </w:rPr>
            </w:pPr>
            <w:r>
              <w:rPr>
                <w:b/>
                <w:sz w:val="20"/>
              </w:rPr>
              <w:t>Назва SCI</w:t>
            </w:r>
          </w:p>
        </w:tc>
        <w:tc>
          <w:tcPr>
            <w:tcW w:w="32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widowControl w:val="0"/>
              <w:jc w:val="both"/>
              <w:rPr>
                <w:rFonts w:cs="Arial"/>
                <w:b/>
                <w:sz w:val="20"/>
                <w:szCs w:val="20"/>
              </w:rPr>
            </w:pPr>
            <w:r>
              <w:rPr>
                <w:b/>
                <w:sz w:val="20"/>
              </w:rPr>
              <w:t>Розташування SCI</w:t>
            </w:r>
          </w:p>
        </w:tc>
        <w:tc>
          <w:tcPr>
            <w:tcW w:w="1843"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widowControl w:val="0"/>
              <w:jc w:val="both"/>
              <w:rPr>
                <w:rFonts w:cs="Arial"/>
                <w:b/>
                <w:sz w:val="20"/>
                <w:szCs w:val="20"/>
              </w:rPr>
            </w:pPr>
            <w:r>
              <w:rPr>
                <w:b/>
                <w:sz w:val="20"/>
              </w:rPr>
              <w:t>Площа (га)</w:t>
            </w:r>
          </w:p>
        </w:tc>
        <w:tc>
          <w:tcPr>
            <w:tcW w:w="1418"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widowControl w:val="0"/>
              <w:jc w:val="both"/>
              <w:rPr>
                <w:rFonts w:cs="Arial"/>
                <w:b/>
                <w:sz w:val="20"/>
                <w:szCs w:val="20"/>
              </w:rPr>
            </w:pPr>
            <w:r>
              <w:rPr>
                <w:b/>
                <w:sz w:val="20"/>
              </w:rPr>
              <w:t xml:space="preserve">Площа (%) яка покриває площу ОПТ </w:t>
            </w:r>
          </w:p>
        </w:tc>
        <w:tc>
          <w:tcPr>
            <w:tcW w:w="127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widowControl w:val="0"/>
              <w:jc w:val="both"/>
              <w:rPr>
                <w:rFonts w:cs="Arial"/>
                <w:b/>
                <w:sz w:val="20"/>
                <w:szCs w:val="20"/>
              </w:rPr>
            </w:pPr>
            <w:r>
              <w:rPr>
                <w:b/>
                <w:sz w:val="20"/>
              </w:rPr>
              <w:t>Площа (%) зайнята з площі повіту</w:t>
            </w:r>
          </w:p>
        </w:tc>
      </w:tr>
      <w:tr w:rsidR="00642FB4">
        <w:trPr>
          <w:gridAfter w:val="1"/>
          <w:wAfter w:w="6" w:type="dxa"/>
          <w:trHeight w:hRule="exact" w:val="906"/>
          <w:tblHeader/>
        </w:trPr>
        <w:tc>
          <w:tcPr>
            <w:tcW w:w="595" w:type="dxa"/>
            <w:vMerge/>
            <w:tcBorders>
              <w:top w:val="single" w:sz="4" w:space="0" w:color="auto"/>
              <w:left w:val="single" w:sz="4" w:space="0" w:color="auto"/>
              <w:bottom w:val="single" w:sz="4" w:space="0" w:color="auto"/>
              <w:right w:val="single" w:sz="4" w:space="0" w:color="auto"/>
            </w:tcBorders>
            <w:shd w:val="clear" w:color="auto" w:fill="FFFF99"/>
            <w:vAlign w:val="center"/>
          </w:tcPr>
          <w:p w:rsidR="00642FB4" w:rsidRDefault="00642FB4">
            <w:pPr>
              <w:widowControl w:val="0"/>
              <w:jc w:val="both"/>
              <w:rPr>
                <w:rFonts w:cs="Arial"/>
                <w:b/>
                <w:sz w:val="20"/>
                <w:szCs w:val="20"/>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99"/>
            <w:vAlign w:val="center"/>
          </w:tcPr>
          <w:p w:rsidR="00642FB4" w:rsidRDefault="00642FB4">
            <w:pPr>
              <w:widowControl w:val="0"/>
              <w:jc w:val="both"/>
              <w:rPr>
                <w:rFonts w:cs="Arial"/>
                <w:b/>
                <w:sz w:val="20"/>
                <w:szCs w:val="20"/>
              </w:rPr>
            </w:pPr>
          </w:p>
        </w:tc>
        <w:tc>
          <w:tcPr>
            <w:tcW w:w="3260" w:type="dxa"/>
            <w:vMerge/>
            <w:tcBorders>
              <w:top w:val="single" w:sz="4" w:space="0" w:color="auto"/>
              <w:left w:val="single" w:sz="4" w:space="0" w:color="auto"/>
              <w:bottom w:val="single" w:sz="4" w:space="0" w:color="auto"/>
              <w:right w:val="single" w:sz="4" w:space="0" w:color="auto"/>
            </w:tcBorders>
            <w:shd w:val="clear" w:color="auto" w:fill="FFFF99"/>
            <w:vAlign w:val="center"/>
          </w:tcPr>
          <w:p w:rsidR="00642FB4" w:rsidRDefault="00642FB4">
            <w:pPr>
              <w:widowControl w:val="0"/>
              <w:jc w:val="both"/>
              <w:rPr>
                <w:rFonts w:cs="Arial"/>
                <w:b/>
                <w:sz w:val="20"/>
                <w:szCs w:val="20"/>
              </w:rPr>
            </w:pP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widowControl w:val="0"/>
              <w:tabs>
                <w:tab w:val="left" w:pos="720"/>
                <w:tab w:val="center" w:pos="4680"/>
                <w:tab w:val="right" w:pos="9360"/>
              </w:tabs>
              <w:jc w:val="both"/>
              <w:rPr>
                <w:rFonts w:cs="Arial"/>
                <w:b/>
                <w:color w:val="000000"/>
                <w:sz w:val="20"/>
                <w:szCs w:val="20"/>
              </w:rPr>
            </w:pPr>
            <w:r>
              <w:rPr>
                <w:b/>
                <w:color w:val="000000"/>
                <w:sz w:val="20"/>
              </w:rPr>
              <w:t>Всього</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42FB4" w:rsidRDefault="00642FB4">
            <w:pPr>
              <w:widowControl w:val="0"/>
              <w:jc w:val="both"/>
              <w:rPr>
                <w:rFonts w:cs="Arial"/>
                <w:b/>
                <w:sz w:val="20"/>
                <w:szCs w:val="20"/>
              </w:rPr>
            </w:pPr>
            <w:r>
              <w:rPr>
                <w:b/>
                <w:color w:val="000000"/>
                <w:sz w:val="20"/>
              </w:rPr>
              <w:t>Територія повіту</w:t>
            </w:r>
          </w:p>
        </w:tc>
        <w:tc>
          <w:tcPr>
            <w:tcW w:w="1418" w:type="dxa"/>
            <w:gridSpan w:val="2"/>
            <w:vMerge/>
            <w:tcBorders>
              <w:top w:val="single" w:sz="4" w:space="0" w:color="auto"/>
              <w:left w:val="single" w:sz="4" w:space="0" w:color="auto"/>
              <w:bottom w:val="single" w:sz="4" w:space="0" w:color="auto"/>
              <w:right w:val="single" w:sz="4" w:space="0" w:color="auto"/>
            </w:tcBorders>
            <w:shd w:val="clear" w:color="auto" w:fill="FFFF99"/>
            <w:vAlign w:val="center"/>
          </w:tcPr>
          <w:p w:rsidR="00642FB4" w:rsidRDefault="00642FB4">
            <w:pPr>
              <w:widowControl w:val="0"/>
              <w:jc w:val="both"/>
              <w:rPr>
                <w:rFonts w:cs="Arial"/>
                <w:b/>
                <w:sz w:val="20"/>
                <w:szCs w:val="20"/>
              </w:rPr>
            </w:pPr>
          </w:p>
        </w:tc>
        <w:tc>
          <w:tcPr>
            <w:tcW w:w="1271" w:type="dxa"/>
            <w:vMerge/>
            <w:tcBorders>
              <w:top w:val="single" w:sz="4" w:space="0" w:color="auto"/>
              <w:left w:val="single" w:sz="4" w:space="0" w:color="auto"/>
              <w:bottom w:val="single" w:sz="4" w:space="0" w:color="auto"/>
              <w:right w:val="single" w:sz="4" w:space="0" w:color="auto"/>
            </w:tcBorders>
            <w:shd w:val="clear" w:color="auto" w:fill="FFFF99"/>
            <w:vAlign w:val="center"/>
          </w:tcPr>
          <w:p w:rsidR="00642FB4" w:rsidRDefault="00642FB4">
            <w:pPr>
              <w:widowControl w:val="0"/>
              <w:jc w:val="both"/>
              <w:rPr>
                <w:rFonts w:cs="Arial"/>
                <w:b/>
                <w:sz w:val="20"/>
                <w:szCs w:val="20"/>
              </w:rPr>
            </w:pPr>
          </w:p>
        </w:tc>
      </w:tr>
      <w:tr w:rsidR="00642FB4">
        <w:trPr>
          <w:trHeight w:hRule="exact" w:val="326"/>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jc w:val="both"/>
              <w:rPr>
                <w:rFonts w:cs="Arial"/>
                <w:sz w:val="20"/>
                <w:szCs w:val="20"/>
              </w:rPr>
            </w:pPr>
            <w:r>
              <w:rPr>
                <w:sz w:val="20"/>
              </w:rPr>
              <w:t>1.</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rPr>
                <w:rFonts w:cs="Arial"/>
                <w:sz w:val="20"/>
                <w:szCs w:val="20"/>
              </w:rPr>
            </w:pPr>
            <w:r>
              <w:rPr>
                <w:sz w:val="20"/>
              </w:rPr>
              <w:t>Бистриця Ауріє</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rPr>
                <w:rFonts w:cs="Arial"/>
                <w:sz w:val="20"/>
                <w:szCs w:val="20"/>
              </w:rPr>
            </w:pPr>
            <w:r>
              <w:rPr>
                <w:sz w:val="20"/>
              </w:rPr>
              <w:t>Кирлібаба, Чокинешть, Якобень</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375</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375</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Не застосовується</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0,04%</w:t>
            </w:r>
          </w:p>
        </w:tc>
      </w:tr>
      <w:tr w:rsidR="00642FB4">
        <w:trPr>
          <w:trHeight w:hRule="exact" w:val="510"/>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90"/>
              <w:jc w:val="both"/>
              <w:rPr>
                <w:rFonts w:cs="Arial"/>
                <w:sz w:val="20"/>
                <w:szCs w:val="20"/>
              </w:rPr>
            </w:pPr>
            <w:r>
              <w:rPr>
                <w:sz w:val="20"/>
              </w:rPr>
              <w:t>2.</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Світські луки Поноари</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Босанчі</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40</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40</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100%</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0,004%</w:t>
            </w:r>
          </w:p>
        </w:tc>
      </w:tr>
      <w:tr w:rsidR="00642FB4">
        <w:trPr>
          <w:trHeight w:hRule="exact" w:val="510"/>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90"/>
              <w:jc w:val="both"/>
              <w:rPr>
                <w:rFonts w:cs="Arial"/>
                <w:sz w:val="20"/>
                <w:szCs w:val="20"/>
              </w:rPr>
            </w:pPr>
            <w:r>
              <w:rPr>
                <w:sz w:val="20"/>
              </w:rPr>
              <w:t>3.</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Світські луки Фрумоаса</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Моара</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10</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10</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100%</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0,001%</w:t>
            </w:r>
          </w:p>
        </w:tc>
      </w:tr>
      <w:tr w:rsidR="00642FB4">
        <w:trPr>
          <w:trHeight w:hRule="exact" w:val="389"/>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90"/>
              <w:jc w:val="both"/>
              <w:rPr>
                <w:rFonts w:cs="Arial"/>
                <w:sz w:val="20"/>
                <w:szCs w:val="20"/>
              </w:rPr>
            </w:pPr>
            <w:r>
              <w:rPr>
                <w:sz w:val="20"/>
              </w:rPr>
              <w:t>4.</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rPr>
                <w:rFonts w:cs="Arial"/>
                <w:sz w:val="20"/>
                <w:szCs w:val="20"/>
              </w:rPr>
            </w:pPr>
            <w:r>
              <w:rPr>
                <w:sz w:val="20"/>
              </w:rPr>
              <w:t>Гаіна– Лучіна</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rPr>
                <w:rFonts w:cs="Arial"/>
                <w:sz w:val="20"/>
                <w:szCs w:val="20"/>
              </w:rPr>
            </w:pPr>
            <w:r>
              <w:rPr>
                <w:sz w:val="20"/>
              </w:rPr>
              <w:t>Молдавія Суліца, Бряза</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836</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836</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0,11%</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0,09%</w:t>
            </w:r>
          </w:p>
        </w:tc>
      </w:tr>
      <w:tr w:rsidR="00642FB4">
        <w:trPr>
          <w:trHeight w:hRule="exact" w:val="453"/>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90"/>
              <w:jc w:val="both"/>
              <w:rPr>
                <w:rFonts w:cs="Arial"/>
                <w:sz w:val="20"/>
                <w:szCs w:val="20"/>
              </w:rPr>
            </w:pPr>
            <w:r>
              <w:rPr>
                <w:sz w:val="20"/>
              </w:rPr>
              <w:t>5.</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rPr>
                <w:rFonts w:cs="Arial"/>
                <w:sz w:val="20"/>
                <w:szCs w:val="20"/>
              </w:rPr>
            </w:pPr>
            <w:r>
              <w:rPr>
                <w:sz w:val="20"/>
              </w:rPr>
              <w:t>Ліс Замостя – Лунка</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rPr>
                <w:rFonts w:cs="Arial"/>
                <w:sz w:val="20"/>
                <w:szCs w:val="20"/>
              </w:rPr>
            </w:pPr>
            <w:r>
              <w:rPr>
                <w:sz w:val="20"/>
              </w:rPr>
              <w:t>Замостя</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135</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135</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100%</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0,015%</w:t>
            </w:r>
          </w:p>
        </w:tc>
      </w:tr>
      <w:tr w:rsidR="00642FB4">
        <w:trPr>
          <w:trHeight w:hRule="exact" w:val="559"/>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90"/>
              <w:jc w:val="both"/>
              <w:rPr>
                <w:rFonts w:cs="Arial"/>
                <w:sz w:val="20"/>
                <w:szCs w:val="20"/>
              </w:rPr>
            </w:pPr>
            <w:r>
              <w:rPr>
                <w:sz w:val="20"/>
              </w:rPr>
              <w:t>6.</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rPr>
                <w:rFonts w:cs="Arial"/>
                <w:sz w:val="20"/>
                <w:szCs w:val="20"/>
              </w:rPr>
            </w:pPr>
            <w:r>
              <w:rPr>
                <w:sz w:val="20"/>
              </w:rPr>
              <w:t>Пєтросул Броштенілор– Кеїле Зугренілор</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rPr>
                <w:rFonts w:cs="Arial"/>
                <w:sz w:val="20"/>
                <w:szCs w:val="20"/>
              </w:rPr>
            </w:pPr>
            <w:r>
              <w:rPr>
                <w:sz w:val="20"/>
              </w:rPr>
              <w:t>Круча, Дорна Арінь</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469</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469</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90%</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0,05%</w:t>
            </w:r>
          </w:p>
        </w:tc>
      </w:tr>
      <w:tr w:rsidR="00642FB4">
        <w:trPr>
          <w:trHeight w:hRule="exact" w:val="510"/>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90"/>
              <w:jc w:val="both"/>
              <w:rPr>
                <w:rFonts w:cs="Arial"/>
                <w:sz w:val="20"/>
                <w:szCs w:val="20"/>
              </w:rPr>
            </w:pPr>
            <w:r>
              <w:rPr>
                <w:sz w:val="20"/>
              </w:rPr>
              <w:t>7.</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rPr>
                <w:rFonts w:cs="Arial"/>
                <w:sz w:val="20"/>
                <w:szCs w:val="20"/>
              </w:rPr>
            </w:pPr>
            <w:r>
              <w:rPr>
                <w:sz w:val="20"/>
              </w:rPr>
              <w:t>Рариу-Джумалиу</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rPr>
                <w:rFonts w:cs="Arial"/>
                <w:sz w:val="20"/>
                <w:szCs w:val="20"/>
              </w:rPr>
            </w:pPr>
            <w:r>
              <w:rPr>
                <w:sz w:val="20"/>
              </w:rPr>
              <w:t>Кемпулунг Молдовенеск, Круча, Дорна Аріні,Пожорита  Стулпікані</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2 547</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2 547</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100%</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0,29%</w:t>
            </w:r>
          </w:p>
        </w:tc>
      </w:tr>
      <w:tr w:rsidR="00642FB4">
        <w:trPr>
          <w:trHeight w:hRule="exact" w:val="510"/>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90"/>
              <w:jc w:val="both"/>
              <w:rPr>
                <w:rFonts w:cs="Arial"/>
                <w:sz w:val="20"/>
                <w:szCs w:val="20"/>
              </w:rPr>
            </w:pPr>
            <w:r>
              <w:rPr>
                <w:sz w:val="20"/>
              </w:rPr>
              <w:t>8.</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rPr>
                <w:rFonts w:cs="Arial"/>
                <w:sz w:val="20"/>
                <w:szCs w:val="20"/>
              </w:rPr>
            </w:pPr>
            <w:r>
              <w:rPr>
                <w:sz w:val="20"/>
              </w:rPr>
              <w:t>Тінову від Роминишть</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rPr>
                <w:rFonts w:cs="Arial"/>
                <w:sz w:val="20"/>
                <w:szCs w:val="20"/>
              </w:rPr>
            </w:pPr>
            <w:r>
              <w:rPr>
                <w:sz w:val="20"/>
              </w:rPr>
              <w:t>Кошка</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21</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21</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Не застосовується</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0,002%</w:t>
            </w:r>
          </w:p>
        </w:tc>
      </w:tr>
      <w:tr w:rsidR="00642FB4">
        <w:trPr>
          <w:trHeight w:hRule="exact" w:val="510"/>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90"/>
              <w:jc w:val="both"/>
              <w:rPr>
                <w:rFonts w:cs="Arial"/>
                <w:sz w:val="20"/>
                <w:szCs w:val="20"/>
              </w:rPr>
            </w:pPr>
            <w:r>
              <w:rPr>
                <w:sz w:val="20"/>
              </w:rPr>
              <w:t>9.</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rPr>
                <w:rFonts w:cs="Arial"/>
                <w:sz w:val="20"/>
                <w:szCs w:val="20"/>
              </w:rPr>
            </w:pPr>
            <w:r>
              <w:rPr>
                <w:sz w:val="20"/>
              </w:rPr>
              <w:t>Тінову-Маре Пояна Стампей</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rPr>
                <w:rFonts w:cs="Arial"/>
                <w:sz w:val="20"/>
                <w:szCs w:val="20"/>
              </w:rPr>
            </w:pPr>
            <w:r>
              <w:rPr>
                <w:sz w:val="20"/>
              </w:rPr>
              <w:t>Пояна Стампей</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695</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695</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100%</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0,08%</w:t>
            </w:r>
          </w:p>
        </w:tc>
      </w:tr>
      <w:tr w:rsidR="00642FB4">
        <w:trPr>
          <w:trHeight w:hRule="exact" w:val="304"/>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90"/>
              <w:jc w:val="both"/>
              <w:rPr>
                <w:rFonts w:cs="Arial"/>
                <w:sz w:val="20"/>
                <w:szCs w:val="20"/>
              </w:rPr>
            </w:pPr>
            <w:r>
              <w:rPr>
                <w:sz w:val="20"/>
              </w:rPr>
              <w:t>10.</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rPr>
                <w:rFonts w:cs="Arial"/>
                <w:sz w:val="20"/>
                <w:szCs w:val="20"/>
              </w:rPr>
            </w:pPr>
            <w:r>
              <w:rPr>
                <w:sz w:val="20"/>
              </w:rPr>
              <w:t>Тіновул Шару Дорней</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rPr>
                <w:rFonts w:cs="Arial"/>
                <w:sz w:val="20"/>
                <w:szCs w:val="20"/>
              </w:rPr>
            </w:pPr>
            <w:r>
              <w:rPr>
                <w:sz w:val="20"/>
              </w:rPr>
              <w:t>Шару Дорней</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41</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41</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100%</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0,004%</w:t>
            </w:r>
          </w:p>
        </w:tc>
      </w:tr>
      <w:tr w:rsidR="00642FB4">
        <w:trPr>
          <w:trHeight w:hRule="exact" w:val="510"/>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90"/>
              <w:jc w:val="both"/>
              <w:rPr>
                <w:rFonts w:cs="Arial"/>
                <w:sz w:val="20"/>
                <w:szCs w:val="20"/>
              </w:rPr>
            </w:pPr>
            <w:r>
              <w:rPr>
                <w:sz w:val="20"/>
              </w:rPr>
              <w:t>11.</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Килімань-Гургіу</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Дорна Кандренілор, Паначі, Пояна Стампей</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134 936</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10 794</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15%</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1,26%</w:t>
            </w:r>
          </w:p>
        </w:tc>
      </w:tr>
      <w:tr w:rsidR="00642FB4">
        <w:trPr>
          <w:trHeight w:hRule="exact" w:val="487"/>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90"/>
              <w:jc w:val="both"/>
              <w:rPr>
                <w:rFonts w:cs="Arial"/>
                <w:sz w:val="20"/>
                <w:szCs w:val="20"/>
              </w:rPr>
            </w:pPr>
            <w:r>
              <w:rPr>
                <w:sz w:val="20"/>
              </w:rPr>
              <w:t>12.</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Ліс Питриуц</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 xml:space="preserve">Адинката, Шербиуц, Питриуц, Калафіндешть, Дирминешть, Гримишть, Мітоку Драгомірней, Сучава, Замостя, Зворіштя </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8 746</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8 746</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1,96%</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1,02%</w:t>
            </w:r>
          </w:p>
        </w:tc>
      </w:tr>
      <w:tr w:rsidR="00642FB4">
        <w:trPr>
          <w:trHeight w:hRule="exact" w:val="437"/>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90"/>
              <w:jc w:val="both"/>
              <w:rPr>
                <w:rFonts w:cs="Arial"/>
                <w:sz w:val="20"/>
                <w:szCs w:val="20"/>
              </w:rPr>
            </w:pPr>
            <w:r>
              <w:rPr>
                <w:sz w:val="20"/>
              </w:rPr>
              <w:t>13.</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Озера Фелтичені</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Босанчі, Бунешть, Фелтичені, Хороднічень, Моара, Ридишень</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895</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895</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100%</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0,10%</w:t>
            </w:r>
          </w:p>
        </w:tc>
      </w:tr>
      <w:tr w:rsidR="00642FB4">
        <w:trPr>
          <w:trHeight w:hRule="exact" w:val="510"/>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90"/>
              <w:jc w:val="both"/>
              <w:rPr>
                <w:rFonts w:cs="Arial"/>
                <w:sz w:val="20"/>
                <w:szCs w:val="20"/>
              </w:rPr>
            </w:pPr>
            <w:r>
              <w:rPr>
                <w:sz w:val="20"/>
              </w:rPr>
              <w:t>14.</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Верхня Молдова</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Бряза, Кемпулунг-Молдовенеск, Фунду Молдовей, Пожорита, Садова</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429</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429</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Не застосовується</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0,005%</w:t>
            </w:r>
          </w:p>
        </w:tc>
      </w:tr>
      <w:tr w:rsidR="00642FB4">
        <w:trPr>
          <w:trHeight w:hRule="exact" w:val="478"/>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90"/>
              <w:jc w:val="both"/>
              <w:rPr>
                <w:rFonts w:cs="Arial"/>
                <w:sz w:val="20"/>
                <w:szCs w:val="20"/>
              </w:rPr>
            </w:pPr>
            <w:r>
              <w:rPr>
                <w:sz w:val="20"/>
              </w:rPr>
              <w:t>15.</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Обчіни Буковини (Буковинські гори)</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Бряза, Бродіна, Вама, Путна,  Садова,  Кимпулунг-Молдовенеск, Фрумосу, Молдавія Суліца, Молдовіца, Ватра Молдовіцей</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32246</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32246</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50%</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3,77%</w:t>
            </w:r>
          </w:p>
        </w:tc>
      </w:tr>
      <w:tr w:rsidR="00642FB4">
        <w:trPr>
          <w:trHeight w:hRule="exact" w:val="510"/>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90"/>
              <w:jc w:val="both"/>
              <w:rPr>
                <w:rFonts w:cs="Arial"/>
                <w:sz w:val="20"/>
                <w:szCs w:val="20"/>
              </w:rPr>
            </w:pPr>
            <w:r>
              <w:rPr>
                <w:sz w:val="20"/>
              </w:rPr>
              <w:t>16.</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Річка Молдова між Пилтінішоара і Рушь</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Бая, Беркішешть, Богденешть, Бороая, Капу Кимпулуй, Корну Лунчі, Форишть, Финтина-Маре, Гура Хуморулуй, Миліні, Пилтіноаса, Ришка, Ваду Молдовей, Валя Молдовей</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5303</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5196</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Не застосовується</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0,60%</w:t>
            </w:r>
          </w:p>
        </w:tc>
      </w:tr>
      <w:tr w:rsidR="00642FB4">
        <w:trPr>
          <w:trHeight w:hRule="exact" w:val="510"/>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90"/>
              <w:jc w:val="both"/>
              <w:rPr>
                <w:rFonts w:cs="Arial"/>
                <w:sz w:val="20"/>
                <w:szCs w:val="20"/>
              </w:rPr>
            </w:pPr>
            <w:r>
              <w:rPr>
                <w:sz w:val="20"/>
              </w:rPr>
              <w:t>17.</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 xml:space="preserve">Річка Сучава </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Білка, Дорнешть, Фритиуці-Ной, Фритиуці-Векь, Гилинешть, Хороднік-де-Жос, Хороднік-де-Сус, Мілішеуць, Мушеніца, Ридиуці, Сату-Маре, Вікову-де-Жос, Вікову-де-Сус, Войтінел</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881</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881</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Не застосовується</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0,10%</w:t>
            </w:r>
          </w:p>
        </w:tc>
      </w:tr>
      <w:tr w:rsidR="00642FB4">
        <w:trPr>
          <w:trHeight w:hRule="exact" w:val="510"/>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90"/>
              <w:jc w:val="both"/>
              <w:rPr>
                <w:rFonts w:cs="Arial"/>
                <w:sz w:val="20"/>
                <w:szCs w:val="20"/>
              </w:rPr>
            </w:pPr>
            <w:r>
              <w:rPr>
                <w:sz w:val="20"/>
              </w:rPr>
              <w:t>18.</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Річка Сучава Літень</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Босанч, Іпотешть, Салча, Сучава, Удешть, Верешть</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1 254</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1 254</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Не застосовується</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0,15%</w:t>
            </w:r>
          </w:p>
        </w:tc>
      </w:tr>
      <w:tr w:rsidR="00642FB4">
        <w:trPr>
          <w:trHeight w:hRule="exact" w:val="510"/>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90"/>
              <w:jc w:val="both"/>
              <w:rPr>
                <w:rFonts w:cs="Arial"/>
                <w:sz w:val="20"/>
                <w:szCs w:val="20"/>
              </w:rPr>
            </w:pPr>
            <w:r>
              <w:rPr>
                <w:sz w:val="20"/>
              </w:rPr>
              <w:t>19.</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ROSCI0391 Середній Сірет – Бучечя</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Думбревень, Гинцешть, Сімініча</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570</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445</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Не застосовується</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0,05%</w:t>
            </w:r>
          </w:p>
        </w:tc>
      </w:tr>
      <w:tr w:rsidR="00642FB4">
        <w:trPr>
          <w:trHeight w:hRule="exact" w:val="373"/>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90"/>
              <w:jc w:val="both"/>
              <w:rPr>
                <w:rFonts w:cs="Arial"/>
                <w:sz w:val="20"/>
                <w:szCs w:val="20"/>
              </w:rPr>
            </w:pPr>
            <w:r>
              <w:rPr>
                <w:sz w:val="20"/>
              </w:rPr>
              <w:t>20.</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Слатіна</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Слатіна, Валя-Молдовей</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137</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137</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Не застосовується</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0,02%</w:t>
            </w:r>
          </w:p>
        </w:tc>
      </w:tr>
      <w:tr w:rsidR="00642FB4">
        <w:trPr>
          <w:trHeight w:hRule="exact" w:val="420"/>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90"/>
              <w:jc w:val="both"/>
              <w:rPr>
                <w:rFonts w:cs="Arial"/>
                <w:sz w:val="20"/>
                <w:szCs w:val="20"/>
              </w:rPr>
            </w:pPr>
            <w:r>
              <w:rPr>
                <w:sz w:val="20"/>
              </w:rPr>
              <w:t>21.</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Дялу Маре - Гирлиу</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Сучава, Ботошань, Ясси</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25 112</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1 506</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Не застосовується</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0,17%</w:t>
            </w:r>
          </w:p>
        </w:tc>
      </w:tr>
      <w:tr w:rsidR="00642FB4">
        <w:trPr>
          <w:trHeight w:hRule="exact" w:val="284"/>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90"/>
              <w:jc w:val="both"/>
              <w:rPr>
                <w:rFonts w:cs="Arial"/>
                <w:sz w:val="20"/>
                <w:szCs w:val="20"/>
              </w:rPr>
            </w:pPr>
            <w:r>
              <w:rPr>
                <w:sz w:val="20"/>
              </w:rPr>
              <w:t>22.</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color w:val="000000"/>
                <w:sz w:val="20"/>
              </w:rPr>
              <w:t>Ларіон</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Сучава, Бістріца-Нисиуд</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3 023</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846</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Не застосовується</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0,35%</w:t>
            </w:r>
          </w:p>
        </w:tc>
      </w:tr>
      <w:tr w:rsidR="00642FB4">
        <w:trPr>
          <w:trHeight w:hRule="exact" w:val="510"/>
        </w:trPr>
        <w:tc>
          <w:tcPr>
            <w:tcW w:w="595" w:type="dxa"/>
            <w:tcBorders>
              <w:top w:val="single" w:sz="4" w:space="0" w:color="auto"/>
              <w:left w:val="single" w:sz="4" w:space="0" w:color="auto"/>
              <w:bottom w:val="single" w:sz="4" w:space="0" w:color="auto"/>
              <w:right w:val="single" w:sz="4" w:space="0" w:color="auto"/>
            </w:tcBorders>
            <w:vAlign w:val="center"/>
          </w:tcPr>
          <w:p w:rsidR="00642FB4" w:rsidRDefault="00642FB4">
            <w:pPr>
              <w:widowControl w:val="0"/>
              <w:ind w:left="90"/>
              <w:jc w:val="both"/>
              <w:rPr>
                <w:rFonts w:cs="Arial"/>
                <w:sz w:val="20"/>
                <w:szCs w:val="20"/>
              </w:rPr>
            </w:pPr>
            <w:r>
              <w:rPr>
                <w:sz w:val="20"/>
              </w:rPr>
              <w:t>23.</w:t>
            </w:r>
          </w:p>
        </w:tc>
        <w:tc>
          <w:tcPr>
            <w:tcW w:w="1985"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color w:val="000000"/>
                <w:sz w:val="20"/>
                <w:szCs w:val="20"/>
              </w:rPr>
            </w:pPr>
            <w:r>
              <w:rPr>
                <w:color w:val="000000"/>
                <w:sz w:val="20"/>
              </w:rPr>
              <w:t>Річка Молдова між Онічень і Мітешть</w:t>
            </w:r>
          </w:p>
        </w:tc>
        <w:tc>
          <w:tcPr>
            <w:tcW w:w="3260"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sz w:val="20"/>
                <w:szCs w:val="20"/>
              </w:rPr>
            </w:pPr>
            <w:r>
              <w:rPr>
                <w:sz w:val="20"/>
              </w:rPr>
              <w:t>Сучава, Ясси, Нямц</w:t>
            </w:r>
          </w:p>
        </w:tc>
        <w:tc>
          <w:tcPr>
            <w:tcW w:w="810" w:type="dxa"/>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3 215</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450</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Не застосовується</w:t>
            </w:r>
          </w:p>
        </w:tc>
        <w:tc>
          <w:tcPr>
            <w:tcW w:w="1298" w:type="dxa"/>
            <w:gridSpan w:val="3"/>
            <w:tcBorders>
              <w:top w:val="single" w:sz="4" w:space="0" w:color="auto"/>
              <w:left w:val="single" w:sz="4" w:space="0" w:color="auto"/>
              <w:bottom w:val="single" w:sz="4" w:space="0" w:color="auto"/>
              <w:right w:val="single" w:sz="4" w:space="0" w:color="auto"/>
            </w:tcBorders>
            <w:vAlign w:val="center"/>
          </w:tcPr>
          <w:p w:rsidR="00642FB4" w:rsidRDefault="00642FB4">
            <w:pPr>
              <w:jc w:val="right"/>
              <w:rPr>
                <w:rFonts w:cs="Arial"/>
                <w:sz w:val="20"/>
                <w:szCs w:val="20"/>
              </w:rPr>
            </w:pPr>
            <w:r>
              <w:rPr>
                <w:sz w:val="20"/>
              </w:rPr>
              <w:t>0,05%</w:t>
            </w:r>
          </w:p>
        </w:tc>
      </w:tr>
    </w:tbl>
    <w:p w:rsidR="00642FB4" w:rsidRDefault="00642FB4">
      <w:pPr>
        <w:widowControl w:val="0"/>
        <w:spacing w:line="720" w:lineRule="auto"/>
        <w:ind w:left="540"/>
        <w:jc w:val="both"/>
        <w:rPr>
          <w:rFonts w:cs="Arial"/>
          <w:sz w:val="6"/>
          <w:szCs w:val="6"/>
        </w:rPr>
      </w:pPr>
    </w:p>
    <w:p w:rsidR="00642FB4" w:rsidRDefault="00642FB4">
      <w:pPr>
        <w:widowControl w:val="0"/>
        <w:spacing w:line="720" w:lineRule="auto"/>
        <w:ind w:left="540"/>
        <w:jc w:val="both"/>
        <w:rPr>
          <w:rFonts w:cs="Arial"/>
          <w:sz w:val="10"/>
          <w:szCs w:val="10"/>
        </w:rPr>
      </w:pPr>
    </w:p>
    <w:p w:rsidR="00642FB4" w:rsidRDefault="001C33BE">
      <w:pPr>
        <w:widowControl w:val="0"/>
        <w:spacing w:line="720" w:lineRule="auto"/>
        <w:ind w:firstLine="142"/>
        <w:jc w:val="center"/>
        <w:rPr>
          <w:noProof/>
        </w:rPr>
      </w:pPr>
      <w:r>
        <w:rPr>
          <w:noProof/>
          <w:lang w:val="en-US" w:eastAsia="en-US"/>
        </w:rPr>
        <w:drawing>
          <wp:inline distT="0" distB="0" distL="0" distR="0" wp14:anchorId="5A81EF2A" wp14:editId="45C11492">
            <wp:extent cx="3983355" cy="2822575"/>
            <wp:effectExtent l="19050" t="0" r="0" b="0"/>
            <wp:docPr id="28" name="Picture 1" descr="Description: C:\Users\mariana.filip\AppData\Local\Microsoft\Windows\Temporary Internet Files\Content.Word\New 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mariana.filip\AppData\Local\Microsoft\Windows\Temporary Internet Files\Content.Word\New Picture (3).png"/>
                    <pic:cNvPicPr>
                      <a:picLocks noChangeAspect="1" noChangeArrowheads="1"/>
                    </pic:cNvPicPr>
                  </pic:nvPicPr>
                  <pic:blipFill>
                    <a:blip r:embed="rId55" cstate="print"/>
                    <a:srcRect/>
                    <a:stretch>
                      <a:fillRect/>
                    </a:stretch>
                  </pic:blipFill>
                  <pic:spPr bwMode="auto">
                    <a:xfrm>
                      <a:off x="0" y="0"/>
                      <a:ext cx="3983355" cy="2822575"/>
                    </a:xfrm>
                    <a:prstGeom prst="rect">
                      <a:avLst/>
                    </a:prstGeom>
                    <a:noFill/>
                    <a:ln w="9525">
                      <a:noFill/>
                      <a:miter lim="800000"/>
                      <a:headEnd/>
                      <a:tailEnd/>
                    </a:ln>
                  </pic:spPr>
                </pic:pic>
              </a:graphicData>
            </a:graphic>
          </wp:inline>
        </w:drawing>
      </w:r>
    </w:p>
    <w:p w:rsidR="00642FB4" w:rsidRDefault="00642FB4">
      <w:pPr>
        <w:widowControl w:val="0"/>
        <w:spacing w:line="720" w:lineRule="auto"/>
        <w:jc w:val="center"/>
        <w:rPr>
          <w:rFonts w:cs="Arial"/>
          <w:sz w:val="22"/>
          <w:szCs w:val="22"/>
        </w:rPr>
      </w:pPr>
      <w:r>
        <w:rPr>
          <w:b/>
          <w:i/>
          <w:sz w:val="22"/>
        </w:rPr>
        <w:t>Рисунок 5.4.2</w:t>
      </w:r>
      <w:r>
        <w:rPr>
          <w:b/>
          <w:sz w:val="22"/>
        </w:rPr>
        <w:t xml:space="preserve">   Світські луки Поноари</w:t>
      </w:r>
      <w:r>
        <w:t xml:space="preserve"> </w:t>
      </w:r>
      <w:r>
        <w:rPr>
          <w:sz w:val="22"/>
        </w:rPr>
        <w:t xml:space="preserve">– ділянка комунітарного значення </w:t>
      </w:r>
    </w:p>
    <w:p w:rsidR="00642FB4" w:rsidRDefault="00642FB4">
      <w:pPr>
        <w:autoSpaceDE w:val="0"/>
        <w:autoSpaceDN w:val="0"/>
        <w:adjustRightInd w:val="0"/>
        <w:spacing w:before="60" w:after="60" w:line="288" w:lineRule="auto"/>
        <w:ind w:left="720"/>
        <w:contextualSpacing/>
        <w:jc w:val="both"/>
        <w:rPr>
          <w:rFonts w:eastAsia="EUAlbertina-Regular-Identity-H" w:cs="Arial"/>
          <w:b/>
          <w:i/>
        </w:rPr>
      </w:pPr>
      <w:r>
        <w:rPr>
          <w:b/>
          <w:i/>
        </w:rPr>
        <w:t>Повіт Тулча</w:t>
      </w:r>
    </w:p>
    <w:p w:rsidR="00642FB4" w:rsidRDefault="00642FB4">
      <w:pPr>
        <w:autoSpaceDE w:val="0"/>
        <w:autoSpaceDN w:val="0"/>
        <w:adjustRightInd w:val="0"/>
        <w:spacing w:before="60" w:after="60" w:line="288" w:lineRule="auto"/>
        <w:ind w:left="720"/>
        <w:contextualSpacing/>
        <w:jc w:val="both"/>
        <w:rPr>
          <w:rFonts w:eastAsia="EUAlbertina-Regular-Identity-H" w:cs="Arial"/>
          <w:b/>
          <w:i/>
        </w:rPr>
      </w:pPr>
    </w:p>
    <w:p w:rsidR="00D9677C" w:rsidRPr="002C0454" w:rsidRDefault="00C60823">
      <w:pPr>
        <w:spacing w:before="60" w:after="60" w:line="288" w:lineRule="auto"/>
        <w:ind w:firstLine="709"/>
        <w:jc w:val="both"/>
        <w:rPr>
          <w:rFonts w:cs="Arial"/>
          <w:lang w:val="uk-UA"/>
        </w:rPr>
      </w:pPr>
      <w:r w:rsidRPr="002C0454">
        <w:rPr>
          <w:rFonts w:cs="Arial"/>
          <w:lang w:val="uk-UA"/>
        </w:rPr>
        <w:t>У повіті Тулча знаходяться</w:t>
      </w:r>
      <w:r w:rsidR="00642FB4" w:rsidRPr="002C0454">
        <w:rPr>
          <w:rFonts w:cs="Arial"/>
        </w:rPr>
        <w:t xml:space="preserve"> </w:t>
      </w:r>
      <w:r w:rsidR="00642FB4" w:rsidRPr="002C0454">
        <w:rPr>
          <w:rFonts w:cs="Arial"/>
          <w:b/>
        </w:rPr>
        <w:t>8</w:t>
      </w:r>
      <w:r w:rsidR="00642FB4" w:rsidRPr="002C0454">
        <w:rPr>
          <w:rFonts w:cs="Arial"/>
        </w:rPr>
        <w:t xml:space="preserve"> </w:t>
      </w:r>
      <w:r w:rsidRPr="002C0454">
        <w:rPr>
          <w:rFonts w:cs="Arial"/>
          <w:lang w:val="uk-UA"/>
        </w:rPr>
        <w:t>зон локального значення</w:t>
      </w:r>
      <w:r w:rsidR="00642FB4" w:rsidRPr="002C0454">
        <w:rPr>
          <w:rFonts w:cs="Arial"/>
        </w:rPr>
        <w:t xml:space="preserve"> SCI, </w:t>
      </w:r>
      <w:r w:rsidR="00642FB4" w:rsidRPr="002C0454">
        <w:rPr>
          <w:rFonts w:cs="Arial"/>
          <w:b/>
        </w:rPr>
        <w:t>9</w:t>
      </w:r>
      <w:r w:rsidR="00642FB4" w:rsidRPr="002C0454">
        <w:rPr>
          <w:rFonts w:cs="Arial"/>
        </w:rPr>
        <w:t xml:space="preserve"> </w:t>
      </w:r>
      <w:r w:rsidRPr="002C0454">
        <w:rPr>
          <w:rFonts w:cs="Arial"/>
          <w:lang w:val="uk-UA"/>
        </w:rPr>
        <w:t>зон фауністичної охорони</w:t>
      </w:r>
      <w:r w:rsidR="00642FB4" w:rsidRPr="002C0454">
        <w:rPr>
          <w:rFonts w:cs="Arial"/>
        </w:rPr>
        <w:t xml:space="preserve"> SPA, </w:t>
      </w:r>
      <w:r w:rsidRPr="002C0454">
        <w:rPr>
          <w:rFonts w:cs="Arial"/>
          <w:lang w:val="uk-UA"/>
        </w:rPr>
        <w:t>природні заповідники і природні парки</w:t>
      </w:r>
      <w:r w:rsidR="00642FB4" w:rsidRPr="002C0454">
        <w:rPr>
          <w:rFonts w:cs="Arial"/>
        </w:rPr>
        <w:t xml:space="preserve">. </w:t>
      </w:r>
      <w:r w:rsidRPr="002C0454">
        <w:rPr>
          <w:rFonts w:cs="Arial"/>
          <w:b/>
          <w:lang w:val="uk-UA"/>
        </w:rPr>
        <w:t>Рисунок</w:t>
      </w:r>
      <w:r w:rsidRPr="002C0454">
        <w:rPr>
          <w:rFonts w:cs="Arial"/>
          <w:b/>
        </w:rPr>
        <w:t xml:space="preserve"> </w:t>
      </w:r>
      <w:r w:rsidR="00642FB4" w:rsidRPr="002C0454">
        <w:rPr>
          <w:rFonts w:cs="Arial"/>
          <w:b/>
        </w:rPr>
        <w:t>5.5</w:t>
      </w:r>
      <w:r w:rsidR="00642FB4" w:rsidRPr="002C0454">
        <w:rPr>
          <w:rFonts w:cs="Arial"/>
        </w:rPr>
        <w:t xml:space="preserve"> </w:t>
      </w:r>
      <w:r w:rsidR="00D9677C" w:rsidRPr="002C0454">
        <w:rPr>
          <w:rFonts w:cs="Arial"/>
          <w:lang w:val="uk-UA"/>
        </w:rPr>
        <w:t xml:space="preserve">зображує розміщення </w:t>
      </w:r>
      <w:r w:rsidR="00642FB4" w:rsidRPr="002C0454">
        <w:rPr>
          <w:rFonts w:cs="Arial"/>
        </w:rPr>
        <w:t xml:space="preserve"> SCI, SPA, </w:t>
      </w:r>
      <w:r w:rsidR="00D9677C" w:rsidRPr="002C0454">
        <w:rPr>
          <w:rFonts w:cs="Arial"/>
          <w:lang w:val="uk-UA"/>
        </w:rPr>
        <w:t xml:space="preserve"> </w:t>
      </w:r>
      <w:r w:rsidR="00D9677C" w:rsidRPr="002C0454">
        <w:rPr>
          <w:rFonts w:cs="Arial"/>
        </w:rPr>
        <w:t xml:space="preserve"> </w:t>
      </w:r>
      <w:r w:rsidR="00D9677C" w:rsidRPr="002C0454">
        <w:rPr>
          <w:rFonts w:cs="Arial"/>
          <w:lang w:val="uk-UA"/>
        </w:rPr>
        <w:t>природних заповідників і природних парків на території повіту</w:t>
      </w:r>
    </w:p>
    <w:p w:rsidR="00642FB4" w:rsidRPr="002C0454" w:rsidRDefault="00D9677C">
      <w:pPr>
        <w:spacing w:before="60" w:after="60" w:line="288" w:lineRule="auto"/>
        <w:ind w:firstLine="709"/>
        <w:jc w:val="both"/>
        <w:rPr>
          <w:rFonts w:cs="Arial"/>
          <w:i/>
        </w:rPr>
      </w:pPr>
      <w:r w:rsidRPr="002C0454">
        <w:rPr>
          <w:rFonts w:cs="Arial"/>
          <w:lang w:val="uk-UA"/>
        </w:rPr>
        <w:t xml:space="preserve">У повіті Тулча також є </w:t>
      </w:r>
      <w:r w:rsidR="00642FB4" w:rsidRPr="002C0454">
        <w:rPr>
          <w:rFonts w:cs="Arial"/>
        </w:rPr>
        <w:t xml:space="preserve">34 </w:t>
      </w:r>
      <w:r w:rsidRPr="002C0454">
        <w:rPr>
          <w:rFonts w:cs="Arial"/>
          <w:lang w:val="uk-UA"/>
        </w:rPr>
        <w:t>території національного значення</w:t>
      </w:r>
      <w:r w:rsidR="00642FB4" w:rsidRPr="002C0454">
        <w:rPr>
          <w:rFonts w:cs="Arial"/>
        </w:rPr>
        <w:t xml:space="preserve">: </w:t>
      </w:r>
      <w:r w:rsidRPr="002C0454">
        <w:rPr>
          <w:rFonts w:cs="Arial"/>
          <w:lang w:val="uk-UA"/>
        </w:rPr>
        <w:t>Національний парк Мунці Мачінулуй</w:t>
      </w:r>
      <w:r w:rsidR="00642FB4" w:rsidRPr="002C0454">
        <w:rPr>
          <w:rFonts w:cs="Arial"/>
        </w:rPr>
        <w:t xml:space="preserve"> 33</w:t>
      </w:r>
      <w:r w:rsidRPr="002C0454">
        <w:rPr>
          <w:rFonts w:cs="Arial"/>
          <w:lang w:val="uk-UA"/>
        </w:rPr>
        <w:t xml:space="preserve"> і</w:t>
      </w:r>
      <w:r w:rsidR="00642FB4" w:rsidRPr="002C0454">
        <w:rPr>
          <w:rFonts w:cs="Arial"/>
        </w:rPr>
        <w:t xml:space="preserve"> </w:t>
      </w:r>
      <w:r w:rsidRPr="002C0454">
        <w:rPr>
          <w:rFonts w:cs="Arial"/>
          <w:lang w:val="uk-UA"/>
        </w:rPr>
        <w:t xml:space="preserve">природні заповідники </w:t>
      </w:r>
      <w:r w:rsidR="00642FB4" w:rsidRPr="002C0454">
        <w:rPr>
          <w:rFonts w:cs="Arial"/>
        </w:rPr>
        <w:t xml:space="preserve">. </w:t>
      </w:r>
    </w:p>
    <w:p w:rsidR="00642FB4" w:rsidRPr="002C0454" w:rsidRDefault="00D9677C">
      <w:pPr>
        <w:spacing w:before="60" w:after="60" w:line="288" w:lineRule="auto"/>
        <w:ind w:firstLine="709"/>
        <w:jc w:val="both"/>
        <w:rPr>
          <w:rFonts w:cs="Arial"/>
        </w:rPr>
      </w:pPr>
      <w:r w:rsidRPr="002C0454">
        <w:rPr>
          <w:rFonts w:cs="Arial"/>
          <w:lang w:val="uk-UA"/>
        </w:rPr>
        <w:t xml:space="preserve">Національні природні парки перелічені у таблиці. </w:t>
      </w:r>
      <w:r w:rsidR="00642FB4" w:rsidRPr="002C0454">
        <w:rPr>
          <w:rFonts w:cs="Arial"/>
        </w:rPr>
        <w:t xml:space="preserve"> .</w:t>
      </w:r>
    </w:p>
    <w:p w:rsidR="00642FB4" w:rsidRPr="002C0454" w:rsidRDefault="00D9677C">
      <w:pPr>
        <w:spacing w:before="60" w:after="60" w:line="288" w:lineRule="auto"/>
        <w:ind w:firstLine="709"/>
        <w:jc w:val="both"/>
        <w:rPr>
          <w:rFonts w:cs="Arial"/>
        </w:rPr>
      </w:pPr>
      <w:r w:rsidRPr="002C0454">
        <w:rPr>
          <w:rFonts w:cs="Arial"/>
          <w:lang w:val="uk-UA"/>
        </w:rPr>
        <w:t xml:space="preserve">Національні природні </w:t>
      </w:r>
      <w:r w:rsidRPr="002C0454">
        <w:t>парки</w:t>
      </w:r>
      <w:r w:rsidRPr="002C0454">
        <w:rPr>
          <w:lang w:val="uk-UA"/>
        </w:rPr>
        <w:t xml:space="preserve"> повіту Тульча </w:t>
      </w:r>
    </w:p>
    <w:tbl>
      <w:tblPr>
        <w:tblW w:w="0" w:type="auto"/>
        <w:jc w:val="center"/>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720"/>
        <w:gridCol w:w="3717"/>
        <w:gridCol w:w="2790"/>
        <w:gridCol w:w="1440"/>
      </w:tblGrid>
      <w:tr w:rsidR="00642FB4" w:rsidRPr="002C0454">
        <w:trPr>
          <w:trHeight w:val="236"/>
          <w:jc w:val="center"/>
        </w:trPr>
        <w:tc>
          <w:tcPr>
            <w:tcW w:w="720" w:type="dxa"/>
            <w:tcBorders>
              <w:top w:val="single" w:sz="4" w:space="0" w:color="auto"/>
              <w:left w:val="single" w:sz="6" w:space="0" w:color="000000"/>
              <w:bottom w:val="single" w:sz="4" w:space="0" w:color="auto"/>
              <w:right w:val="single" w:sz="6" w:space="0" w:color="000000"/>
            </w:tcBorders>
            <w:shd w:val="pct10" w:color="FFFFFF" w:fill="D9D9D9"/>
            <w:vAlign w:val="center"/>
          </w:tcPr>
          <w:p w:rsidR="00642FB4" w:rsidRPr="002C0454" w:rsidRDefault="00D9677C">
            <w:pPr>
              <w:jc w:val="both"/>
              <w:rPr>
                <w:rFonts w:eastAsia="SimSun" w:cs="Arial"/>
                <w:b/>
                <w:sz w:val="22"/>
                <w:szCs w:val="22"/>
                <w:lang w:val="uk-UA" w:eastAsia="en-US"/>
              </w:rPr>
            </w:pPr>
            <w:r w:rsidRPr="002C0454">
              <w:rPr>
                <w:rFonts w:eastAsia="SimSun" w:cs="Arial"/>
                <w:b/>
                <w:sz w:val="22"/>
                <w:szCs w:val="22"/>
                <w:lang w:val="uk-UA" w:eastAsia="en-US"/>
              </w:rPr>
              <w:t xml:space="preserve">№ </w:t>
            </w:r>
          </w:p>
        </w:tc>
        <w:tc>
          <w:tcPr>
            <w:tcW w:w="3717" w:type="dxa"/>
            <w:tcBorders>
              <w:top w:val="single" w:sz="4" w:space="0" w:color="auto"/>
              <w:left w:val="single" w:sz="6" w:space="0" w:color="000000"/>
              <w:bottom w:val="single" w:sz="4" w:space="0" w:color="auto"/>
              <w:right w:val="single" w:sz="6" w:space="0" w:color="000000"/>
            </w:tcBorders>
            <w:shd w:val="pct10" w:color="FFFFFF" w:fill="D9D9D9"/>
            <w:vAlign w:val="center"/>
          </w:tcPr>
          <w:p w:rsidR="00642FB4" w:rsidRPr="002C0454" w:rsidRDefault="00D9677C">
            <w:pPr>
              <w:jc w:val="both"/>
              <w:rPr>
                <w:rFonts w:eastAsia="SimSun" w:cs="Arial"/>
                <w:b/>
                <w:sz w:val="22"/>
                <w:szCs w:val="22"/>
                <w:lang w:val="uk-UA" w:eastAsia="en-US"/>
              </w:rPr>
            </w:pPr>
            <w:r w:rsidRPr="002C0454">
              <w:rPr>
                <w:rFonts w:eastAsia="SimSun" w:cs="Arial"/>
                <w:b/>
                <w:sz w:val="22"/>
                <w:szCs w:val="22"/>
                <w:lang w:val="uk-UA" w:eastAsia="en-US"/>
              </w:rPr>
              <w:t>Назва</w:t>
            </w:r>
          </w:p>
        </w:tc>
        <w:tc>
          <w:tcPr>
            <w:tcW w:w="2790" w:type="dxa"/>
            <w:tcBorders>
              <w:top w:val="single" w:sz="4" w:space="0" w:color="auto"/>
              <w:left w:val="single" w:sz="6" w:space="0" w:color="000000"/>
              <w:bottom w:val="single" w:sz="4" w:space="0" w:color="auto"/>
              <w:right w:val="single" w:sz="6" w:space="0" w:color="000000"/>
            </w:tcBorders>
            <w:shd w:val="pct10" w:color="FFFFFF" w:fill="D9D9D9"/>
            <w:vAlign w:val="center"/>
          </w:tcPr>
          <w:p w:rsidR="00642FB4" w:rsidRPr="002C0454" w:rsidRDefault="00D9677C">
            <w:pPr>
              <w:jc w:val="center"/>
              <w:rPr>
                <w:rFonts w:eastAsia="SimSun" w:cs="Arial"/>
                <w:sz w:val="22"/>
                <w:szCs w:val="22"/>
                <w:lang w:val="uk-UA" w:eastAsia="en-US"/>
              </w:rPr>
            </w:pPr>
            <w:r w:rsidRPr="002C0454">
              <w:rPr>
                <w:rFonts w:eastAsia="SimSun" w:cs="Arial"/>
                <w:sz w:val="22"/>
                <w:szCs w:val="22"/>
                <w:lang w:val="uk-UA" w:eastAsia="en-US"/>
              </w:rPr>
              <w:t>Категорія</w:t>
            </w:r>
          </w:p>
        </w:tc>
        <w:tc>
          <w:tcPr>
            <w:tcW w:w="1440" w:type="dxa"/>
            <w:tcBorders>
              <w:top w:val="single" w:sz="4" w:space="0" w:color="auto"/>
              <w:left w:val="single" w:sz="6" w:space="0" w:color="000000"/>
              <w:bottom w:val="single" w:sz="4" w:space="0" w:color="auto"/>
              <w:right w:val="single" w:sz="4" w:space="0" w:color="auto"/>
            </w:tcBorders>
            <w:shd w:val="pct10" w:color="FFFFFF" w:fill="D9D9D9"/>
            <w:vAlign w:val="center"/>
          </w:tcPr>
          <w:p w:rsidR="00642FB4" w:rsidRPr="002C0454" w:rsidRDefault="00D9677C" w:rsidP="00D9677C">
            <w:pPr>
              <w:rPr>
                <w:rFonts w:eastAsia="SimSun" w:cs="Arial"/>
                <w:sz w:val="22"/>
                <w:szCs w:val="22"/>
                <w:lang w:val="uk-UA" w:eastAsia="en-US"/>
              </w:rPr>
            </w:pPr>
            <w:r w:rsidRPr="002C0454">
              <w:rPr>
                <w:rFonts w:eastAsia="SimSun" w:cs="Arial"/>
                <w:sz w:val="22"/>
                <w:szCs w:val="22"/>
                <w:lang w:val="uk-UA" w:eastAsia="en-US"/>
              </w:rPr>
              <w:t>Площа, Га</w:t>
            </w:r>
          </w:p>
        </w:tc>
      </w:tr>
      <w:tr w:rsidR="00642FB4" w:rsidRPr="002C0454">
        <w:trPr>
          <w:trHeight w:val="117"/>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642FB4" w:rsidRPr="002C0454" w:rsidRDefault="00642FB4">
            <w:pPr>
              <w:jc w:val="both"/>
              <w:rPr>
                <w:rFonts w:eastAsia="SimSun" w:cs="Arial"/>
                <w:sz w:val="22"/>
                <w:szCs w:val="22"/>
                <w:lang w:eastAsia="en-US"/>
              </w:rPr>
            </w:pPr>
            <w:r w:rsidRPr="002C0454">
              <w:rPr>
                <w:rFonts w:eastAsia="SimSun" w:cs="Arial"/>
                <w:sz w:val="22"/>
                <w:szCs w:val="22"/>
                <w:lang w:eastAsia="en-US"/>
              </w:rPr>
              <w:t>1</w:t>
            </w:r>
          </w:p>
        </w:tc>
        <w:tc>
          <w:tcPr>
            <w:tcW w:w="3717" w:type="dxa"/>
            <w:tcBorders>
              <w:top w:val="single" w:sz="4" w:space="0" w:color="auto"/>
              <w:left w:val="single" w:sz="6" w:space="0" w:color="000000"/>
              <w:bottom w:val="single" w:sz="4" w:space="0" w:color="auto"/>
              <w:right w:val="single" w:sz="6" w:space="0" w:color="000000"/>
            </w:tcBorders>
            <w:shd w:val="pct10" w:color="FFFFFF" w:fill="auto"/>
            <w:vAlign w:val="center"/>
          </w:tcPr>
          <w:p w:rsidR="00642FB4" w:rsidRPr="002C0454" w:rsidRDefault="00D9677C">
            <w:pPr>
              <w:jc w:val="both"/>
              <w:rPr>
                <w:rFonts w:eastAsia="SimSun" w:cs="Arial"/>
                <w:sz w:val="22"/>
                <w:szCs w:val="22"/>
                <w:lang w:val="uk-UA" w:eastAsia="en-US"/>
              </w:rPr>
            </w:pPr>
            <w:r w:rsidRPr="002C0454">
              <w:rPr>
                <w:rFonts w:eastAsia="SimSun" w:cs="Arial"/>
                <w:sz w:val="22"/>
                <w:szCs w:val="22"/>
                <w:lang w:val="uk-UA" w:eastAsia="en-US"/>
              </w:rPr>
              <w:t xml:space="preserve">Національний парк Мунці Мачінулуй </w:t>
            </w:r>
          </w:p>
        </w:tc>
        <w:tc>
          <w:tcPr>
            <w:tcW w:w="2790" w:type="dxa"/>
            <w:tcBorders>
              <w:top w:val="single" w:sz="4" w:space="0" w:color="auto"/>
              <w:left w:val="single" w:sz="6" w:space="0" w:color="000000"/>
              <w:bottom w:val="single" w:sz="4" w:space="0" w:color="auto"/>
              <w:right w:val="single" w:sz="6" w:space="0" w:color="000000"/>
            </w:tcBorders>
            <w:shd w:val="pct10" w:color="FFFFFF" w:fill="auto"/>
            <w:vAlign w:val="center"/>
          </w:tcPr>
          <w:p w:rsidR="00642FB4" w:rsidRPr="002C0454" w:rsidRDefault="00642FB4" w:rsidP="00D9677C">
            <w:pPr>
              <w:jc w:val="center"/>
              <w:rPr>
                <w:rFonts w:eastAsia="SimSun" w:cs="Arial"/>
                <w:sz w:val="22"/>
                <w:szCs w:val="22"/>
                <w:lang w:val="uk-UA" w:eastAsia="en-US"/>
              </w:rPr>
            </w:pPr>
            <w:r w:rsidRPr="002C0454">
              <w:rPr>
                <w:rFonts w:eastAsia="SimSun" w:cs="Arial"/>
                <w:sz w:val="22"/>
                <w:szCs w:val="22"/>
                <w:lang w:eastAsia="en-US"/>
              </w:rPr>
              <w:t xml:space="preserve">II </w:t>
            </w:r>
            <w:r w:rsidR="00D9677C" w:rsidRPr="002C0454">
              <w:rPr>
                <w:rFonts w:eastAsia="SimSun" w:cs="Arial"/>
                <w:sz w:val="22"/>
                <w:szCs w:val="22"/>
                <w:lang w:val="uk-UA" w:eastAsia="en-US"/>
              </w:rPr>
              <w:t>Національний Парк</w:t>
            </w:r>
          </w:p>
        </w:tc>
        <w:tc>
          <w:tcPr>
            <w:tcW w:w="1440" w:type="dxa"/>
            <w:tcBorders>
              <w:top w:val="single" w:sz="4" w:space="0" w:color="auto"/>
              <w:left w:val="single" w:sz="6" w:space="0" w:color="000000"/>
              <w:bottom w:val="single" w:sz="4" w:space="0" w:color="auto"/>
              <w:right w:val="single" w:sz="4" w:space="0" w:color="auto"/>
            </w:tcBorders>
            <w:shd w:val="pct10" w:color="FFFFFF" w:fill="auto"/>
            <w:vAlign w:val="center"/>
          </w:tcPr>
          <w:p w:rsidR="00642FB4" w:rsidRPr="002C0454" w:rsidRDefault="00642FB4">
            <w:pPr>
              <w:jc w:val="right"/>
              <w:rPr>
                <w:rFonts w:eastAsia="SimSun" w:cs="Arial"/>
                <w:sz w:val="22"/>
                <w:szCs w:val="22"/>
                <w:lang w:eastAsia="en-US"/>
              </w:rPr>
            </w:pPr>
            <w:r w:rsidRPr="002C0454">
              <w:rPr>
                <w:rFonts w:eastAsia="SimSun" w:cs="Arial"/>
                <w:sz w:val="22"/>
                <w:szCs w:val="22"/>
                <w:lang w:eastAsia="en-US"/>
              </w:rPr>
              <w:t>11 321</w:t>
            </w:r>
          </w:p>
        </w:tc>
      </w:tr>
      <w:tr w:rsidR="00642FB4" w:rsidRPr="002C0454">
        <w:trPr>
          <w:trHeight w:val="117"/>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642FB4" w:rsidRPr="002C0454" w:rsidRDefault="00642FB4">
            <w:pPr>
              <w:jc w:val="both"/>
              <w:rPr>
                <w:rFonts w:eastAsia="SimSun" w:cs="Arial"/>
                <w:sz w:val="22"/>
                <w:szCs w:val="22"/>
                <w:lang w:eastAsia="en-US"/>
              </w:rPr>
            </w:pPr>
            <w:r w:rsidRPr="002C0454">
              <w:rPr>
                <w:rFonts w:eastAsia="SimSun" w:cs="Arial"/>
                <w:sz w:val="22"/>
                <w:szCs w:val="22"/>
                <w:lang w:eastAsia="en-US"/>
              </w:rPr>
              <w:t>2</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642FB4"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Падуреа Валеа Фагілор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642FB4" w:rsidRPr="002C0454" w:rsidRDefault="00642FB4" w:rsidP="00D9677C">
            <w:pPr>
              <w:jc w:val="center"/>
              <w:rPr>
                <w:rFonts w:eastAsia="SimSun" w:cs="Arial"/>
                <w:sz w:val="22"/>
                <w:szCs w:val="22"/>
                <w:lang w:val="uk-UA" w:eastAsia="en-US"/>
              </w:rPr>
            </w:pPr>
            <w:r w:rsidRPr="002C0454">
              <w:rPr>
                <w:rFonts w:eastAsia="SimSun" w:cs="Arial"/>
                <w:sz w:val="22"/>
                <w:szCs w:val="22"/>
                <w:lang w:eastAsia="en-US"/>
              </w:rPr>
              <w:t xml:space="preserve">IV </w:t>
            </w:r>
            <w:r w:rsidR="00D9677C" w:rsidRPr="002C0454">
              <w:rPr>
                <w:rFonts w:eastAsia="SimSun" w:cs="Arial"/>
                <w:sz w:val="22"/>
                <w:szCs w:val="22"/>
                <w:lang w:val="uk-UA" w:eastAsia="en-US"/>
              </w:rPr>
              <w:t xml:space="preserve">Лісовий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vAlign w:val="center"/>
          </w:tcPr>
          <w:p w:rsidR="00642FB4" w:rsidRPr="002C0454" w:rsidRDefault="00642FB4">
            <w:pPr>
              <w:jc w:val="right"/>
              <w:rPr>
                <w:rFonts w:eastAsia="SimSun" w:cs="Arial"/>
                <w:sz w:val="22"/>
                <w:szCs w:val="22"/>
                <w:lang w:eastAsia="en-US"/>
              </w:rPr>
            </w:pPr>
            <w:r w:rsidRPr="002C0454">
              <w:rPr>
                <w:rFonts w:eastAsia="SimSun" w:cs="Arial"/>
                <w:sz w:val="22"/>
                <w:szCs w:val="22"/>
                <w:lang w:eastAsia="en-US"/>
              </w:rPr>
              <w:t>154</w:t>
            </w:r>
          </w:p>
        </w:tc>
      </w:tr>
      <w:tr w:rsidR="00642FB4"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642FB4" w:rsidRPr="002C0454" w:rsidRDefault="00642FB4">
            <w:pPr>
              <w:jc w:val="both"/>
              <w:rPr>
                <w:rFonts w:eastAsia="SimSun" w:cs="Arial"/>
                <w:sz w:val="22"/>
                <w:szCs w:val="22"/>
                <w:lang w:eastAsia="en-US"/>
              </w:rPr>
            </w:pPr>
            <w:r w:rsidRPr="002C0454">
              <w:rPr>
                <w:rFonts w:eastAsia="SimSun" w:cs="Arial"/>
                <w:sz w:val="22"/>
                <w:szCs w:val="22"/>
                <w:lang w:eastAsia="en-US"/>
              </w:rPr>
              <w:t>3</w:t>
            </w:r>
          </w:p>
        </w:tc>
        <w:tc>
          <w:tcPr>
            <w:tcW w:w="3717" w:type="dxa"/>
            <w:tcBorders>
              <w:top w:val="single" w:sz="4" w:space="0" w:color="auto"/>
              <w:left w:val="single" w:sz="6" w:space="0" w:color="000000"/>
              <w:bottom w:val="single" w:sz="4" w:space="0" w:color="auto"/>
              <w:right w:val="single" w:sz="6" w:space="0" w:color="000000"/>
            </w:tcBorders>
            <w:shd w:val="pct10" w:color="FFFFFF" w:fill="auto"/>
            <w:vAlign w:val="center"/>
          </w:tcPr>
          <w:p w:rsidR="00642FB4" w:rsidRPr="002C0454" w:rsidRDefault="00D9677C" w:rsidP="00D9677C">
            <w:pPr>
              <w:jc w:val="both"/>
              <w:rPr>
                <w:rFonts w:eastAsia="SimSun" w:cs="Arial"/>
                <w:sz w:val="22"/>
                <w:szCs w:val="22"/>
                <w:lang w:eastAsia="en-US"/>
              </w:rPr>
            </w:pPr>
            <w:r w:rsidRPr="002C0454">
              <w:rPr>
                <w:rFonts w:eastAsia="SimSun" w:cs="Arial"/>
                <w:sz w:val="22"/>
                <w:szCs w:val="22"/>
                <w:lang w:val="uk-UA" w:eastAsia="en-US"/>
              </w:rPr>
              <w:t>Ботанічний заповідник Курум Тарла</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642FB4" w:rsidRPr="002C0454" w:rsidRDefault="00642FB4" w:rsidP="00D9677C">
            <w:pPr>
              <w:jc w:val="center"/>
              <w:rPr>
                <w:rFonts w:eastAsia="SimSun" w:cs="Arial"/>
                <w:sz w:val="22"/>
                <w:szCs w:val="22"/>
                <w:lang w:val="uk-UA" w:eastAsia="en-US"/>
              </w:rPr>
            </w:pPr>
            <w:r w:rsidRPr="002C0454">
              <w:rPr>
                <w:rFonts w:eastAsia="SimSun" w:cs="Arial"/>
                <w:sz w:val="22"/>
                <w:szCs w:val="22"/>
                <w:lang w:eastAsia="en-US"/>
              </w:rPr>
              <w:t xml:space="preserve">IV </w:t>
            </w:r>
            <w:r w:rsidR="00D9677C" w:rsidRPr="002C0454">
              <w:rPr>
                <w:rFonts w:eastAsia="SimSun" w:cs="Arial"/>
                <w:sz w:val="22"/>
                <w:szCs w:val="22"/>
                <w:lang w:val="uk-UA" w:eastAsia="en-US"/>
              </w:rPr>
              <w:t xml:space="preserve">Ботанічний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vAlign w:val="center"/>
          </w:tcPr>
          <w:p w:rsidR="00642FB4" w:rsidRPr="002C0454" w:rsidRDefault="00642FB4">
            <w:pPr>
              <w:jc w:val="right"/>
              <w:rPr>
                <w:rFonts w:eastAsia="SimSun" w:cs="Arial"/>
                <w:sz w:val="22"/>
                <w:szCs w:val="22"/>
                <w:lang w:eastAsia="en-US"/>
              </w:rPr>
            </w:pPr>
            <w:r w:rsidRPr="002C0454">
              <w:rPr>
                <w:rFonts w:eastAsia="SimSun" w:cs="Arial"/>
                <w:sz w:val="22"/>
                <w:szCs w:val="22"/>
                <w:lang w:eastAsia="en-US"/>
              </w:rPr>
              <w:t>2</w:t>
            </w:r>
          </w:p>
        </w:tc>
      </w:tr>
      <w:tr w:rsidR="00642FB4"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642FB4" w:rsidRPr="002C0454" w:rsidRDefault="00642FB4">
            <w:pPr>
              <w:jc w:val="both"/>
              <w:rPr>
                <w:rFonts w:eastAsia="SimSun" w:cs="Arial"/>
                <w:sz w:val="22"/>
                <w:szCs w:val="22"/>
                <w:lang w:eastAsia="en-US"/>
              </w:rPr>
            </w:pPr>
            <w:r w:rsidRPr="002C0454">
              <w:rPr>
                <w:rFonts w:eastAsia="SimSun" w:cs="Arial"/>
                <w:sz w:val="22"/>
                <w:szCs w:val="22"/>
                <w:lang w:eastAsia="en-US"/>
              </w:rPr>
              <w:t>4</w:t>
            </w:r>
          </w:p>
        </w:tc>
        <w:tc>
          <w:tcPr>
            <w:tcW w:w="3717" w:type="dxa"/>
            <w:tcBorders>
              <w:top w:val="single" w:sz="4" w:space="0" w:color="auto"/>
              <w:left w:val="single" w:sz="6" w:space="0" w:color="000000"/>
              <w:bottom w:val="single" w:sz="4" w:space="0" w:color="auto"/>
              <w:right w:val="single" w:sz="6" w:space="0" w:color="000000"/>
            </w:tcBorders>
            <w:shd w:val="pct10" w:color="FFFFFF" w:fill="auto"/>
            <w:vAlign w:val="center"/>
          </w:tcPr>
          <w:p w:rsidR="00642FB4" w:rsidRPr="002C0454" w:rsidRDefault="00D9677C">
            <w:pPr>
              <w:jc w:val="both"/>
              <w:rPr>
                <w:rFonts w:eastAsia="SimSun" w:cs="Arial"/>
                <w:sz w:val="22"/>
                <w:szCs w:val="22"/>
                <w:lang w:val="uk-UA" w:eastAsia="en-US"/>
              </w:rPr>
            </w:pPr>
            <w:r w:rsidRPr="002C0454">
              <w:rPr>
                <w:rFonts w:eastAsia="SimSun" w:cs="Arial"/>
                <w:sz w:val="22"/>
                <w:szCs w:val="22"/>
                <w:lang w:val="uk-UA" w:eastAsia="en-US"/>
              </w:rPr>
              <w:t xml:space="preserve">Локул фозіліфіл Дяалул Бужоарілор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642FB4" w:rsidRPr="002C0454" w:rsidRDefault="00642FB4" w:rsidP="00D9677C">
            <w:pPr>
              <w:jc w:val="center"/>
              <w:rPr>
                <w:rFonts w:eastAsia="SimSun" w:cs="Arial"/>
                <w:sz w:val="22"/>
                <w:szCs w:val="22"/>
                <w:lang w:val="uk-UA" w:eastAsia="en-US"/>
              </w:rPr>
            </w:pPr>
            <w:r w:rsidRPr="002C0454">
              <w:rPr>
                <w:rFonts w:eastAsia="SimSun" w:cs="Arial"/>
                <w:sz w:val="22"/>
                <w:szCs w:val="22"/>
                <w:lang w:eastAsia="en-US"/>
              </w:rPr>
              <w:t xml:space="preserve">IV </w:t>
            </w:r>
            <w:r w:rsidR="00D9677C" w:rsidRPr="002C0454">
              <w:rPr>
                <w:rFonts w:eastAsia="SimSun" w:cs="Arial"/>
                <w:sz w:val="22"/>
                <w:szCs w:val="22"/>
                <w:lang w:val="uk-UA" w:eastAsia="en-US"/>
              </w:rPr>
              <w:t xml:space="preserve">Геологічний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vAlign w:val="center"/>
          </w:tcPr>
          <w:p w:rsidR="00642FB4" w:rsidRPr="002C0454" w:rsidRDefault="00642FB4">
            <w:pPr>
              <w:jc w:val="right"/>
              <w:rPr>
                <w:rFonts w:eastAsia="SimSun" w:cs="Arial"/>
                <w:sz w:val="22"/>
                <w:szCs w:val="22"/>
                <w:lang w:eastAsia="en-US"/>
              </w:rPr>
            </w:pPr>
            <w:r w:rsidRPr="002C0454">
              <w:rPr>
                <w:rFonts w:eastAsia="SimSun" w:cs="Arial"/>
                <w:sz w:val="22"/>
                <w:szCs w:val="22"/>
                <w:lang w:eastAsia="en-US"/>
              </w:rPr>
              <w:t>8</w:t>
            </w:r>
          </w:p>
        </w:tc>
      </w:tr>
      <w:tr w:rsidR="00642FB4"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642FB4" w:rsidRPr="002C0454" w:rsidRDefault="00642FB4">
            <w:pPr>
              <w:jc w:val="both"/>
              <w:rPr>
                <w:rFonts w:eastAsia="SimSun" w:cs="Arial"/>
                <w:sz w:val="22"/>
                <w:szCs w:val="22"/>
                <w:lang w:eastAsia="en-US"/>
              </w:rPr>
            </w:pPr>
            <w:r w:rsidRPr="002C0454">
              <w:rPr>
                <w:rFonts w:eastAsia="SimSun" w:cs="Arial"/>
                <w:sz w:val="22"/>
                <w:szCs w:val="22"/>
                <w:lang w:eastAsia="en-US"/>
              </w:rPr>
              <w:t>5</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642FB4" w:rsidRPr="002C0454" w:rsidRDefault="00D9677C">
            <w:pPr>
              <w:rPr>
                <w:rFonts w:eastAsia="SimSun" w:cs="Arial"/>
                <w:sz w:val="22"/>
                <w:szCs w:val="22"/>
                <w:lang w:val="uk-UA" w:eastAsia="en-US"/>
              </w:rPr>
            </w:pPr>
            <w:r w:rsidRPr="002C0454">
              <w:rPr>
                <w:rFonts w:eastAsia="SimSun" w:cs="Arial"/>
                <w:sz w:val="22"/>
                <w:szCs w:val="22"/>
                <w:lang w:val="uk-UA" w:eastAsia="en-US"/>
              </w:rPr>
              <w:t>Геологічний заповідник Агагол</w:t>
            </w:r>
          </w:p>
        </w:tc>
        <w:tc>
          <w:tcPr>
            <w:tcW w:w="2790" w:type="dxa"/>
            <w:tcBorders>
              <w:top w:val="single" w:sz="4" w:space="0" w:color="auto"/>
              <w:left w:val="single" w:sz="6" w:space="0" w:color="000000"/>
              <w:bottom w:val="single" w:sz="4" w:space="0" w:color="auto"/>
              <w:right w:val="single" w:sz="6" w:space="0" w:color="000000"/>
            </w:tcBorders>
            <w:shd w:val="pct10" w:color="FFFFFF" w:fill="auto"/>
            <w:vAlign w:val="center"/>
          </w:tcPr>
          <w:p w:rsidR="00642FB4" w:rsidRPr="002C0454" w:rsidRDefault="00642FB4">
            <w:pPr>
              <w:jc w:val="center"/>
              <w:rPr>
                <w:rFonts w:eastAsia="SimSun" w:cs="Arial"/>
                <w:sz w:val="22"/>
                <w:szCs w:val="22"/>
                <w:lang w:eastAsia="en-US"/>
              </w:rPr>
            </w:pPr>
            <w:r w:rsidRPr="002C0454">
              <w:rPr>
                <w:rFonts w:eastAsia="SimSun" w:cs="Arial"/>
                <w:sz w:val="22"/>
                <w:szCs w:val="22"/>
                <w:lang w:eastAsia="en-US"/>
              </w:rPr>
              <w:t xml:space="preserve">IV </w:t>
            </w:r>
            <w:r w:rsidR="00D9677C" w:rsidRPr="002C0454">
              <w:rPr>
                <w:rFonts w:eastAsia="SimSun" w:cs="Arial"/>
                <w:sz w:val="22"/>
                <w:szCs w:val="22"/>
                <w:lang w:val="uk-UA" w:eastAsia="en-US"/>
              </w:rPr>
              <w:t>Геологічний заповідник</w:t>
            </w:r>
          </w:p>
        </w:tc>
        <w:tc>
          <w:tcPr>
            <w:tcW w:w="1440" w:type="dxa"/>
            <w:tcBorders>
              <w:top w:val="single" w:sz="4" w:space="0" w:color="auto"/>
              <w:left w:val="single" w:sz="6" w:space="0" w:color="000000"/>
              <w:bottom w:val="single" w:sz="4" w:space="0" w:color="auto"/>
              <w:right w:val="single" w:sz="4" w:space="0" w:color="auto"/>
            </w:tcBorders>
            <w:shd w:val="pct10" w:color="FFFFFF" w:fill="auto"/>
            <w:vAlign w:val="center"/>
          </w:tcPr>
          <w:p w:rsidR="00642FB4" w:rsidRPr="002C0454" w:rsidRDefault="00642FB4">
            <w:pPr>
              <w:jc w:val="right"/>
              <w:rPr>
                <w:rFonts w:eastAsia="SimSun" w:cs="Arial"/>
                <w:sz w:val="22"/>
                <w:szCs w:val="22"/>
                <w:lang w:eastAsia="en-US"/>
              </w:rPr>
            </w:pPr>
            <w:r w:rsidRPr="002C0454">
              <w:rPr>
                <w:rFonts w:eastAsia="SimSun" w:cs="Arial"/>
                <w:sz w:val="22"/>
                <w:szCs w:val="22"/>
                <w:lang w:eastAsia="en-US"/>
              </w:rPr>
              <w:t>9,7</w:t>
            </w:r>
          </w:p>
        </w:tc>
      </w:tr>
      <w:tr w:rsidR="00642FB4"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642FB4" w:rsidRPr="002C0454" w:rsidRDefault="00642FB4">
            <w:pPr>
              <w:jc w:val="both"/>
              <w:rPr>
                <w:rFonts w:eastAsia="SimSun" w:cs="Arial"/>
                <w:sz w:val="22"/>
                <w:szCs w:val="22"/>
                <w:lang w:eastAsia="en-US"/>
              </w:rPr>
            </w:pPr>
            <w:r w:rsidRPr="002C0454">
              <w:rPr>
                <w:rFonts w:eastAsia="SimSun" w:cs="Arial"/>
                <w:sz w:val="22"/>
                <w:szCs w:val="22"/>
                <w:lang w:eastAsia="en-US"/>
              </w:rPr>
              <w:t>6</w:t>
            </w:r>
          </w:p>
        </w:tc>
        <w:tc>
          <w:tcPr>
            <w:tcW w:w="3717" w:type="dxa"/>
            <w:tcBorders>
              <w:top w:val="single" w:sz="4" w:space="0" w:color="auto"/>
              <w:left w:val="single" w:sz="6" w:space="0" w:color="000000"/>
              <w:bottom w:val="single" w:sz="4" w:space="0" w:color="auto"/>
              <w:right w:val="single" w:sz="6" w:space="0" w:color="000000"/>
            </w:tcBorders>
            <w:shd w:val="pct10" w:color="FFFFFF" w:fill="auto"/>
            <w:vAlign w:val="center"/>
          </w:tcPr>
          <w:p w:rsidR="00642FB4" w:rsidRPr="002C0454" w:rsidRDefault="00D9677C">
            <w:pPr>
              <w:jc w:val="both"/>
              <w:rPr>
                <w:rFonts w:eastAsia="SimSun" w:cs="Arial"/>
                <w:sz w:val="22"/>
                <w:szCs w:val="22"/>
                <w:lang w:val="uk-UA" w:eastAsia="en-US"/>
              </w:rPr>
            </w:pPr>
            <w:r w:rsidRPr="002C0454">
              <w:rPr>
                <w:rFonts w:eastAsia="SimSun" w:cs="Arial"/>
                <w:sz w:val="22"/>
                <w:szCs w:val="22"/>
                <w:lang w:val="uk-UA" w:eastAsia="en-US"/>
              </w:rPr>
              <w:t>Вирфу Секару</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642FB4" w:rsidRPr="002C0454" w:rsidRDefault="00642FB4" w:rsidP="00D9677C">
            <w:pPr>
              <w:jc w:val="center"/>
              <w:rPr>
                <w:rFonts w:eastAsia="SimSun" w:cs="Arial"/>
                <w:sz w:val="22"/>
                <w:szCs w:val="22"/>
                <w:lang w:val="uk-UA" w:eastAsia="en-US"/>
              </w:rPr>
            </w:pPr>
            <w:r w:rsidRPr="002C0454">
              <w:rPr>
                <w:rFonts w:eastAsia="SimSun" w:cs="Arial"/>
                <w:sz w:val="22"/>
                <w:szCs w:val="22"/>
                <w:lang w:eastAsia="en-US"/>
              </w:rPr>
              <w:t xml:space="preserve">IV </w:t>
            </w:r>
            <w:r w:rsidR="00D9677C"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vAlign w:val="center"/>
          </w:tcPr>
          <w:p w:rsidR="00642FB4" w:rsidRPr="002C0454" w:rsidRDefault="00642FB4">
            <w:pPr>
              <w:jc w:val="right"/>
              <w:rPr>
                <w:rFonts w:eastAsia="SimSun" w:cs="Arial"/>
                <w:sz w:val="22"/>
                <w:szCs w:val="22"/>
                <w:lang w:eastAsia="en-US"/>
              </w:rPr>
            </w:pPr>
            <w:r w:rsidRPr="002C0454">
              <w:rPr>
                <w:rFonts w:eastAsia="SimSun" w:cs="Arial"/>
                <w:sz w:val="22"/>
                <w:szCs w:val="22"/>
                <w:lang w:eastAsia="en-US"/>
              </w:rPr>
              <w:t>34,5</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7</w:t>
            </w:r>
          </w:p>
        </w:tc>
        <w:tc>
          <w:tcPr>
            <w:tcW w:w="3717"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val="uk-UA" w:eastAsia="en-US"/>
              </w:rPr>
            </w:pPr>
            <w:r w:rsidRPr="002C0454">
              <w:rPr>
                <w:rFonts w:eastAsia="SimSun" w:cs="Arial"/>
                <w:sz w:val="22"/>
                <w:szCs w:val="22"/>
                <w:lang w:val="uk-UA" w:eastAsia="en-US"/>
              </w:rPr>
              <w:t xml:space="preserve">Бузковий заповідник Фентина Маре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vAlign w:val="center"/>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0,3</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8</w:t>
            </w:r>
          </w:p>
        </w:tc>
        <w:tc>
          <w:tcPr>
            <w:tcW w:w="3717"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Бузковий заповідник Валеа Оілор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vAlign w:val="center"/>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0,35</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9</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Природний заповідник ДЯлу БУжорілор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50,8</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10</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Падуреа Нікуліцей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vAlign w:val="center"/>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11</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11</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Падуреа Бабадак Кодру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vAlign w:val="center"/>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524,6</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12</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Лакул Траян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326</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13</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eastAsia="en-US"/>
              </w:rPr>
            </w:pPr>
            <w:r w:rsidRPr="002C0454">
              <w:rPr>
                <w:rFonts w:eastAsia="SimSun" w:cs="Arial"/>
                <w:sz w:val="22"/>
                <w:szCs w:val="22"/>
                <w:lang w:val="uk-UA" w:eastAsia="en-US"/>
              </w:rPr>
              <w:t xml:space="preserve">Мушкіле Черней Лайла </w:t>
            </w:r>
            <w:r w:rsidRPr="002C0454">
              <w:rPr>
                <w:rFonts w:eastAsia="SimSun" w:cs="Arial"/>
                <w:sz w:val="22"/>
                <w:szCs w:val="22"/>
                <w:lang w:eastAsia="en-US"/>
              </w:rPr>
              <w:t xml:space="preserve">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1891</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14</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Бейдауд</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1121</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15</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Валеу Могомянчеа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1029</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16</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Дялул Гюнгюрмез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1421</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17</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Кервант-Пріопчеа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568</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18</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Калугару Ланчеа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130</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19</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Мунтеле Консул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328</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20</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Дялул Саріка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100,1</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21</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ДЯлуреле Бешпете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415</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22</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Енісала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57</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23</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Карасан-Теке</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244</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24</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Валеа Островулуй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61,8</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25</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Успеніе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22</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26</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Едірлен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25,5</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27</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Касімчеа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137</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28</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Колцані Марі</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53</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29</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Печеняга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132</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30</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Мингуреле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292</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31</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Резбоєні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41</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32</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Дялул Денізтепе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305</w:t>
            </w:r>
          </w:p>
        </w:tc>
      </w:tr>
      <w:tr w:rsidR="00D9677C" w:rsidRPr="002C0454">
        <w:trPr>
          <w:trHeight w:val="126"/>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33</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ДЯлул Миндрешті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5</w:t>
            </w:r>
          </w:p>
        </w:tc>
      </w:tr>
      <w:tr w:rsidR="00D9677C" w:rsidRPr="002C0454" w:rsidTr="00D9677C">
        <w:trPr>
          <w:trHeight w:val="64"/>
          <w:jc w:val="center"/>
        </w:trPr>
        <w:tc>
          <w:tcPr>
            <w:tcW w:w="720" w:type="dxa"/>
            <w:tcBorders>
              <w:top w:val="single" w:sz="4" w:space="0" w:color="auto"/>
              <w:left w:val="single" w:sz="6" w:space="0" w:color="000000"/>
              <w:bottom w:val="single" w:sz="4" w:space="0" w:color="auto"/>
              <w:right w:val="single" w:sz="6" w:space="0" w:color="000000"/>
            </w:tcBorders>
            <w:shd w:val="pct10" w:color="FFFFFF" w:fill="auto"/>
            <w:vAlign w:val="center"/>
          </w:tcPr>
          <w:p w:rsidR="00D9677C" w:rsidRPr="002C0454" w:rsidRDefault="00D9677C">
            <w:pPr>
              <w:jc w:val="both"/>
              <w:rPr>
                <w:rFonts w:eastAsia="SimSun" w:cs="Arial"/>
                <w:sz w:val="22"/>
                <w:szCs w:val="22"/>
                <w:lang w:eastAsia="en-US"/>
              </w:rPr>
            </w:pPr>
            <w:r w:rsidRPr="002C0454">
              <w:rPr>
                <w:rFonts w:eastAsia="SimSun" w:cs="Arial"/>
                <w:sz w:val="22"/>
                <w:szCs w:val="22"/>
                <w:lang w:eastAsia="en-US"/>
              </w:rPr>
              <w:t>34</w:t>
            </w:r>
          </w:p>
        </w:tc>
        <w:tc>
          <w:tcPr>
            <w:tcW w:w="3717"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rPr>
                <w:rFonts w:eastAsia="SimSun" w:cs="Arial"/>
                <w:sz w:val="22"/>
                <w:szCs w:val="22"/>
                <w:lang w:val="uk-UA" w:eastAsia="en-US"/>
              </w:rPr>
            </w:pPr>
            <w:r w:rsidRPr="002C0454">
              <w:rPr>
                <w:rFonts w:eastAsia="SimSun" w:cs="Arial"/>
                <w:sz w:val="22"/>
                <w:szCs w:val="22"/>
                <w:lang w:val="uk-UA" w:eastAsia="en-US"/>
              </w:rPr>
              <w:t xml:space="preserve">Манастіреа Кокош </w:t>
            </w:r>
          </w:p>
        </w:tc>
        <w:tc>
          <w:tcPr>
            <w:tcW w:w="2790" w:type="dxa"/>
            <w:tcBorders>
              <w:top w:val="single" w:sz="4" w:space="0" w:color="auto"/>
              <w:left w:val="single" w:sz="6" w:space="0" w:color="000000"/>
              <w:bottom w:val="single" w:sz="4" w:space="0" w:color="auto"/>
              <w:right w:val="single" w:sz="6" w:space="0" w:color="000000"/>
            </w:tcBorders>
            <w:shd w:val="pct10" w:color="FFFFFF" w:fill="auto"/>
          </w:tcPr>
          <w:p w:rsidR="00D9677C" w:rsidRPr="002C0454" w:rsidRDefault="00D9677C">
            <w:pPr>
              <w:jc w:val="center"/>
              <w:rPr>
                <w:rFonts w:eastAsia="SimSun" w:cs="Arial"/>
                <w:sz w:val="22"/>
                <w:szCs w:val="22"/>
                <w:lang w:eastAsia="en-US"/>
              </w:rPr>
            </w:pPr>
            <w:r w:rsidRPr="002C0454">
              <w:rPr>
                <w:rFonts w:eastAsia="SimSun" w:cs="Arial"/>
                <w:sz w:val="22"/>
                <w:szCs w:val="22"/>
                <w:lang w:eastAsia="en-US"/>
              </w:rPr>
              <w:t xml:space="preserve">IV </w:t>
            </w:r>
            <w:r w:rsidRPr="002C0454">
              <w:rPr>
                <w:rFonts w:eastAsia="SimSun" w:cs="Arial"/>
                <w:sz w:val="22"/>
                <w:szCs w:val="22"/>
                <w:lang w:val="uk-UA" w:eastAsia="en-US"/>
              </w:rPr>
              <w:t xml:space="preserve">Природний заповідник </w:t>
            </w:r>
          </w:p>
        </w:tc>
        <w:tc>
          <w:tcPr>
            <w:tcW w:w="1440" w:type="dxa"/>
            <w:tcBorders>
              <w:top w:val="single" w:sz="4" w:space="0" w:color="auto"/>
              <w:left w:val="single" w:sz="6" w:space="0" w:color="000000"/>
              <w:bottom w:val="single" w:sz="4" w:space="0" w:color="auto"/>
              <w:right w:val="single" w:sz="4" w:space="0" w:color="auto"/>
            </w:tcBorders>
            <w:shd w:val="pct10" w:color="FFFFFF" w:fill="auto"/>
          </w:tcPr>
          <w:p w:rsidR="00D9677C" w:rsidRPr="002C0454" w:rsidRDefault="00D9677C">
            <w:pPr>
              <w:jc w:val="right"/>
              <w:rPr>
                <w:rFonts w:eastAsia="SimSun" w:cs="Arial"/>
                <w:sz w:val="22"/>
                <w:szCs w:val="22"/>
                <w:lang w:eastAsia="en-US"/>
              </w:rPr>
            </w:pPr>
            <w:r w:rsidRPr="002C0454">
              <w:rPr>
                <w:rFonts w:eastAsia="SimSun" w:cs="Arial"/>
                <w:sz w:val="22"/>
                <w:szCs w:val="22"/>
                <w:lang w:eastAsia="en-US"/>
              </w:rPr>
              <w:t>4,6</w:t>
            </w:r>
          </w:p>
        </w:tc>
      </w:tr>
    </w:tbl>
    <w:p w:rsidR="00642FB4" w:rsidRPr="002C0454" w:rsidRDefault="00D9677C">
      <w:pPr>
        <w:spacing w:before="60" w:after="60" w:line="288" w:lineRule="auto"/>
        <w:ind w:firstLine="709"/>
        <w:jc w:val="both"/>
        <w:rPr>
          <w:rFonts w:cs="Arial"/>
        </w:rPr>
      </w:pPr>
      <w:r w:rsidRPr="002C0454">
        <w:rPr>
          <w:rFonts w:cs="Arial"/>
          <w:lang w:val="uk-UA"/>
        </w:rPr>
        <w:t xml:space="preserve">Зони міжнародного захисту </w:t>
      </w:r>
    </w:p>
    <w:tbl>
      <w:tblPr>
        <w:tblW w:w="9954" w:type="dxa"/>
        <w:jc w:val="center"/>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680"/>
        <w:gridCol w:w="2006"/>
        <w:gridCol w:w="1762"/>
        <w:gridCol w:w="1489"/>
        <w:gridCol w:w="1972"/>
        <w:gridCol w:w="2045"/>
      </w:tblGrid>
      <w:tr w:rsidR="00642FB4" w:rsidRPr="002C0454">
        <w:trPr>
          <w:trHeight w:val="460"/>
          <w:jc w:val="center"/>
        </w:trPr>
        <w:tc>
          <w:tcPr>
            <w:tcW w:w="680" w:type="dxa"/>
            <w:tcBorders>
              <w:top w:val="single" w:sz="4" w:space="0" w:color="auto"/>
              <w:left w:val="single" w:sz="6" w:space="0" w:color="000000"/>
              <w:bottom w:val="single" w:sz="4" w:space="0" w:color="auto"/>
              <w:right w:val="single" w:sz="6" w:space="0" w:color="000000"/>
            </w:tcBorders>
            <w:shd w:val="pct10" w:color="FFFFFF" w:fill="E0E0E0"/>
            <w:vAlign w:val="center"/>
          </w:tcPr>
          <w:p w:rsidR="00642FB4" w:rsidRPr="002C0454" w:rsidRDefault="00D9677C">
            <w:pPr>
              <w:jc w:val="both"/>
              <w:rPr>
                <w:rFonts w:eastAsia="SimSun" w:cs="Arial"/>
                <w:b/>
                <w:sz w:val="22"/>
                <w:szCs w:val="22"/>
                <w:lang w:val="uk-UA" w:eastAsia="en-US"/>
              </w:rPr>
            </w:pPr>
            <w:r w:rsidRPr="002C0454">
              <w:rPr>
                <w:rFonts w:eastAsia="SimSun" w:cs="Arial"/>
                <w:b/>
                <w:sz w:val="22"/>
                <w:szCs w:val="22"/>
                <w:lang w:val="uk-UA" w:eastAsia="en-US"/>
              </w:rPr>
              <w:t>№</w:t>
            </w:r>
          </w:p>
        </w:tc>
        <w:tc>
          <w:tcPr>
            <w:tcW w:w="2006" w:type="dxa"/>
            <w:tcBorders>
              <w:top w:val="single" w:sz="4" w:space="0" w:color="auto"/>
              <w:left w:val="single" w:sz="6" w:space="0" w:color="000000"/>
              <w:bottom w:val="single" w:sz="4" w:space="0" w:color="auto"/>
              <w:right w:val="single" w:sz="6" w:space="0" w:color="000000"/>
            </w:tcBorders>
            <w:shd w:val="pct10" w:color="FFFFFF" w:fill="E0E0E0"/>
            <w:vAlign w:val="center"/>
          </w:tcPr>
          <w:p w:rsidR="00642FB4" w:rsidRPr="002C0454" w:rsidRDefault="00D9677C">
            <w:pPr>
              <w:jc w:val="both"/>
              <w:rPr>
                <w:rFonts w:eastAsia="SimSun" w:cs="Arial"/>
                <w:b/>
                <w:sz w:val="22"/>
                <w:szCs w:val="22"/>
                <w:lang w:val="uk-UA" w:eastAsia="en-US"/>
              </w:rPr>
            </w:pPr>
            <w:r w:rsidRPr="002C0454">
              <w:rPr>
                <w:rFonts w:eastAsia="SimSun" w:cs="Arial"/>
                <w:b/>
                <w:sz w:val="22"/>
                <w:szCs w:val="22"/>
                <w:lang w:val="uk-UA" w:eastAsia="en-US"/>
              </w:rPr>
              <w:t xml:space="preserve">Назва </w:t>
            </w:r>
          </w:p>
        </w:tc>
        <w:tc>
          <w:tcPr>
            <w:tcW w:w="1762" w:type="dxa"/>
            <w:tcBorders>
              <w:top w:val="single" w:sz="4" w:space="0" w:color="auto"/>
              <w:left w:val="single" w:sz="6" w:space="0" w:color="000000"/>
              <w:bottom w:val="single" w:sz="4" w:space="0" w:color="auto"/>
              <w:right w:val="single" w:sz="6" w:space="0" w:color="000000"/>
            </w:tcBorders>
            <w:shd w:val="pct10" w:color="FFFFFF" w:fill="E0E0E0"/>
            <w:vAlign w:val="center"/>
          </w:tcPr>
          <w:p w:rsidR="00642FB4" w:rsidRPr="002C0454" w:rsidRDefault="00D9677C">
            <w:pPr>
              <w:jc w:val="center"/>
              <w:rPr>
                <w:rFonts w:eastAsia="SimSun" w:cs="Arial"/>
                <w:b/>
                <w:sz w:val="22"/>
                <w:szCs w:val="22"/>
                <w:lang w:val="uk-UA" w:eastAsia="en-US"/>
              </w:rPr>
            </w:pPr>
            <w:r w:rsidRPr="002C0454">
              <w:rPr>
                <w:rFonts w:eastAsia="SimSun" w:cs="Arial"/>
                <w:b/>
                <w:sz w:val="22"/>
                <w:szCs w:val="22"/>
                <w:lang w:val="uk-UA" w:eastAsia="en-US"/>
              </w:rPr>
              <w:t xml:space="preserve">Декларативний акт </w:t>
            </w:r>
          </w:p>
        </w:tc>
        <w:tc>
          <w:tcPr>
            <w:tcW w:w="1489" w:type="dxa"/>
            <w:tcBorders>
              <w:top w:val="single" w:sz="4" w:space="0" w:color="auto"/>
              <w:left w:val="single" w:sz="6" w:space="0" w:color="000000"/>
              <w:bottom w:val="single" w:sz="4" w:space="0" w:color="auto"/>
              <w:right w:val="single" w:sz="6" w:space="0" w:color="000000"/>
            </w:tcBorders>
            <w:shd w:val="pct10" w:color="FFFFFF" w:fill="E0E0E0"/>
            <w:vAlign w:val="center"/>
          </w:tcPr>
          <w:p w:rsidR="00642FB4" w:rsidRPr="002C0454" w:rsidRDefault="00D9677C">
            <w:pPr>
              <w:jc w:val="center"/>
              <w:rPr>
                <w:rFonts w:eastAsia="SimSun" w:cs="Arial"/>
                <w:b/>
                <w:sz w:val="22"/>
                <w:szCs w:val="22"/>
                <w:lang w:val="uk-UA" w:eastAsia="en-US"/>
              </w:rPr>
            </w:pPr>
            <w:r w:rsidRPr="002C0454">
              <w:rPr>
                <w:rFonts w:eastAsia="SimSun" w:cs="Arial"/>
                <w:b/>
                <w:sz w:val="22"/>
                <w:szCs w:val="22"/>
                <w:lang w:val="uk-UA" w:eastAsia="en-US"/>
              </w:rPr>
              <w:t xml:space="preserve">Категорія </w:t>
            </w:r>
          </w:p>
        </w:tc>
        <w:tc>
          <w:tcPr>
            <w:tcW w:w="1972" w:type="dxa"/>
            <w:tcBorders>
              <w:top w:val="single" w:sz="4" w:space="0" w:color="auto"/>
              <w:left w:val="single" w:sz="6" w:space="0" w:color="000000"/>
              <w:bottom w:val="single" w:sz="4" w:space="0" w:color="auto"/>
              <w:right w:val="single" w:sz="4" w:space="0" w:color="auto"/>
            </w:tcBorders>
            <w:shd w:val="pct10" w:color="FFFFFF" w:fill="E0E0E0"/>
            <w:vAlign w:val="center"/>
          </w:tcPr>
          <w:p w:rsidR="00642FB4" w:rsidRPr="002C0454" w:rsidRDefault="00D9677C">
            <w:pPr>
              <w:jc w:val="center"/>
              <w:rPr>
                <w:rFonts w:eastAsia="SimSun" w:cs="Arial"/>
                <w:b/>
                <w:sz w:val="22"/>
                <w:szCs w:val="22"/>
                <w:lang w:val="uk-UA" w:eastAsia="en-US"/>
              </w:rPr>
            </w:pPr>
            <w:r w:rsidRPr="002C0454">
              <w:rPr>
                <w:rFonts w:eastAsia="SimSun" w:cs="Arial"/>
                <w:b/>
                <w:sz w:val="22"/>
                <w:szCs w:val="22"/>
                <w:lang w:val="uk-UA" w:eastAsia="en-US"/>
              </w:rPr>
              <w:t xml:space="preserve">Площа </w:t>
            </w:r>
          </w:p>
        </w:tc>
        <w:tc>
          <w:tcPr>
            <w:tcW w:w="2045" w:type="dxa"/>
            <w:tcBorders>
              <w:top w:val="single" w:sz="4" w:space="0" w:color="auto"/>
              <w:left w:val="single" w:sz="6" w:space="0" w:color="000000"/>
              <w:bottom w:val="single" w:sz="4" w:space="0" w:color="auto"/>
              <w:right w:val="single" w:sz="6" w:space="0" w:color="000000"/>
            </w:tcBorders>
            <w:shd w:val="pct10" w:color="FFFFFF" w:fill="E0E0E0"/>
            <w:vAlign w:val="center"/>
          </w:tcPr>
          <w:p w:rsidR="00642FB4" w:rsidRPr="002C0454" w:rsidRDefault="00D9677C">
            <w:pPr>
              <w:jc w:val="center"/>
              <w:rPr>
                <w:rFonts w:eastAsia="SimSun" w:cs="Arial"/>
                <w:b/>
                <w:sz w:val="22"/>
                <w:szCs w:val="22"/>
                <w:lang w:val="uk-UA" w:eastAsia="en-US"/>
              </w:rPr>
            </w:pPr>
            <w:r w:rsidRPr="002C0454">
              <w:rPr>
                <w:rFonts w:eastAsia="SimSun" w:cs="Arial"/>
                <w:b/>
                <w:sz w:val="22"/>
                <w:szCs w:val="22"/>
                <w:lang w:val="uk-UA" w:eastAsia="en-US"/>
              </w:rPr>
              <w:t xml:space="preserve">Площа в повіті Тулчеа </w:t>
            </w:r>
          </w:p>
        </w:tc>
      </w:tr>
      <w:tr w:rsidR="00642FB4" w:rsidRPr="002C0454">
        <w:trPr>
          <w:trHeight w:val="460"/>
          <w:jc w:val="center"/>
        </w:trPr>
        <w:tc>
          <w:tcPr>
            <w:tcW w:w="680" w:type="dxa"/>
            <w:tcBorders>
              <w:top w:val="single" w:sz="4" w:space="0" w:color="auto"/>
              <w:left w:val="single" w:sz="6" w:space="0" w:color="000000"/>
              <w:bottom w:val="single" w:sz="4" w:space="0" w:color="auto"/>
              <w:right w:val="single" w:sz="6" w:space="0" w:color="000000"/>
            </w:tcBorders>
            <w:shd w:val="pct10" w:color="FFFFFF" w:fill="auto"/>
            <w:vAlign w:val="center"/>
          </w:tcPr>
          <w:p w:rsidR="00642FB4" w:rsidRPr="002C0454" w:rsidRDefault="00642FB4">
            <w:pPr>
              <w:jc w:val="both"/>
              <w:rPr>
                <w:rFonts w:eastAsia="SimSun" w:cs="Arial"/>
                <w:sz w:val="22"/>
                <w:szCs w:val="22"/>
                <w:lang w:val="en-GB" w:eastAsia="en-US"/>
              </w:rPr>
            </w:pPr>
            <w:r w:rsidRPr="002C0454">
              <w:rPr>
                <w:rFonts w:eastAsia="SimSun" w:cs="Arial"/>
                <w:sz w:val="22"/>
                <w:szCs w:val="22"/>
                <w:lang w:val="en-GB" w:eastAsia="en-US"/>
              </w:rPr>
              <w:t>1</w:t>
            </w:r>
          </w:p>
        </w:tc>
        <w:tc>
          <w:tcPr>
            <w:tcW w:w="2006" w:type="dxa"/>
            <w:tcBorders>
              <w:top w:val="single" w:sz="4" w:space="0" w:color="auto"/>
              <w:left w:val="single" w:sz="6" w:space="0" w:color="000000"/>
              <w:bottom w:val="single" w:sz="4" w:space="0" w:color="auto"/>
              <w:right w:val="single" w:sz="6" w:space="0" w:color="000000"/>
            </w:tcBorders>
            <w:shd w:val="pct10" w:color="FFFFFF" w:fill="auto"/>
            <w:vAlign w:val="center"/>
          </w:tcPr>
          <w:p w:rsidR="00642FB4" w:rsidRPr="002C0454" w:rsidRDefault="00D9677C">
            <w:pPr>
              <w:jc w:val="both"/>
              <w:rPr>
                <w:rFonts w:eastAsia="SimSun" w:cs="Arial"/>
                <w:sz w:val="22"/>
                <w:szCs w:val="22"/>
                <w:lang w:val="uk-UA" w:eastAsia="en-US"/>
              </w:rPr>
            </w:pPr>
            <w:r w:rsidRPr="002C0454">
              <w:rPr>
                <w:rFonts w:eastAsia="SimSun" w:cs="Arial"/>
                <w:sz w:val="22"/>
                <w:szCs w:val="22"/>
                <w:lang w:val="uk-UA" w:eastAsia="en-US"/>
              </w:rPr>
              <w:t>Біосферний заповідник Дельта Дунаю</w:t>
            </w:r>
          </w:p>
        </w:tc>
        <w:tc>
          <w:tcPr>
            <w:tcW w:w="1762" w:type="dxa"/>
            <w:tcBorders>
              <w:top w:val="single" w:sz="4" w:space="0" w:color="auto"/>
              <w:left w:val="single" w:sz="6" w:space="0" w:color="000000"/>
              <w:bottom w:val="single" w:sz="4" w:space="0" w:color="auto"/>
              <w:right w:val="single" w:sz="6" w:space="0" w:color="000000"/>
            </w:tcBorders>
            <w:shd w:val="pct10" w:color="FFFFFF" w:fill="auto"/>
          </w:tcPr>
          <w:p w:rsidR="00642FB4" w:rsidRPr="002C0454" w:rsidRDefault="00D9677C">
            <w:pPr>
              <w:rPr>
                <w:rFonts w:eastAsia="SimSun" w:cs="Arial"/>
                <w:sz w:val="22"/>
                <w:szCs w:val="22"/>
                <w:lang w:val="en-GB" w:eastAsia="en-US"/>
              </w:rPr>
            </w:pPr>
            <w:r w:rsidRPr="002C0454">
              <w:rPr>
                <w:rFonts w:eastAsia="SimSun" w:cs="Arial"/>
                <w:sz w:val="22"/>
                <w:szCs w:val="22"/>
                <w:lang w:val="uk-UA" w:eastAsia="en-US"/>
              </w:rPr>
              <w:t>Закон</w:t>
            </w:r>
            <w:r w:rsidRPr="002C0454">
              <w:rPr>
                <w:rFonts w:eastAsia="SimSun" w:cs="Arial"/>
                <w:sz w:val="22"/>
                <w:szCs w:val="22"/>
                <w:lang w:val="en-GB" w:eastAsia="en-US"/>
              </w:rPr>
              <w:t xml:space="preserve"> </w:t>
            </w:r>
            <w:r w:rsidR="00642FB4" w:rsidRPr="002C0454">
              <w:rPr>
                <w:rFonts w:eastAsia="SimSun" w:cs="Arial"/>
                <w:sz w:val="22"/>
                <w:szCs w:val="22"/>
                <w:lang w:val="en-GB" w:eastAsia="en-US"/>
              </w:rPr>
              <w:t>82/1993</w:t>
            </w:r>
          </w:p>
        </w:tc>
        <w:tc>
          <w:tcPr>
            <w:tcW w:w="1489" w:type="dxa"/>
            <w:tcBorders>
              <w:top w:val="single" w:sz="4" w:space="0" w:color="auto"/>
              <w:left w:val="single" w:sz="6" w:space="0" w:color="000000"/>
              <w:bottom w:val="single" w:sz="4" w:space="0" w:color="auto"/>
              <w:right w:val="single" w:sz="6" w:space="0" w:color="000000"/>
            </w:tcBorders>
            <w:shd w:val="pct10" w:color="FFFFFF" w:fill="auto"/>
            <w:vAlign w:val="center"/>
          </w:tcPr>
          <w:p w:rsidR="00642FB4" w:rsidRPr="002C0454" w:rsidRDefault="00D9677C">
            <w:pPr>
              <w:jc w:val="center"/>
              <w:rPr>
                <w:rFonts w:eastAsia="SimSun" w:cs="Arial"/>
                <w:sz w:val="22"/>
                <w:szCs w:val="22"/>
                <w:lang w:val="uk-UA" w:eastAsia="en-US"/>
              </w:rPr>
            </w:pPr>
            <w:r w:rsidRPr="002C0454">
              <w:rPr>
                <w:rFonts w:eastAsia="SimSun" w:cs="Arial"/>
                <w:sz w:val="22"/>
                <w:szCs w:val="22"/>
                <w:lang w:val="uk-UA" w:eastAsia="en-US"/>
              </w:rPr>
              <w:t>Біосферний заповідник</w:t>
            </w:r>
          </w:p>
          <w:p w:rsidR="00642FB4" w:rsidRPr="002C0454" w:rsidRDefault="00642FB4">
            <w:pPr>
              <w:jc w:val="center"/>
              <w:rPr>
                <w:rFonts w:eastAsia="SimSun" w:cs="Arial"/>
                <w:sz w:val="22"/>
                <w:szCs w:val="22"/>
                <w:lang w:val="en-GB" w:eastAsia="en-US"/>
              </w:rPr>
            </w:pPr>
          </w:p>
        </w:tc>
        <w:tc>
          <w:tcPr>
            <w:tcW w:w="1972" w:type="dxa"/>
            <w:tcBorders>
              <w:top w:val="single" w:sz="4" w:space="0" w:color="auto"/>
              <w:left w:val="single" w:sz="6" w:space="0" w:color="000000"/>
              <w:bottom w:val="single" w:sz="4" w:space="0" w:color="auto"/>
              <w:right w:val="single" w:sz="4" w:space="0" w:color="auto"/>
            </w:tcBorders>
            <w:shd w:val="pct10" w:color="FFFFFF" w:fill="auto"/>
            <w:vAlign w:val="center"/>
          </w:tcPr>
          <w:p w:rsidR="00642FB4" w:rsidRPr="002C0454" w:rsidRDefault="00642FB4">
            <w:pPr>
              <w:jc w:val="center"/>
              <w:rPr>
                <w:rFonts w:eastAsia="SimSun" w:cs="Arial"/>
                <w:sz w:val="22"/>
                <w:szCs w:val="22"/>
                <w:lang w:val="en-GB" w:eastAsia="en-US"/>
              </w:rPr>
            </w:pPr>
            <w:r w:rsidRPr="002C0454">
              <w:rPr>
                <w:rFonts w:eastAsia="SimSun" w:cs="Arial"/>
                <w:sz w:val="22"/>
                <w:szCs w:val="22"/>
                <w:lang w:val="en-GB" w:eastAsia="en-US"/>
              </w:rPr>
              <w:t>580.000</w:t>
            </w:r>
          </w:p>
        </w:tc>
        <w:tc>
          <w:tcPr>
            <w:tcW w:w="2045" w:type="dxa"/>
            <w:tcBorders>
              <w:top w:val="single" w:sz="4" w:space="0" w:color="auto"/>
              <w:left w:val="single" w:sz="6" w:space="0" w:color="000000"/>
              <w:bottom w:val="single" w:sz="4" w:space="0" w:color="auto"/>
              <w:right w:val="single" w:sz="6" w:space="0" w:color="000000"/>
            </w:tcBorders>
            <w:shd w:val="pct10" w:color="FFFFFF" w:fill="auto"/>
            <w:vAlign w:val="center"/>
          </w:tcPr>
          <w:p w:rsidR="00642FB4" w:rsidRPr="002C0454" w:rsidRDefault="00642FB4">
            <w:pPr>
              <w:jc w:val="center"/>
              <w:rPr>
                <w:rFonts w:eastAsia="SimSun" w:cs="Arial"/>
                <w:sz w:val="22"/>
                <w:szCs w:val="22"/>
                <w:lang w:val="en-GB" w:eastAsia="en-US"/>
              </w:rPr>
            </w:pPr>
            <w:r w:rsidRPr="002C0454">
              <w:rPr>
                <w:rFonts w:eastAsia="SimSun" w:cs="Arial"/>
                <w:sz w:val="22"/>
                <w:szCs w:val="22"/>
                <w:lang w:val="it-IT" w:eastAsia="en-US"/>
              </w:rPr>
              <w:t>508.851 ha</w:t>
            </w:r>
          </w:p>
        </w:tc>
      </w:tr>
    </w:tbl>
    <w:p w:rsidR="00642FB4" w:rsidRPr="002C0454" w:rsidRDefault="00642FB4">
      <w:pPr>
        <w:spacing w:before="60" w:after="60" w:line="288" w:lineRule="auto"/>
        <w:ind w:firstLine="709"/>
        <w:jc w:val="both"/>
        <w:rPr>
          <w:rFonts w:cs="Arial"/>
        </w:rPr>
      </w:pPr>
    </w:p>
    <w:p w:rsidR="00D9677C" w:rsidRPr="00D9677C" w:rsidRDefault="00D9677C" w:rsidP="00D9677C">
      <w:pPr>
        <w:spacing w:before="60" w:after="60" w:line="288" w:lineRule="auto"/>
        <w:ind w:firstLine="709"/>
        <w:jc w:val="both"/>
        <w:rPr>
          <w:rFonts w:cs="Arial"/>
          <w:lang w:val="uk-UA"/>
        </w:rPr>
      </w:pPr>
      <w:r>
        <w:rPr>
          <w:rFonts w:cs="Arial"/>
          <w:lang w:val="uk-UA"/>
        </w:rPr>
        <w:t>Дельта Дунаю є однією</w:t>
      </w:r>
      <w:r w:rsidRPr="00D9677C">
        <w:rPr>
          <w:rFonts w:cs="Arial"/>
          <w:lang w:val="uk-UA"/>
        </w:rPr>
        <w:t xml:space="preserve"> з найбільших дельт на європейському континенті і найбільш добре збережених водно-болотних угідь в Європі. </w:t>
      </w:r>
      <w:r>
        <w:rPr>
          <w:rFonts w:cs="Arial"/>
          <w:lang w:val="uk-UA"/>
        </w:rPr>
        <w:t>Екосистема дельти</w:t>
      </w:r>
      <w:r w:rsidRPr="00D9677C">
        <w:rPr>
          <w:rFonts w:cs="Arial"/>
          <w:lang w:val="uk-UA"/>
        </w:rPr>
        <w:t xml:space="preserve">, </w:t>
      </w:r>
      <w:r>
        <w:rPr>
          <w:rFonts w:cs="Arial"/>
          <w:lang w:val="uk-UA"/>
        </w:rPr>
        <w:t>різноманітна і відрізняється від інших екосистем</w:t>
      </w:r>
      <w:r w:rsidRPr="00D9677C">
        <w:rPr>
          <w:rFonts w:cs="Arial"/>
          <w:lang w:val="uk-UA"/>
        </w:rPr>
        <w:t xml:space="preserve"> нашої країни. Дельта Дунаю є домом для різних видів рослин і тварин, деякі </w:t>
      </w:r>
      <w:r>
        <w:rPr>
          <w:rFonts w:cs="Arial"/>
          <w:lang w:val="uk-UA"/>
        </w:rPr>
        <w:t>чітко пристосовані до дельти</w:t>
      </w:r>
      <w:r w:rsidRPr="00D9677C">
        <w:rPr>
          <w:rFonts w:cs="Arial"/>
          <w:lang w:val="uk-UA"/>
        </w:rPr>
        <w:t xml:space="preserve"> Дунаю і</w:t>
      </w:r>
      <w:r>
        <w:rPr>
          <w:rFonts w:cs="Arial"/>
          <w:lang w:val="uk-UA"/>
        </w:rPr>
        <w:t xml:space="preserve"> рослинних угруповань, зокрема рідкісних</w:t>
      </w:r>
      <w:r w:rsidRPr="00D9677C">
        <w:rPr>
          <w:rFonts w:cs="Arial"/>
          <w:lang w:val="uk-UA"/>
        </w:rPr>
        <w:t>.</w:t>
      </w:r>
    </w:p>
    <w:p w:rsidR="00D9677C" w:rsidRPr="00D9677C" w:rsidRDefault="00D9677C" w:rsidP="00D9677C">
      <w:pPr>
        <w:spacing w:before="60" w:after="60" w:line="288" w:lineRule="auto"/>
        <w:ind w:firstLine="709"/>
        <w:jc w:val="both"/>
        <w:rPr>
          <w:rFonts w:cs="Arial"/>
          <w:lang w:val="uk-UA"/>
        </w:rPr>
      </w:pPr>
      <w:r w:rsidRPr="00D9677C">
        <w:rPr>
          <w:rFonts w:cs="Arial"/>
          <w:lang w:val="uk-UA"/>
        </w:rPr>
        <w:t xml:space="preserve">З більш ніж 300 видів птахів, які знаходяться в </w:t>
      </w:r>
      <w:r w:rsidR="00D63FE9">
        <w:rPr>
          <w:rFonts w:cs="Arial"/>
          <w:lang w:val="uk-UA"/>
        </w:rPr>
        <w:t>заповіднику</w:t>
      </w:r>
      <w:r w:rsidRPr="00D9677C">
        <w:rPr>
          <w:rFonts w:cs="Arial"/>
          <w:lang w:val="uk-UA"/>
        </w:rPr>
        <w:t xml:space="preserve"> круглий рік або тільки в певні періоди, більше половини суворо охоронюваних видів або охоронюваних міжнародними конвенціями.</w:t>
      </w:r>
    </w:p>
    <w:p w:rsidR="00D9677C" w:rsidRPr="00D9677C" w:rsidRDefault="00D9677C" w:rsidP="00D9677C">
      <w:pPr>
        <w:spacing w:before="60" w:after="60" w:line="288" w:lineRule="auto"/>
        <w:ind w:firstLine="709"/>
        <w:jc w:val="both"/>
        <w:rPr>
          <w:rFonts w:cs="Arial"/>
          <w:lang w:val="uk-UA"/>
        </w:rPr>
      </w:pPr>
      <w:r w:rsidRPr="00D9677C">
        <w:rPr>
          <w:rFonts w:cs="Arial"/>
          <w:lang w:val="uk-UA"/>
        </w:rPr>
        <w:t xml:space="preserve">Це всього лише кілька особливостей, </w:t>
      </w:r>
      <w:r w:rsidR="00D63FE9">
        <w:rPr>
          <w:rFonts w:cs="Arial"/>
          <w:lang w:val="uk-UA"/>
        </w:rPr>
        <w:t xml:space="preserve">за </w:t>
      </w:r>
      <w:r w:rsidRPr="00D9677C">
        <w:rPr>
          <w:rFonts w:cs="Arial"/>
          <w:lang w:val="uk-UA"/>
        </w:rPr>
        <w:t xml:space="preserve">які Дельта </w:t>
      </w:r>
      <w:r w:rsidR="00D63FE9">
        <w:rPr>
          <w:rFonts w:cs="Arial"/>
          <w:lang w:val="uk-UA"/>
        </w:rPr>
        <w:t>була оголошена</w:t>
      </w:r>
      <w:r w:rsidRPr="00D9677C">
        <w:rPr>
          <w:rFonts w:cs="Arial"/>
          <w:lang w:val="uk-UA"/>
        </w:rPr>
        <w:t xml:space="preserve"> біосферним заповідником в 1990 році і входить до міжнародної мережі біосферних </w:t>
      </w:r>
      <w:r w:rsidR="00D63FE9">
        <w:rPr>
          <w:rFonts w:cs="Arial"/>
          <w:lang w:val="uk-UA"/>
        </w:rPr>
        <w:t>заповідників</w:t>
      </w:r>
      <w:r w:rsidRPr="00D9677C">
        <w:rPr>
          <w:rFonts w:cs="Arial"/>
          <w:lang w:val="uk-UA"/>
        </w:rPr>
        <w:t xml:space="preserve"> у рамках програми «Людина і біосфера», розпочатої ЮНЕСКО в 1970 році.</w:t>
      </w:r>
    </w:p>
    <w:p w:rsidR="00D9677C" w:rsidRPr="00D9677C" w:rsidRDefault="00D9677C" w:rsidP="00D9677C">
      <w:pPr>
        <w:spacing w:before="60" w:after="60" w:line="288" w:lineRule="auto"/>
        <w:ind w:firstLine="709"/>
        <w:jc w:val="both"/>
        <w:rPr>
          <w:rFonts w:cs="Arial"/>
          <w:lang w:val="uk-UA"/>
        </w:rPr>
      </w:pPr>
      <w:r w:rsidRPr="00D9677C">
        <w:rPr>
          <w:rFonts w:cs="Arial"/>
          <w:lang w:val="uk-UA"/>
        </w:rPr>
        <w:t>Дельта Дунаю має загальну площу близько 580 000 га. Територія заповідника включає в себе кілька фізичних і географічних одиниць видатних морфологічно і генетично:</w:t>
      </w:r>
    </w:p>
    <w:p w:rsidR="00D9677C" w:rsidRPr="00D9677C" w:rsidRDefault="00D9677C" w:rsidP="00D9677C">
      <w:pPr>
        <w:spacing w:before="60" w:after="60" w:line="288" w:lineRule="auto"/>
        <w:ind w:firstLine="709"/>
        <w:jc w:val="both"/>
        <w:rPr>
          <w:rFonts w:cs="Arial"/>
          <w:lang w:val="uk-UA"/>
        </w:rPr>
      </w:pPr>
      <w:r w:rsidRPr="00D9677C">
        <w:rPr>
          <w:rFonts w:cs="Arial"/>
          <w:lang w:val="uk-UA"/>
        </w:rPr>
        <w:t>- Дельта Дунаю;</w:t>
      </w:r>
    </w:p>
    <w:p w:rsidR="00D9677C" w:rsidRPr="00D9677C" w:rsidRDefault="00D9677C" w:rsidP="00D9677C">
      <w:pPr>
        <w:spacing w:before="60" w:after="60" w:line="288" w:lineRule="auto"/>
        <w:ind w:firstLine="709"/>
        <w:jc w:val="both"/>
        <w:rPr>
          <w:rFonts w:cs="Arial"/>
          <w:lang w:val="uk-UA"/>
        </w:rPr>
      </w:pPr>
      <w:r w:rsidRPr="00D9677C">
        <w:rPr>
          <w:rFonts w:cs="Arial"/>
          <w:lang w:val="uk-UA"/>
        </w:rPr>
        <w:t xml:space="preserve">- </w:t>
      </w:r>
      <w:r w:rsidR="00D63FE9">
        <w:rPr>
          <w:rFonts w:cs="Arial"/>
          <w:lang w:val="uk-UA"/>
        </w:rPr>
        <w:t xml:space="preserve">комплекс </w:t>
      </w:r>
      <w:r w:rsidRPr="00D9677C">
        <w:rPr>
          <w:rFonts w:cs="Arial"/>
          <w:lang w:val="uk-UA"/>
        </w:rPr>
        <w:t>Разелм-Сіно;</w:t>
      </w:r>
    </w:p>
    <w:p w:rsidR="00D9677C" w:rsidRPr="00D9677C" w:rsidRDefault="00D9677C" w:rsidP="00D9677C">
      <w:pPr>
        <w:spacing w:before="60" w:after="60" w:line="288" w:lineRule="auto"/>
        <w:ind w:firstLine="709"/>
        <w:jc w:val="both"/>
        <w:rPr>
          <w:rFonts w:cs="Arial"/>
          <w:lang w:val="uk-UA"/>
        </w:rPr>
      </w:pPr>
      <w:r w:rsidRPr="00D9677C">
        <w:rPr>
          <w:rFonts w:cs="Arial"/>
          <w:lang w:val="uk-UA"/>
        </w:rPr>
        <w:t xml:space="preserve">- Чорне море, до 20-метрової </w:t>
      </w:r>
      <w:r w:rsidR="00D63FE9">
        <w:rPr>
          <w:rFonts w:cs="Arial"/>
          <w:lang w:val="uk-UA"/>
        </w:rPr>
        <w:t>глубини</w:t>
      </w:r>
      <w:r w:rsidRPr="00D9677C">
        <w:rPr>
          <w:rFonts w:cs="Arial"/>
          <w:lang w:val="uk-UA"/>
        </w:rPr>
        <w:t>;</w:t>
      </w:r>
    </w:p>
    <w:p w:rsidR="00D9677C" w:rsidRPr="00D9677C" w:rsidRDefault="00D9677C" w:rsidP="00D9677C">
      <w:pPr>
        <w:spacing w:before="60" w:after="60" w:line="288" w:lineRule="auto"/>
        <w:ind w:firstLine="709"/>
        <w:jc w:val="both"/>
        <w:rPr>
          <w:rFonts w:cs="Arial"/>
          <w:lang w:val="uk-UA"/>
        </w:rPr>
      </w:pPr>
      <w:r w:rsidRPr="00D9677C">
        <w:rPr>
          <w:rFonts w:cs="Arial"/>
          <w:lang w:val="uk-UA"/>
        </w:rPr>
        <w:t xml:space="preserve">- Дунай </w:t>
      </w:r>
      <w:r w:rsidR="00D63FE9">
        <w:rPr>
          <w:rFonts w:cs="Arial"/>
          <w:lang w:val="uk-UA"/>
        </w:rPr>
        <w:t xml:space="preserve">у </w:t>
      </w:r>
      <w:r w:rsidRPr="00D9677C">
        <w:rPr>
          <w:rFonts w:cs="Arial"/>
          <w:lang w:val="uk-UA"/>
        </w:rPr>
        <w:t xml:space="preserve">гирлі </w:t>
      </w:r>
      <w:r w:rsidR="00D63FE9">
        <w:rPr>
          <w:rFonts w:cs="Arial"/>
          <w:lang w:val="uk-UA"/>
        </w:rPr>
        <w:t>і в</w:t>
      </w:r>
      <w:r w:rsidRPr="00D9677C">
        <w:rPr>
          <w:rFonts w:cs="Arial"/>
          <w:lang w:val="uk-UA"/>
        </w:rPr>
        <w:t xml:space="preserve"> заплаві </w:t>
      </w:r>
      <w:r w:rsidR="00D63FE9">
        <w:rPr>
          <w:rFonts w:cs="Arial"/>
          <w:lang w:val="uk-UA"/>
        </w:rPr>
        <w:t>Ісачеа</w:t>
      </w:r>
      <w:r w:rsidRPr="00D9677C">
        <w:rPr>
          <w:rFonts w:cs="Arial"/>
          <w:lang w:val="uk-UA"/>
        </w:rPr>
        <w:t>- Тулча;</w:t>
      </w:r>
    </w:p>
    <w:p w:rsidR="00D9677C" w:rsidRDefault="00D9677C" w:rsidP="00D9677C">
      <w:pPr>
        <w:spacing w:before="60" w:after="60" w:line="288" w:lineRule="auto"/>
        <w:ind w:firstLine="709"/>
        <w:jc w:val="both"/>
        <w:rPr>
          <w:rFonts w:cs="Arial"/>
          <w:highlight w:val="yellow"/>
          <w:lang w:val="uk-UA"/>
        </w:rPr>
      </w:pPr>
      <w:r w:rsidRPr="00D9677C">
        <w:rPr>
          <w:rFonts w:cs="Arial"/>
          <w:lang w:val="uk-UA"/>
        </w:rPr>
        <w:t xml:space="preserve">- </w:t>
      </w:r>
      <w:r w:rsidR="00D63FE9">
        <w:rPr>
          <w:rFonts w:cs="Arial"/>
          <w:lang w:val="uk-UA"/>
        </w:rPr>
        <w:t>Села</w:t>
      </w:r>
      <w:r w:rsidRPr="00D9677C">
        <w:rPr>
          <w:rFonts w:cs="Arial"/>
          <w:lang w:val="uk-UA"/>
        </w:rPr>
        <w:t xml:space="preserve"> Мурігіол-</w:t>
      </w:r>
      <w:r w:rsidR="00D63FE9">
        <w:rPr>
          <w:rFonts w:cs="Arial"/>
          <w:lang w:val="uk-UA"/>
        </w:rPr>
        <w:t>Плопу</w:t>
      </w:r>
      <w:r w:rsidRPr="00D9677C">
        <w:rPr>
          <w:rFonts w:cs="Arial"/>
          <w:lang w:val="uk-UA"/>
        </w:rPr>
        <w:t>.</w:t>
      </w:r>
    </w:p>
    <w:p w:rsidR="00642FB4" w:rsidRDefault="00642FB4">
      <w:pPr>
        <w:spacing w:before="60" w:after="60" w:line="288" w:lineRule="auto"/>
        <w:jc w:val="both"/>
        <w:rPr>
          <w:snapToGrid w:val="0"/>
          <w:position w:val="-6"/>
        </w:rPr>
      </w:pPr>
    </w:p>
    <w:p w:rsidR="00642FB4" w:rsidRDefault="00642FB4">
      <w:pPr>
        <w:spacing w:before="60" w:after="60" w:line="288" w:lineRule="auto"/>
        <w:jc w:val="both"/>
        <w:rPr>
          <w:snapToGrid w:val="0"/>
          <w:position w:val="-6"/>
        </w:rPr>
        <w:sectPr w:rsidR="00642FB4">
          <w:headerReference w:type="default" r:id="rId56"/>
          <w:footerReference w:type="default" r:id="rId57"/>
          <w:pgSz w:w="11909" w:h="16834" w:code="9"/>
          <w:pgMar w:top="562" w:right="849" w:bottom="562" w:left="1138" w:header="288" w:footer="0" w:gutter="0"/>
          <w:cols w:space="708"/>
          <w:docGrid w:linePitch="360"/>
        </w:sectPr>
      </w:pPr>
    </w:p>
    <w:p w:rsidR="00642FB4" w:rsidRDefault="001C33BE">
      <w:pPr>
        <w:spacing w:before="60" w:after="60" w:line="288" w:lineRule="auto"/>
        <w:jc w:val="center"/>
        <w:rPr>
          <w:snapToGrid w:val="0"/>
          <w:position w:val="-6"/>
        </w:rPr>
        <w:sectPr w:rsidR="00642FB4">
          <w:headerReference w:type="default" r:id="rId58"/>
          <w:footerReference w:type="default" r:id="rId59"/>
          <w:pgSz w:w="16834" w:h="11909" w:orient="landscape" w:code="9"/>
          <w:pgMar w:top="1138" w:right="849" w:bottom="475" w:left="562" w:header="288" w:footer="0" w:gutter="0"/>
          <w:cols w:space="708"/>
          <w:docGrid w:linePitch="360"/>
        </w:sectPr>
      </w:pPr>
      <w:r>
        <w:rPr>
          <w:noProof/>
          <w:position w:val="-6"/>
          <w:lang w:val="en-US" w:eastAsia="en-US"/>
        </w:rPr>
        <w:drawing>
          <wp:inline distT="0" distB="0" distL="0" distR="0" wp14:anchorId="1B3EF79D" wp14:editId="59ADFBF4">
            <wp:extent cx="8603615" cy="6082665"/>
            <wp:effectExtent l="19050" t="0" r="6985" b="0"/>
            <wp:docPr id="29" name="Рисунок 29" descr="SEA_Tulce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EA_Tulcea_1"/>
                    <pic:cNvPicPr>
                      <a:picLocks noChangeAspect="1" noChangeArrowheads="1"/>
                    </pic:cNvPicPr>
                  </pic:nvPicPr>
                  <pic:blipFill>
                    <a:blip r:embed="rId60" cstate="print"/>
                    <a:srcRect/>
                    <a:stretch>
                      <a:fillRect/>
                    </a:stretch>
                  </pic:blipFill>
                  <pic:spPr bwMode="auto">
                    <a:xfrm>
                      <a:off x="0" y="0"/>
                      <a:ext cx="8603615" cy="6082665"/>
                    </a:xfrm>
                    <a:prstGeom prst="rect">
                      <a:avLst/>
                    </a:prstGeom>
                    <a:noFill/>
                    <a:ln w="9525">
                      <a:noFill/>
                      <a:miter lim="800000"/>
                      <a:headEnd/>
                      <a:tailEnd/>
                    </a:ln>
                  </pic:spPr>
                </pic:pic>
              </a:graphicData>
            </a:graphic>
          </wp:inline>
        </w:drawing>
      </w:r>
    </w:p>
    <w:p w:rsidR="00642FB4" w:rsidRDefault="00642FB4">
      <w:pPr>
        <w:numPr>
          <w:ilvl w:val="0"/>
          <w:numId w:val="15"/>
        </w:numPr>
        <w:autoSpaceDE w:val="0"/>
        <w:autoSpaceDN w:val="0"/>
        <w:adjustRightInd w:val="0"/>
        <w:spacing w:before="60" w:after="60" w:line="288" w:lineRule="auto"/>
        <w:ind w:left="1080" w:hanging="360"/>
        <w:jc w:val="both"/>
        <w:rPr>
          <w:color w:val="000000"/>
          <w:lang w:val="uk-UA"/>
        </w:rPr>
      </w:pPr>
      <w:r>
        <w:rPr>
          <w:b/>
          <w:bCs/>
          <w:color w:val="000000"/>
          <w:lang w:val="uk-UA" w:eastAsia="uk-UA"/>
        </w:rPr>
        <w:t xml:space="preserve">СПЕЦІАЛЬНІ ПРИРОДНІ ЗАХИЩЕНІ ТЕРИТОРІЇ ФАУНИ ТА ПТАХІВ – SPA </w:t>
      </w:r>
    </w:p>
    <w:p w:rsidR="00642FB4" w:rsidRDefault="00642FB4">
      <w:pPr>
        <w:autoSpaceDE w:val="0"/>
        <w:autoSpaceDN w:val="0"/>
        <w:adjustRightInd w:val="0"/>
        <w:spacing w:before="60" w:after="60" w:line="288" w:lineRule="auto"/>
        <w:jc w:val="both"/>
        <w:rPr>
          <w:color w:val="000000"/>
          <w:lang w:val="uk-UA"/>
        </w:rPr>
      </w:pPr>
    </w:p>
    <w:p w:rsidR="00642FB4" w:rsidRDefault="00642FB4">
      <w:pPr>
        <w:widowControl w:val="0"/>
        <w:spacing w:before="60" w:after="60" w:line="288" w:lineRule="auto"/>
        <w:ind w:firstLine="720"/>
        <w:jc w:val="both"/>
        <w:rPr>
          <w:color w:val="000000"/>
          <w:lang w:val="uk-UA"/>
        </w:rPr>
      </w:pPr>
      <w:r>
        <w:rPr>
          <w:color w:val="000000"/>
          <w:lang w:val="uk-UA" w:eastAsia="uk-UA"/>
        </w:rPr>
        <w:t xml:space="preserve">У повіті Тулча оголошено </w:t>
      </w:r>
      <w:r>
        <w:rPr>
          <w:b/>
          <w:bCs/>
          <w:color w:val="000000"/>
          <w:lang w:val="uk-UA" w:eastAsia="uk-UA"/>
        </w:rPr>
        <w:t xml:space="preserve">9 </w:t>
      </w:r>
      <w:r>
        <w:rPr>
          <w:color w:val="000000"/>
          <w:lang w:val="uk-UA" w:eastAsia="uk-UA"/>
        </w:rPr>
        <w:t xml:space="preserve">спеціальних природних захищених територій фауни та птахів. </w:t>
      </w:r>
    </w:p>
    <w:p w:rsidR="00642FB4" w:rsidRDefault="00642FB4">
      <w:pPr>
        <w:widowControl w:val="0"/>
        <w:spacing w:before="60" w:after="60" w:line="288" w:lineRule="auto"/>
        <w:ind w:firstLine="720"/>
        <w:jc w:val="both"/>
        <w:rPr>
          <w:b/>
          <w:bCs/>
          <w:color w:val="000000"/>
          <w:lang w:val="uk-UA"/>
        </w:rPr>
      </w:pPr>
    </w:p>
    <w:p w:rsidR="00642FB4" w:rsidRDefault="00642FB4">
      <w:pPr>
        <w:widowControl w:val="0"/>
        <w:spacing w:before="60" w:after="60" w:line="288" w:lineRule="auto"/>
        <w:ind w:firstLine="720"/>
        <w:jc w:val="both"/>
        <w:rPr>
          <w:b/>
          <w:bCs/>
          <w:color w:val="000000"/>
          <w:sz w:val="22"/>
          <w:szCs w:val="22"/>
          <w:lang w:val="uk-UA"/>
        </w:rPr>
      </w:pPr>
      <w:r>
        <w:rPr>
          <w:b/>
          <w:bCs/>
          <w:color w:val="000000"/>
          <w:sz w:val="22"/>
          <w:szCs w:val="22"/>
          <w:lang w:val="uk-UA" w:eastAsia="uk-UA"/>
        </w:rPr>
        <w:t>Таблиця 4.1.3. Спеціальні захищені територій фауни та птахів (SPA) в повіті Тулча</w:t>
      </w:r>
    </w:p>
    <w:tbl>
      <w:tblPr>
        <w:tblW w:w="9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20"/>
        <w:gridCol w:w="2020"/>
        <w:gridCol w:w="2637"/>
        <w:gridCol w:w="1580"/>
        <w:gridCol w:w="2662"/>
      </w:tblGrid>
      <w:tr w:rsidR="00642FB4">
        <w:trPr>
          <w:trHeight w:val="514"/>
          <w:jc w:val="center"/>
        </w:trPr>
        <w:tc>
          <w:tcPr>
            <w:tcW w:w="720" w:type="dxa"/>
            <w:vAlign w:val="center"/>
          </w:tcPr>
          <w:p w:rsidR="00642FB4" w:rsidRDefault="00642FB4">
            <w:pPr>
              <w:jc w:val="both"/>
              <w:rPr>
                <w:b/>
                <w:bCs/>
                <w:sz w:val="20"/>
                <w:szCs w:val="20"/>
                <w:lang w:val="uk-UA"/>
              </w:rPr>
            </w:pPr>
            <w:r>
              <w:rPr>
                <w:b/>
                <w:bCs/>
                <w:sz w:val="20"/>
                <w:szCs w:val="20"/>
                <w:lang w:val="uk-UA" w:eastAsia="uk-UA"/>
              </w:rPr>
              <w:t>Пір. №</w:t>
            </w:r>
          </w:p>
        </w:tc>
        <w:tc>
          <w:tcPr>
            <w:tcW w:w="2020" w:type="dxa"/>
            <w:vAlign w:val="center"/>
          </w:tcPr>
          <w:p w:rsidR="00642FB4" w:rsidRDefault="00642FB4">
            <w:pPr>
              <w:jc w:val="center"/>
              <w:rPr>
                <w:b/>
                <w:bCs/>
                <w:sz w:val="20"/>
                <w:szCs w:val="20"/>
                <w:lang w:val="uk-UA"/>
              </w:rPr>
            </w:pPr>
            <w:r>
              <w:rPr>
                <w:b/>
                <w:bCs/>
                <w:sz w:val="20"/>
                <w:szCs w:val="20"/>
                <w:lang w:val="uk-UA" w:eastAsia="uk-UA"/>
              </w:rPr>
              <w:t>КОД ТЕРИТОРІЇ</w:t>
            </w:r>
          </w:p>
        </w:tc>
        <w:tc>
          <w:tcPr>
            <w:tcW w:w="2637" w:type="dxa"/>
            <w:vAlign w:val="center"/>
          </w:tcPr>
          <w:p w:rsidR="00642FB4" w:rsidRDefault="00642FB4">
            <w:pPr>
              <w:jc w:val="center"/>
              <w:rPr>
                <w:b/>
                <w:bCs/>
                <w:sz w:val="20"/>
                <w:szCs w:val="20"/>
                <w:lang w:val="uk-UA"/>
              </w:rPr>
            </w:pPr>
            <w:r>
              <w:rPr>
                <w:b/>
                <w:bCs/>
                <w:sz w:val="20"/>
                <w:szCs w:val="20"/>
                <w:lang w:val="uk-UA" w:eastAsia="uk-UA"/>
              </w:rPr>
              <w:t>НАЗВА ТЕРИТОРІЇ</w:t>
            </w:r>
          </w:p>
        </w:tc>
        <w:tc>
          <w:tcPr>
            <w:tcW w:w="1580" w:type="dxa"/>
            <w:vAlign w:val="center"/>
          </w:tcPr>
          <w:p w:rsidR="00642FB4" w:rsidRDefault="00642FB4">
            <w:pPr>
              <w:jc w:val="center"/>
              <w:rPr>
                <w:b/>
                <w:bCs/>
                <w:sz w:val="20"/>
                <w:szCs w:val="20"/>
                <w:lang w:val="uk-UA"/>
              </w:rPr>
            </w:pPr>
            <w:r>
              <w:rPr>
                <w:b/>
                <w:bCs/>
                <w:sz w:val="20"/>
                <w:szCs w:val="20"/>
                <w:lang w:val="uk-UA" w:eastAsia="uk-UA"/>
              </w:rPr>
              <w:t>Площа</w:t>
            </w:r>
          </w:p>
          <w:p w:rsidR="00642FB4" w:rsidRDefault="00642FB4">
            <w:pPr>
              <w:jc w:val="center"/>
              <w:rPr>
                <w:b/>
                <w:bCs/>
                <w:sz w:val="20"/>
                <w:szCs w:val="20"/>
                <w:lang w:val="uk-UA"/>
              </w:rPr>
            </w:pPr>
            <w:r>
              <w:rPr>
                <w:b/>
                <w:bCs/>
                <w:sz w:val="20"/>
                <w:szCs w:val="20"/>
                <w:lang w:val="uk-UA" w:eastAsia="uk-UA"/>
              </w:rPr>
              <w:t>(гектар)</w:t>
            </w:r>
          </w:p>
        </w:tc>
        <w:tc>
          <w:tcPr>
            <w:tcW w:w="2662" w:type="dxa"/>
            <w:vAlign w:val="center"/>
          </w:tcPr>
          <w:p w:rsidR="00642FB4" w:rsidRDefault="00642FB4">
            <w:pPr>
              <w:jc w:val="center"/>
              <w:rPr>
                <w:b/>
                <w:bCs/>
                <w:sz w:val="20"/>
                <w:szCs w:val="20"/>
                <w:lang w:val="uk-UA"/>
              </w:rPr>
            </w:pPr>
            <w:r>
              <w:rPr>
                <w:b/>
                <w:bCs/>
                <w:sz w:val="20"/>
                <w:szCs w:val="20"/>
                <w:lang w:val="uk-UA" w:eastAsia="uk-UA"/>
              </w:rPr>
              <w:t>Площа на рівні повіту (гектар)</w:t>
            </w:r>
          </w:p>
        </w:tc>
      </w:tr>
      <w:tr w:rsidR="00642FB4">
        <w:trPr>
          <w:trHeight w:val="305"/>
          <w:jc w:val="center"/>
        </w:trPr>
        <w:tc>
          <w:tcPr>
            <w:tcW w:w="720" w:type="dxa"/>
          </w:tcPr>
          <w:p w:rsidR="00642FB4" w:rsidRDefault="00642FB4">
            <w:pPr>
              <w:ind w:left="-3" w:right="44" w:firstLine="3"/>
              <w:jc w:val="both"/>
              <w:rPr>
                <w:sz w:val="20"/>
                <w:szCs w:val="20"/>
                <w:lang w:val="uk-UA"/>
              </w:rPr>
            </w:pPr>
            <w:r>
              <w:rPr>
                <w:sz w:val="20"/>
                <w:szCs w:val="20"/>
                <w:lang w:val="uk-UA"/>
              </w:rPr>
              <w:t>1.</w:t>
            </w:r>
          </w:p>
        </w:tc>
        <w:tc>
          <w:tcPr>
            <w:tcW w:w="2020" w:type="dxa"/>
          </w:tcPr>
          <w:p w:rsidR="00642FB4" w:rsidRDefault="00642FB4">
            <w:pPr>
              <w:ind w:left="-3" w:right="44" w:firstLine="3"/>
              <w:rPr>
                <w:sz w:val="20"/>
                <w:szCs w:val="20"/>
                <w:lang w:val="uk-UA"/>
              </w:rPr>
            </w:pPr>
            <w:r>
              <w:rPr>
                <w:sz w:val="20"/>
                <w:szCs w:val="20"/>
                <w:lang w:val="uk-UA" w:eastAsia="uk-UA"/>
              </w:rPr>
              <w:t>ROSPA0009</w:t>
            </w:r>
          </w:p>
        </w:tc>
        <w:tc>
          <w:tcPr>
            <w:tcW w:w="2637" w:type="dxa"/>
          </w:tcPr>
          <w:p w:rsidR="00642FB4" w:rsidRDefault="00642FB4">
            <w:pPr>
              <w:ind w:left="-3" w:right="44" w:firstLine="3"/>
              <w:rPr>
                <w:sz w:val="20"/>
                <w:szCs w:val="20"/>
                <w:lang w:val="uk-UA"/>
              </w:rPr>
            </w:pPr>
            <w:r>
              <w:rPr>
                <w:sz w:val="20"/>
                <w:szCs w:val="20"/>
                <w:lang w:val="uk-UA" w:eastAsia="uk-UA"/>
              </w:rPr>
              <w:t xml:space="preserve">Бєштєпє – Махмудія </w:t>
            </w:r>
          </w:p>
        </w:tc>
        <w:tc>
          <w:tcPr>
            <w:tcW w:w="1580" w:type="dxa"/>
            <w:vAlign w:val="center"/>
          </w:tcPr>
          <w:p w:rsidR="00642FB4" w:rsidRDefault="00642FB4">
            <w:pPr>
              <w:ind w:left="-3" w:right="44" w:firstLine="3"/>
              <w:jc w:val="right"/>
              <w:rPr>
                <w:sz w:val="20"/>
                <w:szCs w:val="20"/>
                <w:lang w:val="uk-UA"/>
              </w:rPr>
            </w:pPr>
            <w:r>
              <w:rPr>
                <w:sz w:val="20"/>
                <w:szCs w:val="20"/>
                <w:lang w:val="uk-UA"/>
              </w:rPr>
              <w:t>3.663</w:t>
            </w:r>
          </w:p>
        </w:tc>
        <w:tc>
          <w:tcPr>
            <w:tcW w:w="2662" w:type="dxa"/>
            <w:vAlign w:val="center"/>
          </w:tcPr>
          <w:p w:rsidR="00642FB4" w:rsidRDefault="00642FB4">
            <w:pPr>
              <w:jc w:val="right"/>
              <w:rPr>
                <w:sz w:val="20"/>
                <w:szCs w:val="20"/>
                <w:lang w:val="uk-UA"/>
              </w:rPr>
            </w:pPr>
            <w:r>
              <w:rPr>
                <w:sz w:val="20"/>
                <w:szCs w:val="20"/>
                <w:lang w:val="uk-UA"/>
              </w:rPr>
              <w:t>3.663</w:t>
            </w:r>
          </w:p>
        </w:tc>
      </w:tr>
      <w:tr w:rsidR="00642FB4">
        <w:trPr>
          <w:trHeight w:val="514"/>
          <w:jc w:val="center"/>
        </w:trPr>
        <w:tc>
          <w:tcPr>
            <w:tcW w:w="720" w:type="dxa"/>
          </w:tcPr>
          <w:p w:rsidR="00642FB4" w:rsidRDefault="00642FB4">
            <w:pPr>
              <w:ind w:left="-3" w:right="44" w:firstLine="3"/>
              <w:jc w:val="both"/>
              <w:rPr>
                <w:sz w:val="20"/>
                <w:szCs w:val="20"/>
                <w:lang w:val="uk-UA"/>
              </w:rPr>
            </w:pPr>
            <w:r>
              <w:rPr>
                <w:sz w:val="20"/>
                <w:szCs w:val="20"/>
                <w:lang w:val="uk-UA"/>
              </w:rPr>
              <w:t>2.</w:t>
            </w:r>
          </w:p>
        </w:tc>
        <w:tc>
          <w:tcPr>
            <w:tcW w:w="2020" w:type="dxa"/>
          </w:tcPr>
          <w:p w:rsidR="00642FB4" w:rsidRDefault="00642FB4">
            <w:pPr>
              <w:ind w:left="-3" w:right="44" w:firstLine="3"/>
              <w:rPr>
                <w:sz w:val="20"/>
                <w:szCs w:val="20"/>
                <w:lang w:val="uk-UA"/>
              </w:rPr>
            </w:pPr>
            <w:r>
              <w:rPr>
                <w:sz w:val="20"/>
                <w:szCs w:val="20"/>
                <w:lang w:val="uk-UA" w:eastAsia="uk-UA"/>
              </w:rPr>
              <w:t>ROSPA0031</w:t>
            </w:r>
          </w:p>
        </w:tc>
        <w:tc>
          <w:tcPr>
            <w:tcW w:w="2637" w:type="dxa"/>
          </w:tcPr>
          <w:p w:rsidR="00642FB4" w:rsidRDefault="00642FB4">
            <w:pPr>
              <w:ind w:left="-3" w:right="44" w:firstLine="3"/>
              <w:rPr>
                <w:sz w:val="20"/>
                <w:szCs w:val="20"/>
                <w:lang w:val="uk-UA"/>
              </w:rPr>
            </w:pPr>
            <w:r>
              <w:rPr>
                <w:sz w:val="20"/>
                <w:szCs w:val="20"/>
                <w:lang w:val="uk-UA" w:eastAsia="uk-UA"/>
              </w:rPr>
              <w:t xml:space="preserve">Дельта Дунаю і Комплекс Разимо – Сіноє </w:t>
            </w:r>
          </w:p>
        </w:tc>
        <w:tc>
          <w:tcPr>
            <w:tcW w:w="1580" w:type="dxa"/>
            <w:vAlign w:val="center"/>
          </w:tcPr>
          <w:p w:rsidR="00642FB4" w:rsidRDefault="00642FB4">
            <w:pPr>
              <w:ind w:left="-3" w:right="44" w:firstLine="3"/>
              <w:jc w:val="right"/>
              <w:rPr>
                <w:sz w:val="20"/>
                <w:szCs w:val="20"/>
                <w:lang w:val="uk-UA"/>
              </w:rPr>
            </w:pPr>
            <w:r>
              <w:rPr>
                <w:sz w:val="20"/>
                <w:szCs w:val="20"/>
                <w:lang w:val="uk-UA"/>
              </w:rPr>
              <w:t>512.820</w:t>
            </w:r>
          </w:p>
        </w:tc>
        <w:tc>
          <w:tcPr>
            <w:tcW w:w="2662" w:type="dxa"/>
            <w:vAlign w:val="center"/>
          </w:tcPr>
          <w:p w:rsidR="00642FB4" w:rsidRDefault="00642FB4">
            <w:pPr>
              <w:jc w:val="right"/>
              <w:rPr>
                <w:sz w:val="20"/>
                <w:szCs w:val="20"/>
                <w:lang w:val="uk-UA"/>
              </w:rPr>
            </w:pPr>
            <w:r>
              <w:rPr>
                <w:sz w:val="20"/>
                <w:szCs w:val="20"/>
                <w:lang w:val="uk-UA"/>
              </w:rPr>
              <w:t>456.410</w:t>
            </w:r>
          </w:p>
        </w:tc>
      </w:tr>
      <w:tr w:rsidR="00642FB4">
        <w:trPr>
          <w:trHeight w:val="224"/>
          <w:jc w:val="center"/>
        </w:trPr>
        <w:tc>
          <w:tcPr>
            <w:tcW w:w="720" w:type="dxa"/>
          </w:tcPr>
          <w:p w:rsidR="00642FB4" w:rsidRDefault="00642FB4">
            <w:pPr>
              <w:ind w:left="-3" w:right="44" w:firstLine="3"/>
              <w:jc w:val="both"/>
              <w:rPr>
                <w:sz w:val="20"/>
                <w:szCs w:val="20"/>
                <w:lang w:val="uk-UA"/>
              </w:rPr>
            </w:pPr>
            <w:r>
              <w:rPr>
                <w:sz w:val="20"/>
                <w:szCs w:val="20"/>
                <w:lang w:val="uk-UA"/>
              </w:rPr>
              <w:t>3.</w:t>
            </w:r>
          </w:p>
        </w:tc>
        <w:tc>
          <w:tcPr>
            <w:tcW w:w="2020" w:type="dxa"/>
          </w:tcPr>
          <w:p w:rsidR="00642FB4" w:rsidRDefault="00642FB4">
            <w:pPr>
              <w:ind w:left="-3" w:right="44" w:firstLine="3"/>
              <w:rPr>
                <w:sz w:val="20"/>
                <w:szCs w:val="20"/>
                <w:lang w:val="uk-UA"/>
              </w:rPr>
            </w:pPr>
            <w:r>
              <w:rPr>
                <w:sz w:val="20"/>
                <w:szCs w:val="20"/>
                <w:lang w:val="uk-UA" w:eastAsia="uk-UA"/>
              </w:rPr>
              <w:t>ROSPA 0032</w:t>
            </w:r>
          </w:p>
        </w:tc>
        <w:tc>
          <w:tcPr>
            <w:tcW w:w="2637" w:type="dxa"/>
          </w:tcPr>
          <w:p w:rsidR="00642FB4" w:rsidRDefault="00642FB4">
            <w:pPr>
              <w:ind w:left="-3" w:right="44" w:firstLine="3"/>
              <w:rPr>
                <w:sz w:val="20"/>
                <w:szCs w:val="20"/>
                <w:lang w:val="uk-UA"/>
              </w:rPr>
            </w:pPr>
            <w:r>
              <w:rPr>
                <w:sz w:val="20"/>
                <w:szCs w:val="20"/>
                <w:lang w:val="uk-UA" w:eastAsia="uk-UA"/>
              </w:rPr>
              <w:t xml:space="preserve">Денис Тепе </w:t>
            </w:r>
          </w:p>
        </w:tc>
        <w:tc>
          <w:tcPr>
            <w:tcW w:w="1580" w:type="dxa"/>
            <w:vAlign w:val="center"/>
          </w:tcPr>
          <w:p w:rsidR="00642FB4" w:rsidRDefault="00642FB4">
            <w:pPr>
              <w:ind w:left="-3" w:right="44" w:firstLine="3"/>
              <w:jc w:val="right"/>
              <w:rPr>
                <w:sz w:val="20"/>
                <w:szCs w:val="20"/>
                <w:lang w:val="uk-UA"/>
              </w:rPr>
            </w:pPr>
            <w:r>
              <w:rPr>
                <w:sz w:val="20"/>
                <w:szCs w:val="20"/>
                <w:lang w:val="uk-UA"/>
              </w:rPr>
              <w:t>1.900</w:t>
            </w:r>
          </w:p>
        </w:tc>
        <w:tc>
          <w:tcPr>
            <w:tcW w:w="2662" w:type="dxa"/>
            <w:vAlign w:val="center"/>
          </w:tcPr>
          <w:p w:rsidR="00642FB4" w:rsidRDefault="00642FB4">
            <w:pPr>
              <w:jc w:val="right"/>
              <w:rPr>
                <w:sz w:val="20"/>
                <w:szCs w:val="20"/>
                <w:lang w:val="uk-UA"/>
              </w:rPr>
            </w:pPr>
            <w:r>
              <w:rPr>
                <w:sz w:val="20"/>
                <w:szCs w:val="20"/>
                <w:lang w:val="uk-UA"/>
              </w:rPr>
              <w:t>1.900</w:t>
            </w:r>
          </w:p>
        </w:tc>
      </w:tr>
      <w:tr w:rsidR="00642FB4">
        <w:trPr>
          <w:trHeight w:val="514"/>
          <w:jc w:val="center"/>
        </w:trPr>
        <w:tc>
          <w:tcPr>
            <w:tcW w:w="720" w:type="dxa"/>
          </w:tcPr>
          <w:p w:rsidR="00642FB4" w:rsidRDefault="00642FB4">
            <w:pPr>
              <w:ind w:left="-3" w:right="44" w:firstLine="3"/>
              <w:jc w:val="both"/>
              <w:rPr>
                <w:sz w:val="20"/>
                <w:szCs w:val="20"/>
                <w:lang w:val="uk-UA"/>
              </w:rPr>
            </w:pPr>
            <w:r>
              <w:rPr>
                <w:sz w:val="20"/>
                <w:szCs w:val="20"/>
                <w:lang w:val="uk-UA"/>
              </w:rPr>
              <w:t>4.</w:t>
            </w:r>
          </w:p>
        </w:tc>
        <w:tc>
          <w:tcPr>
            <w:tcW w:w="2020" w:type="dxa"/>
          </w:tcPr>
          <w:p w:rsidR="00642FB4" w:rsidRDefault="00642FB4">
            <w:pPr>
              <w:ind w:left="-3" w:right="44" w:firstLine="3"/>
              <w:rPr>
                <w:sz w:val="20"/>
                <w:szCs w:val="20"/>
                <w:lang w:val="uk-UA"/>
              </w:rPr>
            </w:pPr>
            <w:r>
              <w:rPr>
                <w:sz w:val="20"/>
                <w:szCs w:val="20"/>
                <w:lang w:val="uk-UA" w:eastAsia="uk-UA"/>
              </w:rPr>
              <w:t>ROSPA0040</w:t>
            </w:r>
          </w:p>
        </w:tc>
        <w:tc>
          <w:tcPr>
            <w:tcW w:w="2637" w:type="dxa"/>
          </w:tcPr>
          <w:p w:rsidR="00642FB4" w:rsidRDefault="00642FB4">
            <w:pPr>
              <w:ind w:left="-3" w:right="44" w:firstLine="3"/>
              <w:rPr>
                <w:sz w:val="20"/>
                <w:szCs w:val="20"/>
                <w:lang w:val="uk-UA"/>
              </w:rPr>
            </w:pPr>
            <w:r>
              <w:rPr>
                <w:sz w:val="20"/>
                <w:szCs w:val="20"/>
                <w:lang w:val="uk-UA" w:eastAsia="uk-UA"/>
              </w:rPr>
              <w:t xml:space="preserve">Старий ДУНАЙ – Рукав Мечін </w:t>
            </w:r>
          </w:p>
        </w:tc>
        <w:tc>
          <w:tcPr>
            <w:tcW w:w="1580" w:type="dxa"/>
            <w:vAlign w:val="center"/>
          </w:tcPr>
          <w:p w:rsidR="00642FB4" w:rsidRDefault="00642FB4">
            <w:pPr>
              <w:ind w:left="-3" w:right="44" w:firstLine="3"/>
              <w:jc w:val="right"/>
              <w:rPr>
                <w:sz w:val="20"/>
                <w:szCs w:val="20"/>
                <w:lang w:val="uk-UA"/>
              </w:rPr>
            </w:pPr>
            <w:r>
              <w:rPr>
                <w:sz w:val="20"/>
                <w:szCs w:val="20"/>
                <w:lang w:val="uk-UA"/>
              </w:rPr>
              <w:t>18.759</w:t>
            </w:r>
          </w:p>
        </w:tc>
        <w:tc>
          <w:tcPr>
            <w:tcW w:w="2662" w:type="dxa"/>
            <w:vAlign w:val="center"/>
          </w:tcPr>
          <w:p w:rsidR="00642FB4" w:rsidRDefault="00642FB4">
            <w:pPr>
              <w:jc w:val="right"/>
              <w:rPr>
                <w:sz w:val="20"/>
                <w:szCs w:val="20"/>
                <w:lang w:val="uk-UA"/>
              </w:rPr>
            </w:pPr>
            <w:r>
              <w:rPr>
                <w:sz w:val="20"/>
                <w:szCs w:val="20"/>
                <w:lang w:val="uk-UA"/>
              </w:rPr>
              <w:t>8.442</w:t>
            </w:r>
          </w:p>
        </w:tc>
      </w:tr>
      <w:tr w:rsidR="00642FB4">
        <w:trPr>
          <w:trHeight w:val="287"/>
          <w:jc w:val="center"/>
        </w:trPr>
        <w:tc>
          <w:tcPr>
            <w:tcW w:w="720" w:type="dxa"/>
          </w:tcPr>
          <w:p w:rsidR="00642FB4" w:rsidRDefault="00642FB4">
            <w:pPr>
              <w:ind w:left="-3" w:right="44" w:firstLine="3"/>
              <w:jc w:val="both"/>
              <w:rPr>
                <w:sz w:val="20"/>
                <w:szCs w:val="20"/>
                <w:lang w:val="uk-UA"/>
              </w:rPr>
            </w:pPr>
            <w:r>
              <w:rPr>
                <w:sz w:val="20"/>
                <w:szCs w:val="20"/>
                <w:lang w:val="uk-UA"/>
              </w:rPr>
              <w:t>5.</w:t>
            </w:r>
          </w:p>
        </w:tc>
        <w:tc>
          <w:tcPr>
            <w:tcW w:w="2020" w:type="dxa"/>
          </w:tcPr>
          <w:p w:rsidR="00642FB4" w:rsidRDefault="00642FB4">
            <w:pPr>
              <w:ind w:left="-3" w:right="44" w:firstLine="3"/>
              <w:rPr>
                <w:sz w:val="20"/>
                <w:szCs w:val="20"/>
                <w:lang w:val="uk-UA"/>
              </w:rPr>
            </w:pPr>
            <w:r>
              <w:rPr>
                <w:sz w:val="20"/>
                <w:szCs w:val="20"/>
                <w:lang w:val="uk-UA" w:eastAsia="uk-UA"/>
              </w:rPr>
              <w:t>ROSPA0052</w:t>
            </w:r>
          </w:p>
        </w:tc>
        <w:tc>
          <w:tcPr>
            <w:tcW w:w="2637" w:type="dxa"/>
          </w:tcPr>
          <w:p w:rsidR="00642FB4" w:rsidRDefault="00642FB4">
            <w:pPr>
              <w:ind w:left="-3" w:right="44" w:firstLine="3"/>
              <w:rPr>
                <w:sz w:val="20"/>
                <w:szCs w:val="20"/>
                <w:lang w:val="uk-UA"/>
              </w:rPr>
            </w:pPr>
            <w:r>
              <w:rPr>
                <w:sz w:val="20"/>
                <w:szCs w:val="20"/>
                <w:lang w:val="uk-UA" w:eastAsia="uk-UA"/>
              </w:rPr>
              <w:t xml:space="preserve">Озеро Бейбуджяк </w:t>
            </w:r>
          </w:p>
        </w:tc>
        <w:tc>
          <w:tcPr>
            <w:tcW w:w="1580" w:type="dxa"/>
            <w:vAlign w:val="center"/>
          </w:tcPr>
          <w:p w:rsidR="00642FB4" w:rsidRDefault="00642FB4">
            <w:pPr>
              <w:ind w:left="-3" w:right="44" w:firstLine="3"/>
              <w:jc w:val="right"/>
              <w:rPr>
                <w:sz w:val="20"/>
                <w:szCs w:val="20"/>
                <w:lang w:val="uk-UA"/>
              </w:rPr>
            </w:pPr>
            <w:r>
              <w:rPr>
                <w:sz w:val="20"/>
                <w:szCs w:val="20"/>
                <w:lang w:val="uk-UA"/>
              </w:rPr>
              <w:t>470</w:t>
            </w:r>
          </w:p>
        </w:tc>
        <w:tc>
          <w:tcPr>
            <w:tcW w:w="2662" w:type="dxa"/>
            <w:vAlign w:val="center"/>
          </w:tcPr>
          <w:p w:rsidR="00642FB4" w:rsidRDefault="00642FB4">
            <w:pPr>
              <w:jc w:val="right"/>
              <w:rPr>
                <w:sz w:val="20"/>
                <w:szCs w:val="20"/>
                <w:lang w:val="uk-UA"/>
              </w:rPr>
            </w:pPr>
            <w:r>
              <w:rPr>
                <w:sz w:val="20"/>
                <w:szCs w:val="20"/>
                <w:lang w:val="uk-UA"/>
              </w:rPr>
              <w:t>470</w:t>
            </w:r>
          </w:p>
        </w:tc>
      </w:tr>
      <w:tr w:rsidR="00642FB4">
        <w:trPr>
          <w:trHeight w:val="350"/>
          <w:jc w:val="center"/>
        </w:trPr>
        <w:tc>
          <w:tcPr>
            <w:tcW w:w="720" w:type="dxa"/>
          </w:tcPr>
          <w:p w:rsidR="00642FB4" w:rsidRDefault="00642FB4">
            <w:pPr>
              <w:ind w:left="-3" w:right="44" w:firstLine="3"/>
              <w:jc w:val="both"/>
              <w:rPr>
                <w:sz w:val="20"/>
                <w:szCs w:val="20"/>
                <w:lang w:val="uk-UA"/>
              </w:rPr>
            </w:pPr>
            <w:r>
              <w:rPr>
                <w:sz w:val="20"/>
                <w:szCs w:val="20"/>
                <w:lang w:val="uk-UA"/>
              </w:rPr>
              <w:t>6.</w:t>
            </w:r>
          </w:p>
        </w:tc>
        <w:tc>
          <w:tcPr>
            <w:tcW w:w="2020" w:type="dxa"/>
          </w:tcPr>
          <w:p w:rsidR="00642FB4" w:rsidRDefault="00642FB4">
            <w:pPr>
              <w:ind w:left="-3" w:right="44" w:firstLine="3"/>
              <w:rPr>
                <w:sz w:val="20"/>
                <w:szCs w:val="20"/>
                <w:lang w:val="uk-UA"/>
              </w:rPr>
            </w:pPr>
            <w:r>
              <w:rPr>
                <w:sz w:val="20"/>
                <w:szCs w:val="20"/>
                <w:lang w:val="uk-UA" w:eastAsia="uk-UA"/>
              </w:rPr>
              <w:t>ROSPA0076</w:t>
            </w:r>
          </w:p>
        </w:tc>
        <w:tc>
          <w:tcPr>
            <w:tcW w:w="2637" w:type="dxa"/>
          </w:tcPr>
          <w:p w:rsidR="00642FB4" w:rsidRDefault="00642FB4">
            <w:pPr>
              <w:ind w:left="-3" w:right="44" w:firstLine="3"/>
              <w:rPr>
                <w:sz w:val="20"/>
                <w:szCs w:val="20"/>
                <w:lang w:val="uk-UA"/>
              </w:rPr>
            </w:pPr>
            <w:r>
              <w:rPr>
                <w:sz w:val="20"/>
                <w:szCs w:val="20"/>
                <w:lang w:val="uk-UA" w:eastAsia="uk-UA"/>
              </w:rPr>
              <w:t xml:space="preserve">Чорне Море </w:t>
            </w:r>
          </w:p>
        </w:tc>
        <w:tc>
          <w:tcPr>
            <w:tcW w:w="1580" w:type="dxa"/>
            <w:vAlign w:val="center"/>
          </w:tcPr>
          <w:p w:rsidR="00642FB4" w:rsidRDefault="00642FB4">
            <w:pPr>
              <w:ind w:left="-3" w:right="44" w:firstLine="3"/>
              <w:jc w:val="right"/>
              <w:rPr>
                <w:sz w:val="20"/>
                <w:szCs w:val="20"/>
                <w:lang w:val="uk-UA"/>
              </w:rPr>
            </w:pPr>
            <w:r>
              <w:rPr>
                <w:sz w:val="20"/>
                <w:szCs w:val="20"/>
                <w:lang w:val="uk-UA"/>
              </w:rPr>
              <w:t>140.143</w:t>
            </w:r>
          </w:p>
        </w:tc>
        <w:tc>
          <w:tcPr>
            <w:tcW w:w="2662" w:type="dxa"/>
            <w:vAlign w:val="center"/>
          </w:tcPr>
          <w:p w:rsidR="00642FB4" w:rsidRDefault="00642FB4">
            <w:pPr>
              <w:jc w:val="right"/>
              <w:rPr>
                <w:sz w:val="20"/>
                <w:szCs w:val="20"/>
                <w:lang w:val="uk-UA"/>
              </w:rPr>
            </w:pPr>
            <w:r>
              <w:rPr>
                <w:sz w:val="20"/>
                <w:szCs w:val="20"/>
                <w:lang w:val="uk-UA" w:eastAsia="uk-UA"/>
              </w:rPr>
              <w:t>Чорне Море</w:t>
            </w:r>
          </w:p>
        </w:tc>
      </w:tr>
      <w:tr w:rsidR="00642FB4">
        <w:trPr>
          <w:trHeight w:val="260"/>
          <w:jc w:val="center"/>
        </w:trPr>
        <w:tc>
          <w:tcPr>
            <w:tcW w:w="720" w:type="dxa"/>
          </w:tcPr>
          <w:p w:rsidR="00642FB4" w:rsidRDefault="00642FB4">
            <w:pPr>
              <w:ind w:left="-3" w:right="44" w:firstLine="3"/>
              <w:jc w:val="both"/>
              <w:rPr>
                <w:sz w:val="20"/>
                <w:szCs w:val="20"/>
                <w:lang w:val="uk-UA"/>
              </w:rPr>
            </w:pPr>
            <w:r>
              <w:rPr>
                <w:sz w:val="20"/>
                <w:szCs w:val="20"/>
                <w:lang w:val="uk-UA"/>
              </w:rPr>
              <w:t>7.</w:t>
            </w:r>
          </w:p>
        </w:tc>
        <w:tc>
          <w:tcPr>
            <w:tcW w:w="2020" w:type="dxa"/>
          </w:tcPr>
          <w:p w:rsidR="00642FB4" w:rsidRDefault="00642FB4">
            <w:pPr>
              <w:ind w:left="-3" w:right="44" w:firstLine="3"/>
              <w:rPr>
                <w:sz w:val="20"/>
                <w:szCs w:val="20"/>
                <w:lang w:val="uk-UA"/>
              </w:rPr>
            </w:pPr>
            <w:r>
              <w:rPr>
                <w:sz w:val="20"/>
                <w:szCs w:val="20"/>
                <w:lang w:val="uk-UA" w:eastAsia="uk-UA"/>
              </w:rPr>
              <w:t>ROSPA0073</w:t>
            </w:r>
          </w:p>
        </w:tc>
        <w:tc>
          <w:tcPr>
            <w:tcW w:w="2637" w:type="dxa"/>
          </w:tcPr>
          <w:p w:rsidR="00642FB4" w:rsidRDefault="00642FB4">
            <w:pPr>
              <w:ind w:left="-3" w:right="44" w:firstLine="3"/>
              <w:rPr>
                <w:sz w:val="20"/>
                <w:szCs w:val="20"/>
                <w:lang w:val="uk-UA"/>
              </w:rPr>
            </w:pPr>
            <w:r>
              <w:rPr>
                <w:sz w:val="20"/>
                <w:szCs w:val="20"/>
                <w:lang w:val="uk-UA" w:eastAsia="uk-UA"/>
              </w:rPr>
              <w:t xml:space="preserve">Мечін – Нікуліцєл </w:t>
            </w:r>
          </w:p>
        </w:tc>
        <w:tc>
          <w:tcPr>
            <w:tcW w:w="1580" w:type="dxa"/>
            <w:vAlign w:val="center"/>
          </w:tcPr>
          <w:p w:rsidR="00642FB4" w:rsidRDefault="00642FB4">
            <w:pPr>
              <w:ind w:left="-3" w:right="44" w:firstLine="3"/>
              <w:jc w:val="right"/>
              <w:rPr>
                <w:sz w:val="20"/>
                <w:szCs w:val="20"/>
                <w:lang w:val="uk-UA"/>
              </w:rPr>
            </w:pPr>
            <w:r>
              <w:rPr>
                <w:sz w:val="20"/>
                <w:szCs w:val="20"/>
                <w:lang w:val="uk-UA"/>
              </w:rPr>
              <w:t>67.361</w:t>
            </w:r>
          </w:p>
        </w:tc>
        <w:tc>
          <w:tcPr>
            <w:tcW w:w="2662" w:type="dxa"/>
            <w:vAlign w:val="center"/>
          </w:tcPr>
          <w:p w:rsidR="00642FB4" w:rsidRDefault="00642FB4">
            <w:pPr>
              <w:jc w:val="right"/>
              <w:rPr>
                <w:sz w:val="20"/>
                <w:szCs w:val="20"/>
                <w:lang w:val="uk-UA"/>
              </w:rPr>
            </w:pPr>
            <w:r>
              <w:rPr>
                <w:sz w:val="20"/>
                <w:szCs w:val="20"/>
                <w:lang w:val="uk-UA"/>
              </w:rPr>
              <w:t>67.361</w:t>
            </w:r>
          </w:p>
        </w:tc>
      </w:tr>
      <w:tr w:rsidR="00642FB4">
        <w:trPr>
          <w:trHeight w:val="332"/>
          <w:jc w:val="center"/>
        </w:trPr>
        <w:tc>
          <w:tcPr>
            <w:tcW w:w="720" w:type="dxa"/>
          </w:tcPr>
          <w:p w:rsidR="00642FB4" w:rsidRDefault="00642FB4">
            <w:pPr>
              <w:ind w:left="-3" w:right="44" w:firstLine="3"/>
              <w:jc w:val="both"/>
              <w:rPr>
                <w:sz w:val="20"/>
                <w:szCs w:val="20"/>
                <w:lang w:val="uk-UA"/>
              </w:rPr>
            </w:pPr>
            <w:r>
              <w:rPr>
                <w:sz w:val="20"/>
                <w:szCs w:val="20"/>
                <w:lang w:val="uk-UA"/>
              </w:rPr>
              <w:t>8.</w:t>
            </w:r>
          </w:p>
        </w:tc>
        <w:tc>
          <w:tcPr>
            <w:tcW w:w="2020" w:type="dxa"/>
          </w:tcPr>
          <w:p w:rsidR="00642FB4" w:rsidRDefault="00642FB4">
            <w:pPr>
              <w:ind w:left="-3" w:right="44" w:firstLine="3"/>
              <w:rPr>
                <w:sz w:val="20"/>
                <w:szCs w:val="20"/>
                <w:lang w:val="uk-UA"/>
              </w:rPr>
            </w:pPr>
            <w:r>
              <w:rPr>
                <w:sz w:val="20"/>
                <w:szCs w:val="20"/>
                <w:lang w:val="uk-UA" w:eastAsia="uk-UA"/>
              </w:rPr>
              <w:t>ROSPA0091</w:t>
            </w:r>
          </w:p>
        </w:tc>
        <w:tc>
          <w:tcPr>
            <w:tcW w:w="2637" w:type="dxa"/>
          </w:tcPr>
          <w:p w:rsidR="00642FB4" w:rsidRDefault="00642FB4">
            <w:pPr>
              <w:ind w:left="-3" w:right="44" w:firstLine="3"/>
              <w:rPr>
                <w:sz w:val="20"/>
                <w:szCs w:val="20"/>
                <w:lang w:val="uk-UA"/>
              </w:rPr>
            </w:pPr>
            <w:r>
              <w:rPr>
                <w:sz w:val="20"/>
                <w:szCs w:val="20"/>
                <w:lang w:val="uk-UA" w:eastAsia="uk-UA"/>
              </w:rPr>
              <w:t xml:space="preserve">Ліс Бабадаг </w:t>
            </w:r>
          </w:p>
        </w:tc>
        <w:tc>
          <w:tcPr>
            <w:tcW w:w="1580" w:type="dxa"/>
            <w:vAlign w:val="center"/>
          </w:tcPr>
          <w:p w:rsidR="00642FB4" w:rsidRDefault="00642FB4">
            <w:pPr>
              <w:ind w:left="-3" w:right="44" w:firstLine="3"/>
              <w:jc w:val="right"/>
              <w:rPr>
                <w:sz w:val="20"/>
                <w:szCs w:val="20"/>
                <w:lang w:val="uk-UA"/>
              </w:rPr>
            </w:pPr>
            <w:r>
              <w:rPr>
                <w:sz w:val="20"/>
                <w:szCs w:val="20"/>
                <w:lang w:val="uk-UA"/>
              </w:rPr>
              <w:t>58.473</w:t>
            </w:r>
          </w:p>
        </w:tc>
        <w:tc>
          <w:tcPr>
            <w:tcW w:w="2662" w:type="dxa"/>
            <w:vAlign w:val="center"/>
          </w:tcPr>
          <w:p w:rsidR="00642FB4" w:rsidRDefault="00642FB4">
            <w:pPr>
              <w:jc w:val="right"/>
              <w:rPr>
                <w:sz w:val="20"/>
                <w:szCs w:val="20"/>
                <w:lang w:val="uk-UA"/>
              </w:rPr>
            </w:pPr>
            <w:r>
              <w:rPr>
                <w:sz w:val="20"/>
                <w:szCs w:val="20"/>
                <w:lang w:val="uk-UA"/>
              </w:rPr>
              <w:t>58.473</w:t>
            </w:r>
          </w:p>
        </w:tc>
      </w:tr>
      <w:tr w:rsidR="00642FB4">
        <w:trPr>
          <w:trHeight w:val="260"/>
          <w:jc w:val="center"/>
        </w:trPr>
        <w:tc>
          <w:tcPr>
            <w:tcW w:w="720" w:type="dxa"/>
          </w:tcPr>
          <w:p w:rsidR="00642FB4" w:rsidRDefault="00642FB4">
            <w:pPr>
              <w:ind w:left="-3" w:right="44" w:firstLine="3"/>
              <w:jc w:val="both"/>
              <w:rPr>
                <w:sz w:val="20"/>
                <w:szCs w:val="20"/>
                <w:lang w:val="uk-UA"/>
              </w:rPr>
            </w:pPr>
            <w:r>
              <w:rPr>
                <w:sz w:val="20"/>
                <w:szCs w:val="20"/>
                <w:lang w:val="uk-UA"/>
              </w:rPr>
              <w:t>9.</w:t>
            </w:r>
          </w:p>
        </w:tc>
        <w:tc>
          <w:tcPr>
            <w:tcW w:w="2020" w:type="dxa"/>
          </w:tcPr>
          <w:p w:rsidR="00642FB4" w:rsidRDefault="00642FB4">
            <w:pPr>
              <w:ind w:left="-3" w:right="44" w:firstLine="3"/>
              <w:rPr>
                <w:sz w:val="20"/>
                <w:szCs w:val="20"/>
                <w:lang w:val="uk-UA"/>
              </w:rPr>
            </w:pPr>
            <w:r>
              <w:rPr>
                <w:sz w:val="20"/>
                <w:szCs w:val="20"/>
                <w:lang w:val="uk-UA" w:eastAsia="uk-UA"/>
              </w:rPr>
              <w:t>ROSPA0100</w:t>
            </w:r>
          </w:p>
        </w:tc>
        <w:tc>
          <w:tcPr>
            <w:tcW w:w="2637" w:type="dxa"/>
          </w:tcPr>
          <w:p w:rsidR="00642FB4" w:rsidRDefault="00642FB4">
            <w:pPr>
              <w:ind w:left="-3" w:right="44" w:firstLine="3"/>
              <w:rPr>
                <w:sz w:val="20"/>
                <w:szCs w:val="20"/>
                <w:lang w:val="uk-UA"/>
              </w:rPr>
            </w:pPr>
            <w:r>
              <w:rPr>
                <w:sz w:val="20"/>
                <w:szCs w:val="20"/>
                <w:lang w:val="uk-UA" w:eastAsia="uk-UA"/>
              </w:rPr>
              <w:t xml:space="preserve">Степ Касімча </w:t>
            </w:r>
          </w:p>
        </w:tc>
        <w:tc>
          <w:tcPr>
            <w:tcW w:w="1580" w:type="dxa"/>
            <w:vAlign w:val="center"/>
          </w:tcPr>
          <w:p w:rsidR="00642FB4" w:rsidRDefault="00642FB4">
            <w:pPr>
              <w:ind w:left="-3" w:right="44" w:firstLine="3"/>
              <w:jc w:val="right"/>
              <w:rPr>
                <w:sz w:val="20"/>
                <w:szCs w:val="20"/>
                <w:lang w:val="uk-UA"/>
              </w:rPr>
            </w:pPr>
            <w:r>
              <w:rPr>
                <w:sz w:val="20"/>
                <w:szCs w:val="20"/>
                <w:lang w:val="uk-UA"/>
              </w:rPr>
              <w:t>22.226</w:t>
            </w:r>
          </w:p>
        </w:tc>
        <w:tc>
          <w:tcPr>
            <w:tcW w:w="2662" w:type="dxa"/>
            <w:vAlign w:val="center"/>
          </w:tcPr>
          <w:p w:rsidR="00642FB4" w:rsidRDefault="00642FB4">
            <w:pPr>
              <w:jc w:val="right"/>
              <w:rPr>
                <w:sz w:val="20"/>
                <w:szCs w:val="20"/>
                <w:lang w:val="uk-UA"/>
              </w:rPr>
            </w:pPr>
            <w:r>
              <w:rPr>
                <w:sz w:val="20"/>
                <w:szCs w:val="20"/>
                <w:lang w:val="uk-UA"/>
              </w:rPr>
              <w:t>22.226</w:t>
            </w:r>
          </w:p>
        </w:tc>
      </w:tr>
    </w:tbl>
    <w:p w:rsidR="00642FB4" w:rsidRDefault="00642FB4">
      <w:pPr>
        <w:tabs>
          <w:tab w:val="right" w:pos="8640"/>
        </w:tabs>
        <w:spacing w:before="60" w:after="60" w:line="288" w:lineRule="auto"/>
        <w:jc w:val="both"/>
        <w:rPr>
          <w:lang w:val="uk-UA"/>
        </w:rPr>
      </w:pPr>
    </w:p>
    <w:p w:rsidR="00642FB4" w:rsidRDefault="00642FB4">
      <w:pPr>
        <w:tabs>
          <w:tab w:val="right" w:pos="8640"/>
        </w:tabs>
        <w:spacing w:before="60" w:after="60" w:line="288" w:lineRule="auto"/>
        <w:jc w:val="both"/>
        <w:rPr>
          <w:lang w:val="uk-UA"/>
        </w:rPr>
      </w:pPr>
    </w:p>
    <w:p w:rsidR="00642FB4" w:rsidRDefault="00642FB4">
      <w:pPr>
        <w:numPr>
          <w:ilvl w:val="0"/>
          <w:numId w:val="12"/>
        </w:numPr>
        <w:spacing w:before="60" w:after="60" w:line="288" w:lineRule="auto"/>
        <w:ind w:left="1080"/>
        <w:jc w:val="both"/>
        <w:rPr>
          <w:b/>
          <w:bCs/>
          <w:lang w:val="ru-RU"/>
        </w:rPr>
      </w:pPr>
      <w:r>
        <w:rPr>
          <w:b/>
          <w:bCs/>
          <w:lang w:val="uk-UA" w:eastAsia="uk-UA"/>
        </w:rPr>
        <w:t xml:space="preserve">ROSPA 0009 Бєштєпє – Махмудія </w:t>
      </w:r>
    </w:p>
    <w:p w:rsidR="00642FB4" w:rsidRDefault="001C33BE">
      <w:pPr>
        <w:spacing w:before="60" w:after="60" w:line="288" w:lineRule="auto"/>
        <w:ind w:firstLine="720"/>
        <w:jc w:val="both"/>
        <w:rPr>
          <w:b/>
          <w:bCs/>
          <w:lang w:val="uk-UA"/>
        </w:rPr>
      </w:pPr>
      <w:r>
        <w:rPr>
          <w:noProof/>
          <w:lang w:val="en-US" w:eastAsia="en-US"/>
        </w:rPr>
        <w:drawing>
          <wp:anchor distT="0" distB="0" distL="114300" distR="114300" simplePos="0" relativeHeight="251660800" behindDoc="1" locked="0" layoutInCell="1" allowOverlap="1" wp14:anchorId="02A7A925" wp14:editId="75109A53">
            <wp:simplePos x="0" y="0"/>
            <wp:positionH relativeFrom="column">
              <wp:posOffset>-76200</wp:posOffset>
            </wp:positionH>
            <wp:positionV relativeFrom="paragraph">
              <wp:posOffset>255905</wp:posOffset>
            </wp:positionV>
            <wp:extent cx="3990975" cy="2647950"/>
            <wp:effectExtent l="19050" t="0" r="9525" b="0"/>
            <wp:wrapTight wrapText="bothSides">
              <wp:wrapPolygon edited="0">
                <wp:start x="-103" y="0"/>
                <wp:lineTo x="-103" y="21445"/>
                <wp:lineTo x="21652" y="21445"/>
                <wp:lineTo x="21652" y="0"/>
                <wp:lineTo x="-103" y="0"/>
              </wp:wrapPolygon>
            </wp:wrapTight>
            <wp:docPr id="39" name="Picture 7" descr="spa bestepe mahmu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pa bestepe mahmudia"/>
                    <pic:cNvPicPr>
                      <a:picLocks noChangeAspect="1" noChangeArrowheads="1"/>
                    </pic:cNvPicPr>
                  </pic:nvPicPr>
                  <pic:blipFill>
                    <a:blip r:embed="rId61" cstate="print"/>
                    <a:srcRect/>
                    <a:stretch>
                      <a:fillRect/>
                    </a:stretch>
                  </pic:blipFill>
                  <pic:spPr bwMode="auto">
                    <a:xfrm>
                      <a:off x="0" y="0"/>
                      <a:ext cx="3990975" cy="2647950"/>
                    </a:xfrm>
                    <a:prstGeom prst="rect">
                      <a:avLst/>
                    </a:prstGeom>
                    <a:noFill/>
                    <a:ln w="9525">
                      <a:noFill/>
                      <a:miter lim="800000"/>
                      <a:headEnd/>
                      <a:tailEnd/>
                    </a:ln>
                  </pic:spPr>
                </pic:pic>
              </a:graphicData>
            </a:graphic>
          </wp:anchor>
        </w:drawing>
      </w:r>
      <w:r w:rsidR="00642FB4">
        <w:rPr>
          <w:lang w:val="uk-UA" w:eastAsia="uk-UA"/>
        </w:rPr>
        <w:t xml:space="preserve">Є важливим місцем харчування хижих птахів, що гніздяться, а також тих, які знаходяться в міграції. Приклади рідкісних видів хижих птахів, присутніх в зоні: </w:t>
      </w:r>
      <w:r w:rsidR="00642FB4">
        <w:rPr>
          <w:i/>
          <w:iCs/>
          <w:lang w:val="uk-UA" w:eastAsia="uk-UA"/>
        </w:rPr>
        <w:t>Accipiter brevipes</w:t>
      </w:r>
      <w:r w:rsidR="00642FB4">
        <w:rPr>
          <w:lang w:val="uk-UA" w:eastAsia="uk-UA"/>
        </w:rPr>
        <w:t xml:space="preserve"> (яструб з короткими ногами) </w:t>
      </w:r>
      <w:r w:rsidR="00642FB4">
        <w:rPr>
          <w:i/>
          <w:iCs/>
          <w:lang w:val="uk-UA" w:eastAsia="uk-UA"/>
        </w:rPr>
        <w:t>Aquila heliaca</w:t>
      </w:r>
      <w:r w:rsidR="00642FB4">
        <w:rPr>
          <w:lang w:val="uk-UA" w:eastAsia="uk-UA"/>
        </w:rPr>
        <w:t xml:space="preserve"> (польовий орел), </w:t>
      </w:r>
      <w:r w:rsidR="00642FB4">
        <w:rPr>
          <w:i/>
          <w:iCs/>
          <w:lang w:val="uk-UA" w:eastAsia="uk-UA"/>
        </w:rPr>
        <w:t>Aquila nipalensis (</w:t>
      </w:r>
      <w:r w:rsidR="00642FB4">
        <w:rPr>
          <w:lang w:val="uk-UA" w:eastAsia="uk-UA"/>
        </w:rPr>
        <w:t>степовий орел</w:t>
      </w:r>
      <w:r w:rsidR="00642FB4">
        <w:rPr>
          <w:i/>
          <w:iCs/>
          <w:lang w:val="uk-UA" w:eastAsia="uk-UA"/>
        </w:rPr>
        <w:t>)</w:t>
      </w:r>
      <w:r w:rsidR="00642FB4">
        <w:rPr>
          <w:lang w:val="uk-UA" w:eastAsia="uk-UA"/>
        </w:rPr>
        <w:t xml:space="preserve">, </w:t>
      </w:r>
      <w:r w:rsidR="00642FB4">
        <w:rPr>
          <w:i/>
          <w:iCs/>
          <w:lang w:val="uk-UA" w:eastAsia="uk-UA"/>
        </w:rPr>
        <w:t>Aquila clanga (</w:t>
      </w:r>
      <w:r w:rsidR="00642FB4">
        <w:rPr>
          <w:rStyle w:val="Emphasis"/>
          <w:i w:val="0"/>
          <w:iCs w:val="0"/>
          <w:lang w:val="uk-UA" w:eastAsia="uk-UA"/>
        </w:rPr>
        <w:t xml:space="preserve">Великий </w:t>
      </w:r>
      <w:r w:rsidR="00642FB4">
        <w:rPr>
          <w:rStyle w:val="st"/>
          <w:lang w:val="uk-UA" w:eastAsia="uk-UA"/>
        </w:rPr>
        <w:t xml:space="preserve">підорлик або </w:t>
      </w:r>
      <w:r w:rsidR="00642FB4">
        <w:rPr>
          <w:rStyle w:val="Emphasis"/>
          <w:i w:val="0"/>
          <w:iCs w:val="0"/>
          <w:lang w:val="uk-UA" w:eastAsia="uk-UA"/>
        </w:rPr>
        <w:t>орел-кликун</w:t>
      </w:r>
      <w:r w:rsidR="00642FB4">
        <w:rPr>
          <w:i/>
          <w:iCs/>
          <w:lang w:val="uk-UA" w:eastAsia="uk-UA"/>
        </w:rPr>
        <w:t>)</w:t>
      </w:r>
      <w:r w:rsidR="00642FB4">
        <w:rPr>
          <w:lang w:val="uk-UA" w:eastAsia="uk-UA"/>
        </w:rPr>
        <w:t xml:space="preserve">, </w:t>
      </w:r>
      <w:r w:rsidR="00642FB4">
        <w:rPr>
          <w:i/>
          <w:iCs/>
          <w:lang w:val="uk-UA" w:eastAsia="uk-UA"/>
        </w:rPr>
        <w:t>Circus macrourus (</w:t>
      </w:r>
      <w:r w:rsidR="00642FB4">
        <w:rPr>
          <w:lang w:val="uk-UA" w:eastAsia="uk-UA"/>
        </w:rPr>
        <w:t>білий яструб</w:t>
      </w:r>
      <w:r w:rsidR="00642FB4">
        <w:rPr>
          <w:i/>
          <w:iCs/>
          <w:lang w:val="uk-UA" w:eastAsia="uk-UA"/>
        </w:rPr>
        <w:t>)</w:t>
      </w:r>
      <w:r w:rsidR="00642FB4">
        <w:rPr>
          <w:lang w:val="uk-UA" w:eastAsia="uk-UA"/>
        </w:rPr>
        <w:t xml:space="preserve">, </w:t>
      </w:r>
      <w:r w:rsidR="00642FB4">
        <w:rPr>
          <w:i/>
          <w:iCs/>
          <w:lang w:val="uk-UA" w:eastAsia="uk-UA"/>
        </w:rPr>
        <w:t>Falco cherrug</w:t>
      </w:r>
      <w:r w:rsidR="00642FB4">
        <w:rPr>
          <w:lang w:val="uk-UA" w:eastAsia="uk-UA"/>
        </w:rPr>
        <w:t xml:space="preserve"> (дунайський сокіл).</w:t>
      </w:r>
      <w:r w:rsidR="00642FB4">
        <w:rPr>
          <w:lang w:val="uk-UA"/>
        </w:rPr>
        <w:t xml:space="preserve"> </w:t>
      </w:r>
    </w:p>
    <w:p w:rsidR="00642FB4" w:rsidRDefault="00642FB4">
      <w:pPr>
        <w:autoSpaceDE w:val="0"/>
        <w:autoSpaceDN w:val="0"/>
        <w:adjustRightInd w:val="0"/>
        <w:spacing w:before="60" w:after="60" w:line="288" w:lineRule="auto"/>
        <w:ind w:firstLine="720"/>
        <w:jc w:val="both"/>
        <w:rPr>
          <w:lang w:val="uk-UA"/>
        </w:rPr>
      </w:pPr>
      <w:r>
        <w:rPr>
          <w:lang w:val="uk-UA" w:eastAsia="uk-UA"/>
        </w:rPr>
        <w:t>Ця територія надає притулок великій кількості захищених видів птахів: 29 видам Додатку 1 Директиви Птахів, 30 іншим мігруючим видам, вказані в Додатку до Конвенції по збереженню мігруючих видів диких тварин (Бонн), 7 видам, які знаходяться під загрозою на світовому рівні.</w:t>
      </w:r>
    </w:p>
    <w:p w:rsidR="00642FB4" w:rsidRDefault="00642FB4">
      <w:pPr>
        <w:autoSpaceDE w:val="0"/>
        <w:autoSpaceDN w:val="0"/>
        <w:adjustRightInd w:val="0"/>
        <w:spacing w:before="60" w:after="60" w:line="288" w:lineRule="auto"/>
        <w:ind w:firstLine="720"/>
        <w:jc w:val="both"/>
        <w:rPr>
          <w:i/>
          <w:iCs/>
          <w:lang w:val="uk-UA"/>
        </w:rPr>
      </w:pPr>
      <w:r>
        <w:rPr>
          <w:lang w:val="uk-UA" w:eastAsia="uk-UA"/>
        </w:rPr>
        <w:t xml:space="preserve">Територія важлива для наступних видів, що кубляться: </w:t>
      </w:r>
      <w:r>
        <w:rPr>
          <w:i/>
          <w:iCs/>
          <w:lang w:val="uk-UA" w:eastAsia="uk-UA"/>
        </w:rPr>
        <w:t>Burhinus oedicnemus (Авдотка), Caprimulgus europaeus (Звичайна дрімлюга), Calandrella brachydactyla (Малий жайворонок), Oenanţe pleschanka (Каменка-плешанка).</w:t>
      </w:r>
    </w:p>
    <w:p w:rsidR="00642FB4" w:rsidRDefault="00642FB4">
      <w:pPr>
        <w:autoSpaceDE w:val="0"/>
        <w:autoSpaceDN w:val="0"/>
        <w:adjustRightInd w:val="0"/>
        <w:spacing w:before="60" w:after="60" w:line="288" w:lineRule="auto"/>
        <w:jc w:val="both"/>
        <w:rPr>
          <w:b/>
          <w:bCs/>
          <w:lang w:val="uk-UA"/>
        </w:rPr>
      </w:pPr>
      <w:r>
        <w:rPr>
          <w:lang w:val="uk-UA" w:eastAsia="uk-UA"/>
        </w:rPr>
        <w:t xml:space="preserve">Територія використовується також для зимівлі наступними видами: </w:t>
      </w:r>
      <w:r>
        <w:rPr>
          <w:i/>
          <w:iCs/>
          <w:lang w:val="uk-UA" w:eastAsia="uk-UA"/>
        </w:rPr>
        <w:t>Branta ruficollis (</w:t>
      </w:r>
      <w:r>
        <w:rPr>
          <w:rStyle w:val="st"/>
          <w:lang w:val="uk-UA" w:eastAsia="uk-UA"/>
        </w:rPr>
        <w:t>Червонозоба казарка</w:t>
      </w:r>
      <w:r>
        <w:rPr>
          <w:i/>
          <w:iCs/>
          <w:lang w:val="uk-UA" w:eastAsia="uk-UA"/>
        </w:rPr>
        <w:t>)</w:t>
      </w:r>
      <w:r>
        <w:rPr>
          <w:lang w:val="uk-UA" w:eastAsia="uk-UA"/>
        </w:rPr>
        <w:t xml:space="preserve"> і </w:t>
      </w:r>
      <w:r>
        <w:rPr>
          <w:i/>
          <w:iCs/>
          <w:lang w:val="uk-UA" w:eastAsia="uk-UA"/>
        </w:rPr>
        <w:t>Circus cyaneus (</w:t>
      </w:r>
      <w:r>
        <w:rPr>
          <w:rStyle w:val="st"/>
          <w:lang w:val="uk-UA" w:eastAsia="uk-UA"/>
        </w:rPr>
        <w:t>Польовий лунь, або звичайний лунь</w:t>
      </w:r>
      <w:r>
        <w:rPr>
          <w:i/>
          <w:iCs/>
          <w:lang w:val="uk-UA" w:eastAsia="uk-UA"/>
        </w:rPr>
        <w:t>)</w:t>
      </w:r>
      <w:r>
        <w:rPr>
          <w:lang w:val="uk-UA" w:eastAsia="uk-UA"/>
        </w:rPr>
        <w:t>.</w:t>
      </w:r>
    </w:p>
    <w:p w:rsidR="00642FB4" w:rsidRDefault="00642FB4">
      <w:pPr>
        <w:spacing w:before="60" w:after="60" w:line="288" w:lineRule="auto"/>
        <w:jc w:val="both"/>
        <w:rPr>
          <w:lang w:val="uk-UA"/>
        </w:rPr>
      </w:pPr>
    </w:p>
    <w:p w:rsidR="00642FB4" w:rsidRDefault="00642FB4">
      <w:pPr>
        <w:spacing w:before="60" w:after="60" w:line="288" w:lineRule="auto"/>
        <w:jc w:val="both"/>
        <w:rPr>
          <w:lang w:val="uk-UA"/>
        </w:rPr>
      </w:pPr>
    </w:p>
    <w:p w:rsidR="00642FB4" w:rsidRDefault="00642FB4">
      <w:pPr>
        <w:spacing w:before="60" w:after="60" w:line="288" w:lineRule="auto"/>
        <w:jc w:val="both"/>
        <w:rPr>
          <w:lang w:val="uk-UA"/>
        </w:rPr>
      </w:pPr>
    </w:p>
    <w:p w:rsidR="00642FB4" w:rsidRDefault="00642FB4">
      <w:pPr>
        <w:numPr>
          <w:ilvl w:val="0"/>
          <w:numId w:val="12"/>
        </w:numPr>
        <w:spacing w:before="60" w:after="60" w:line="288" w:lineRule="auto"/>
        <w:ind w:left="1080"/>
        <w:jc w:val="both"/>
        <w:rPr>
          <w:b/>
          <w:bCs/>
          <w:lang w:val="uk-UA"/>
        </w:rPr>
      </w:pPr>
      <w:r>
        <w:rPr>
          <w:b/>
          <w:bCs/>
          <w:lang w:val="uk-UA" w:eastAsia="uk-UA"/>
        </w:rPr>
        <w:t xml:space="preserve">ROSPA 0076 Мечін Нікуліцєл  </w:t>
      </w:r>
    </w:p>
    <w:p w:rsidR="00642FB4" w:rsidRDefault="00642FB4">
      <w:pPr>
        <w:spacing w:before="60" w:after="60" w:line="288" w:lineRule="auto"/>
        <w:ind w:firstLine="709"/>
        <w:jc w:val="both"/>
        <w:rPr>
          <w:lang w:val="uk-UA"/>
        </w:rPr>
      </w:pPr>
      <w:r>
        <w:rPr>
          <w:lang w:val="uk-UA" w:eastAsia="uk-UA"/>
        </w:rPr>
        <w:t>Це одне з самих важливих місць Румунії з погляду великої кількості хижих птахів, що кубляться: могильник (</w:t>
      </w:r>
      <w:r>
        <w:rPr>
          <w:i/>
          <w:iCs/>
          <w:lang w:val="uk-UA" w:eastAsia="uk-UA"/>
        </w:rPr>
        <w:t>Aquila heliaca</w:t>
      </w:r>
      <w:r>
        <w:rPr>
          <w:lang w:val="uk-UA" w:eastAsia="uk-UA"/>
        </w:rPr>
        <w:t>), Малий підорлик (Aquila pomarina), орел-карлик (</w:t>
      </w:r>
      <w:r>
        <w:rPr>
          <w:i/>
          <w:iCs/>
          <w:lang w:val="uk-UA" w:eastAsia="uk-UA"/>
        </w:rPr>
        <w:t>Hieraaetus pennatus</w:t>
      </w:r>
      <w:r>
        <w:rPr>
          <w:lang w:val="uk-UA" w:eastAsia="uk-UA"/>
        </w:rPr>
        <w:t>), змієїд (або звичайний змієїд, орел-змієїд або крачун) (</w:t>
      </w:r>
      <w:r>
        <w:rPr>
          <w:i/>
          <w:iCs/>
          <w:lang w:val="uk-UA" w:eastAsia="uk-UA"/>
        </w:rPr>
        <w:t>Circaetus gallicus</w:t>
      </w:r>
      <w:r>
        <w:rPr>
          <w:lang w:val="uk-UA" w:eastAsia="uk-UA"/>
        </w:rPr>
        <w:t>), осоїд (</w:t>
      </w:r>
      <w:r>
        <w:rPr>
          <w:i/>
          <w:iCs/>
          <w:lang w:val="uk-UA" w:eastAsia="uk-UA"/>
        </w:rPr>
        <w:t>Pernis apivorus</w:t>
      </w:r>
      <w:r>
        <w:rPr>
          <w:lang w:val="uk-UA" w:eastAsia="uk-UA"/>
        </w:rPr>
        <w:t>), курганник (</w:t>
      </w:r>
      <w:r>
        <w:rPr>
          <w:i/>
          <w:iCs/>
          <w:lang w:val="uk-UA" w:eastAsia="uk-UA"/>
        </w:rPr>
        <w:t>Buteo rufinus</w:t>
      </w:r>
      <w:r>
        <w:rPr>
          <w:lang w:val="uk-UA" w:eastAsia="uk-UA"/>
        </w:rPr>
        <w:t>), європейський тювик (</w:t>
      </w:r>
      <w:r>
        <w:rPr>
          <w:i/>
          <w:iCs/>
          <w:lang w:val="uk-UA" w:eastAsia="uk-UA"/>
        </w:rPr>
        <w:t>Accipiter brevipes</w:t>
      </w:r>
      <w:r>
        <w:rPr>
          <w:lang w:val="uk-UA" w:eastAsia="uk-UA"/>
        </w:rPr>
        <w:t>), Балобан (</w:t>
      </w:r>
      <w:r>
        <w:rPr>
          <w:i/>
          <w:iCs/>
          <w:lang w:val="uk-UA" w:eastAsia="uk-UA"/>
        </w:rPr>
        <w:t>Falco cherrug</w:t>
      </w:r>
      <w:r>
        <w:rPr>
          <w:lang w:val="uk-UA" w:eastAsia="uk-UA"/>
        </w:rPr>
        <w:t>) і нічні хижаки пугач (</w:t>
      </w:r>
      <w:r>
        <w:rPr>
          <w:i/>
          <w:iCs/>
          <w:lang w:val="uk-UA" w:eastAsia="uk-UA"/>
        </w:rPr>
        <w:t>Bubo bubo</w:t>
      </w:r>
      <w:r>
        <w:rPr>
          <w:lang w:val="uk-UA" w:eastAsia="uk-UA"/>
        </w:rPr>
        <w:t>), вухата сова (</w:t>
      </w:r>
      <w:r>
        <w:rPr>
          <w:i/>
          <w:iCs/>
          <w:lang w:val="uk-UA" w:eastAsia="uk-UA"/>
        </w:rPr>
        <w:t>Asio otus</w:t>
      </w:r>
      <w:r>
        <w:rPr>
          <w:lang w:val="uk-UA" w:eastAsia="uk-UA"/>
        </w:rPr>
        <w:t>)</w:t>
      </w:r>
    </w:p>
    <w:p w:rsidR="00642FB4" w:rsidRDefault="001C33BE">
      <w:pPr>
        <w:autoSpaceDE w:val="0"/>
        <w:autoSpaceDN w:val="0"/>
        <w:adjustRightInd w:val="0"/>
        <w:spacing w:before="60" w:after="60" w:line="288" w:lineRule="auto"/>
        <w:ind w:firstLine="709"/>
        <w:jc w:val="both"/>
        <w:rPr>
          <w:lang w:val="uk-UA"/>
        </w:rPr>
      </w:pPr>
      <w:r>
        <w:rPr>
          <w:noProof/>
          <w:lang w:val="en-US" w:eastAsia="en-US"/>
        </w:rPr>
        <w:drawing>
          <wp:anchor distT="0" distB="0" distL="114300" distR="114300" simplePos="0" relativeHeight="251659776" behindDoc="1" locked="0" layoutInCell="1" allowOverlap="1" wp14:anchorId="18FD509A" wp14:editId="4909E475">
            <wp:simplePos x="0" y="0"/>
            <wp:positionH relativeFrom="column">
              <wp:posOffset>-76200</wp:posOffset>
            </wp:positionH>
            <wp:positionV relativeFrom="paragraph">
              <wp:posOffset>10160</wp:posOffset>
            </wp:positionV>
            <wp:extent cx="3779520" cy="2834640"/>
            <wp:effectExtent l="19050" t="0" r="0" b="0"/>
            <wp:wrapThrough wrapText="bothSides">
              <wp:wrapPolygon edited="0">
                <wp:start x="-109" y="0"/>
                <wp:lineTo x="-109" y="21484"/>
                <wp:lineTo x="21556" y="21484"/>
                <wp:lineTo x="21556" y="0"/>
                <wp:lineTo x="-109" y="0"/>
              </wp:wrapPolygon>
            </wp:wrapThrough>
            <wp:docPr id="38" name="Picture 6" descr="Maci Niculitel 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 Niculitel SPA"/>
                    <pic:cNvPicPr>
                      <a:picLocks noChangeAspect="1" noChangeArrowheads="1"/>
                    </pic:cNvPicPr>
                  </pic:nvPicPr>
                  <pic:blipFill>
                    <a:blip r:embed="rId62" cstate="print"/>
                    <a:srcRect/>
                    <a:stretch>
                      <a:fillRect/>
                    </a:stretch>
                  </pic:blipFill>
                  <pic:spPr bwMode="auto">
                    <a:xfrm>
                      <a:off x="0" y="0"/>
                      <a:ext cx="3779520" cy="2834640"/>
                    </a:xfrm>
                    <a:prstGeom prst="rect">
                      <a:avLst/>
                    </a:prstGeom>
                    <a:noFill/>
                    <a:ln w="9525">
                      <a:noFill/>
                      <a:miter lim="800000"/>
                      <a:headEnd/>
                      <a:tailEnd/>
                    </a:ln>
                  </pic:spPr>
                </pic:pic>
              </a:graphicData>
            </a:graphic>
          </wp:anchor>
        </w:drawing>
      </w:r>
      <w:r w:rsidR="00642FB4">
        <w:rPr>
          <w:lang w:val="uk-UA" w:eastAsia="uk-UA"/>
        </w:rPr>
        <w:t xml:space="preserve">Ця територія надає притулок значній кількості захищених видів птахів: 56 видів з Додатку 1 Директиви Птахів, 123 інших мігруючих видів, вказані в Додатку до Конвенції по збереженню мігруючих видів диких тварин (Бонн), 10 видів, які знаходяться під загрозою на світовому рівні. </w:t>
      </w:r>
    </w:p>
    <w:p w:rsidR="00642FB4" w:rsidRDefault="00642FB4">
      <w:pPr>
        <w:autoSpaceDE w:val="0"/>
        <w:autoSpaceDN w:val="0"/>
        <w:adjustRightInd w:val="0"/>
        <w:spacing w:before="60" w:after="60" w:line="288" w:lineRule="auto"/>
        <w:jc w:val="both"/>
        <w:rPr>
          <w:i/>
          <w:iCs/>
          <w:lang w:val="uk-UA"/>
        </w:rPr>
      </w:pPr>
      <w:r>
        <w:rPr>
          <w:lang w:val="uk-UA"/>
        </w:rPr>
        <w:t xml:space="preserve"> </w:t>
      </w:r>
      <w:r>
        <w:rPr>
          <w:lang w:val="uk-UA"/>
        </w:rPr>
        <w:tab/>
      </w:r>
      <w:r>
        <w:rPr>
          <w:lang w:val="uk-UA" w:eastAsia="uk-UA"/>
        </w:rPr>
        <w:t xml:space="preserve">Територія важлива для птахів наступних видів, що кубляться: </w:t>
      </w:r>
      <w:r>
        <w:rPr>
          <w:i/>
          <w:iCs/>
          <w:lang w:val="uk-UA" w:eastAsia="uk-UA"/>
        </w:rPr>
        <w:t xml:space="preserve">Falco cherrug, Coracias garrulus, Ciconia ciconia, Accipiter brevipes, Burhinus oedicnemus, Oenante pleschanka, Circaetus gallicus, Buteo rufinus, Emberiza hortulana, Caprimulgus europaeus, Hieraaetus pennatus, Lullula arborea. </w:t>
      </w:r>
    </w:p>
    <w:p w:rsidR="00642FB4" w:rsidRDefault="00642FB4">
      <w:pPr>
        <w:autoSpaceDE w:val="0"/>
        <w:autoSpaceDN w:val="0"/>
        <w:adjustRightInd w:val="0"/>
        <w:spacing w:before="60" w:after="60" w:line="288" w:lineRule="auto"/>
        <w:ind w:firstLine="709"/>
        <w:jc w:val="both"/>
        <w:rPr>
          <w:i/>
          <w:iCs/>
          <w:lang w:val="uk-UA"/>
        </w:rPr>
      </w:pPr>
      <w:r>
        <w:rPr>
          <w:lang w:val="uk-UA" w:eastAsia="uk-UA"/>
        </w:rPr>
        <w:t xml:space="preserve">В період міграції, територія важлива для наступних видів птахів: </w:t>
      </w:r>
      <w:r>
        <w:rPr>
          <w:i/>
          <w:iCs/>
          <w:lang w:val="uk-UA" w:eastAsia="uk-UA"/>
        </w:rPr>
        <w:t>Ciconia ciconia, Accipiter brevipes, Circaetus gallicus, Buteo rufinus, Hieraaetus pennatus, Lanius collurio, Gyps fulvus, Ficedula parva, Galerida cristata, Lullula arborea, Falco vespertinus, Neophron percnopterus Pandion haliaetus, Nycticorax nycticorax, Ciconia nigra, Himantopus himantopus, Haliaeetus albicilla, Recurvirostra avosetta, Tringa glareola, Pelecanus onocrotalus, Pelecanus crispus, Ardea purpurea, Plegadis falcinellus, Platalea leucorodia, Chlidonias hybridus, Pernis apivorus, Antus campestris, Aquila pomarina, Aquila heliaca, Aquila chrysaetos, Aquila clanga, Circus macrourus, Circus aeruginosus, Falco peregrinus, Milvus migrans, Phalacrocorax pygmaeus, Egretta alba.</w:t>
      </w:r>
    </w:p>
    <w:p w:rsidR="00642FB4" w:rsidRDefault="00642FB4">
      <w:pPr>
        <w:autoSpaceDE w:val="0"/>
        <w:autoSpaceDN w:val="0"/>
        <w:adjustRightInd w:val="0"/>
        <w:spacing w:before="60" w:after="60" w:line="288" w:lineRule="auto"/>
        <w:jc w:val="both"/>
        <w:rPr>
          <w:b/>
          <w:bCs/>
          <w:i/>
          <w:iCs/>
        </w:rPr>
      </w:pPr>
    </w:p>
    <w:p w:rsidR="00642FB4" w:rsidRDefault="006C74EB">
      <w:pPr>
        <w:numPr>
          <w:ilvl w:val="0"/>
          <w:numId w:val="12"/>
        </w:numPr>
        <w:spacing w:before="60" w:after="60" w:line="288" w:lineRule="auto"/>
        <w:jc w:val="both"/>
        <w:rPr>
          <w:b/>
          <w:bCs/>
          <w:lang w:val="ru-RU"/>
        </w:rPr>
      </w:pPr>
      <w:r>
        <w:rPr>
          <w:noProof/>
          <w:lang w:val="en-GB" w:eastAsia="en-GB"/>
        </w:rPr>
        <w:object w:dxaOrig="0" w:dyaOrig="0">
          <v:shape id="_x0000_s1040" type="#_x0000_t75" style="position:absolute;left:0;text-align:left;margin-left:-6pt;margin-top:.75pt;width:245.65pt;height:165.4pt;z-index:-251658752" wrapcoords="-66 0 -66 21502 21600 21502 21600 0 -66 0" o:allowoverlap="f">
            <v:imagedata r:id="rId63" o:title=""/>
            <w10:wrap type="through"/>
          </v:shape>
          <o:OLEObject Type="Embed" ProgID="PowerPoint.Slide.8" ShapeID="_x0000_s1040" DrawAspect="Content" ObjectID="_1493542071" r:id="rId64"/>
        </w:object>
      </w:r>
      <w:r w:rsidR="00642FB4">
        <w:rPr>
          <w:b/>
          <w:bCs/>
          <w:lang w:val="uk-UA" w:eastAsia="uk-UA"/>
        </w:rPr>
        <w:t xml:space="preserve">ROSPA 0091 Ліс Бабадаг </w:t>
      </w:r>
    </w:p>
    <w:p w:rsidR="00642FB4" w:rsidRDefault="00642FB4">
      <w:pPr>
        <w:spacing w:before="60" w:after="60" w:line="288" w:lineRule="auto"/>
        <w:ind w:firstLine="360"/>
        <w:jc w:val="both"/>
        <w:rPr>
          <w:lang w:val="ru-RU"/>
        </w:rPr>
      </w:pPr>
      <w:r>
        <w:rPr>
          <w:lang w:val="uk-UA" w:eastAsia="uk-UA"/>
        </w:rPr>
        <w:t>Це найважливіший ліс з Доброджі, який володіє дуже важливою роллю під час міграції і зимівлі тисячі хижих птахів і інших видів птахів, які зупиняються тут для живлення.</w:t>
      </w:r>
    </w:p>
    <w:p w:rsidR="00642FB4" w:rsidRDefault="00642FB4">
      <w:pPr>
        <w:spacing w:before="60" w:after="60" w:line="288" w:lineRule="auto"/>
        <w:ind w:firstLine="360"/>
        <w:jc w:val="both"/>
      </w:pPr>
      <w:r>
        <w:rPr>
          <w:lang w:val="uk-UA" w:eastAsia="uk-UA"/>
        </w:rPr>
        <w:t xml:space="preserve">Важливі види зони: </w:t>
      </w:r>
      <w:r>
        <w:rPr>
          <w:i/>
          <w:iCs/>
          <w:lang w:val="uk-UA" w:eastAsia="uk-UA"/>
        </w:rPr>
        <w:t>Caprimulgus europaeus</w:t>
      </w:r>
      <w:r>
        <w:rPr>
          <w:lang w:val="uk-UA" w:eastAsia="uk-UA"/>
        </w:rPr>
        <w:t xml:space="preserve"> (звичайна дрімлюга) </w:t>
      </w:r>
      <w:r>
        <w:rPr>
          <w:i/>
          <w:iCs/>
          <w:lang w:val="uk-UA" w:eastAsia="uk-UA"/>
        </w:rPr>
        <w:t>Coracias garrulus</w:t>
      </w:r>
      <w:r>
        <w:rPr>
          <w:lang w:val="uk-UA" w:eastAsia="uk-UA"/>
        </w:rPr>
        <w:t xml:space="preserve"> (Сизоворомнка, обыкновемнная сизоворомнка, сивоворонка, або ракша) </w:t>
      </w:r>
      <w:r>
        <w:rPr>
          <w:i/>
          <w:iCs/>
          <w:lang w:val="uk-UA" w:eastAsia="uk-UA"/>
        </w:rPr>
        <w:t>Emberiza hortulana</w:t>
      </w:r>
      <w:r>
        <w:rPr>
          <w:lang w:val="uk-UA" w:eastAsia="uk-UA"/>
        </w:rPr>
        <w:t xml:space="preserve"> (садова вівсянка), </w:t>
      </w:r>
      <w:r>
        <w:rPr>
          <w:i/>
          <w:iCs/>
          <w:lang w:val="uk-UA" w:eastAsia="uk-UA"/>
        </w:rPr>
        <w:t>Dendrocopos medius</w:t>
      </w:r>
      <w:r>
        <w:rPr>
          <w:lang w:val="uk-UA" w:eastAsia="uk-UA"/>
        </w:rPr>
        <w:t xml:space="preserve"> (Середній строкатий дятел, середній дятел або верткий дятел), </w:t>
      </w:r>
      <w:r>
        <w:rPr>
          <w:i/>
          <w:iCs/>
          <w:lang w:val="uk-UA" w:eastAsia="uk-UA"/>
        </w:rPr>
        <w:t>Dryocopus martius</w:t>
      </w:r>
      <w:r>
        <w:rPr>
          <w:lang w:val="uk-UA" w:eastAsia="uk-UA"/>
        </w:rPr>
        <w:t xml:space="preserve"> (желна). </w:t>
      </w:r>
    </w:p>
    <w:p w:rsidR="00642FB4" w:rsidRDefault="00642FB4">
      <w:pPr>
        <w:autoSpaceDE w:val="0"/>
        <w:autoSpaceDN w:val="0"/>
        <w:adjustRightInd w:val="0"/>
        <w:spacing w:before="60" w:after="60" w:line="288" w:lineRule="auto"/>
        <w:ind w:firstLine="709"/>
        <w:jc w:val="both"/>
        <w:rPr>
          <w:lang w:val="uk-UA"/>
        </w:rPr>
      </w:pPr>
      <w:r>
        <w:rPr>
          <w:lang w:val="uk-UA" w:eastAsia="uk-UA"/>
        </w:rPr>
        <w:t>Ця територія надає притулок значній кількості захищених видів птахів: 38 видам з Додатку 1 Директиви птахів, 61 виду іншим мігруючим видам, вказані в Додатку до Конвенції по збереженню мігруючих видів диких тварин (Бонн) і 6 видам які знаходяться під загрозою на світовому рівні.</w:t>
      </w:r>
    </w:p>
    <w:p w:rsidR="00642FB4" w:rsidRDefault="00642FB4">
      <w:pPr>
        <w:autoSpaceDE w:val="0"/>
        <w:autoSpaceDN w:val="0"/>
        <w:adjustRightInd w:val="0"/>
        <w:spacing w:before="60" w:after="60" w:line="288" w:lineRule="auto"/>
        <w:jc w:val="both"/>
        <w:rPr>
          <w:lang w:val="uk-UA"/>
        </w:rPr>
      </w:pPr>
      <w:r>
        <w:rPr>
          <w:lang w:val="uk-UA" w:eastAsia="uk-UA"/>
        </w:rPr>
        <w:t xml:space="preserve">Територія важлива для птахів наступних видів, що кубляться: </w:t>
      </w:r>
      <w:r>
        <w:rPr>
          <w:i/>
          <w:iCs/>
          <w:lang w:val="uk-UA" w:eastAsia="uk-UA"/>
        </w:rPr>
        <w:t xml:space="preserve">Falco vespertinus, Falco cherrug, Coracias garrulus, Hieraaetus pennatus, Accipiter brevipes, Circaetus gallicus, Circus pygargus, Oenanţe pleschanka, Picus canus, Milvus migrans, Dendrocopos medius, </w:t>
      </w:r>
      <w:r>
        <w:rPr>
          <w:lang w:val="uk-UA" w:eastAsia="uk-UA"/>
        </w:rPr>
        <w:t>Територія важлива в період міграції для видів:</w:t>
      </w:r>
      <w:r>
        <w:rPr>
          <w:i/>
          <w:iCs/>
          <w:lang w:val="uk-UA" w:eastAsia="uk-UA"/>
        </w:rPr>
        <w:t xml:space="preserve"> Haliaeetus albicilla, Ficedula parva, Ciconia ciconia.</w:t>
      </w:r>
    </w:p>
    <w:p w:rsidR="00642FB4" w:rsidRDefault="00642FB4">
      <w:pPr>
        <w:autoSpaceDE w:val="0"/>
        <w:autoSpaceDN w:val="0"/>
        <w:adjustRightInd w:val="0"/>
        <w:spacing w:before="60" w:after="60" w:line="288" w:lineRule="auto"/>
        <w:jc w:val="both"/>
        <w:rPr>
          <w:b/>
          <w:bCs/>
          <w:lang w:val="uk-UA"/>
        </w:rPr>
      </w:pPr>
      <w:r>
        <w:rPr>
          <w:lang w:val="uk-UA" w:eastAsia="uk-UA"/>
        </w:rPr>
        <w:t xml:space="preserve">Територія важлива для зимівлі наступних видів: </w:t>
      </w:r>
      <w:r>
        <w:rPr>
          <w:i/>
          <w:iCs/>
          <w:lang w:val="uk-UA" w:eastAsia="uk-UA"/>
        </w:rPr>
        <w:t xml:space="preserve">Circus macrourus </w:t>
      </w:r>
      <w:r>
        <w:rPr>
          <w:lang w:val="uk-UA" w:eastAsia="uk-UA"/>
        </w:rPr>
        <w:t xml:space="preserve">і </w:t>
      </w:r>
      <w:r>
        <w:rPr>
          <w:i/>
          <w:iCs/>
          <w:lang w:val="uk-UA" w:eastAsia="uk-UA"/>
        </w:rPr>
        <w:t>Circus cyaneus (Польовий лунь, або звичайний лунь)</w:t>
      </w:r>
      <w:r>
        <w:rPr>
          <w:lang w:val="uk-UA" w:eastAsia="uk-UA"/>
        </w:rPr>
        <w:t>.</w:t>
      </w:r>
    </w:p>
    <w:p w:rsidR="00642FB4" w:rsidRDefault="00642FB4">
      <w:pPr>
        <w:spacing w:before="60" w:after="60" w:line="288" w:lineRule="auto"/>
        <w:ind w:left="360"/>
        <w:jc w:val="both"/>
        <w:rPr>
          <w:b/>
          <w:bCs/>
          <w:lang w:val="uk-UA"/>
        </w:rPr>
      </w:pPr>
    </w:p>
    <w:p w:rsidR="00642FB4" w:rsidRDefault="00642FB4">
      <w:pPr>
        <w:numPr>
          <w:ilvl w:val="0"/>
          <w:numId w:val="12"/>
        </w:numPr>
        <w:spacing w:before="60" w:after="60" w:line="288" w:lineRule="auto"/>
        <w:ind w:left="1080"/>
        <w:jc w:val="both"/>
        <w:rPr>
          <w:b/>
          <w:bCs/>
          <w:lang w:val="ru-RU"/>
        </w:rPr>
      </w:pPr>
      <w:r>
        <w:rPr>
          <w:b/>
          <w:bCs/>
          <w:lang w:val="uk-UA" w:eastAsia="uk-UA"/>
        </w:rPr>
        <w:t>ROSPA 0100 Степ Касімча</w:t>
      </w:r>
    </w:p>
    <w:p w:rsidR="00642FB4" w:rsidRDefault="00642FB4">
      <w:pPr>
        <w:spacing w:before="60" w:after="60" w:line="288" w:lineRule="auto"/>
        <w:ind w:firstLine="709"/>
        <w:jc w:val="both"/>
        <w:rPr>
          <w:lang w:val="uk-UA"/>
        </w:rPr>
      </w:pPr>
      <w:r>
        <w:rPr>
          <w:lang w:val="uk-UA" w:eastAsia="uk-UA"/>
        </w:rPr>
        <w:t>Це територія на якій знаходиться значна кількість видів птахів, які знаходяться під загрозою на світовому рівні і є місцем харчування, міграції, зимівлі великої кількості (тисяч) гусаків червонозоба казарка (</w:t>
      </w:r>
      <w:r>
        <w:rPr>
          <w:i/>
          <w:iCs/>
          <w:lang w:val="uk-UA" w:eastAsia="uk-UA"/>
        </w:rPr>
        <w:t>Branta ruficollis)</w:t>
      </w:r>
      <w:r>
        <w:rPr>
          <w:lang w:val="uk-UA" w:eastAsia="uk-UA"/>
        </w:rPr>
        <w:t xml:space="preserve"> і хижих птахів (орел, змієїд, або звичайний змієїд, орел-змієїд або крачун, яструб, балобан).</w:t>
      </w:r>
    </w:p>
    <w:p w:rsidR="00642FB4" w:rsidRDefault="00642FB4">
      <w:pPr>
        <w:autoSpaceDE w:val="0"/>
        <w:autoSpaceDN w:val="0"/>
        <w:adjustRightInd w:val="0"/>
        <w:spacing w:before="60" w:after="60" w:line="288" w:lineRule="auto"/>
        <w:ind w:firstLine="709"/>
        <w:jc w:val="both"/>
        <w:rPr>
          <w:lang w:val="uk-UA"/>
        </w:rPr>
      </w:pPr>
      <w:r>
        <w:rPr>
          <w:lang w:val="uk-UA" w:eastAsia="uk-UA"/>
        </w:rPr>
        <w:t>Ця територія надає притулок значній кількості захищених видів птахів: 28 видам з Додатку 1 Директиви птахів, 37 видам іншим мігруючим видам, вказані в Додатку до Конвенції по збереженню мігруючих видів диких тварин (Бонн) і 5 видам які знаходяться під загрозою на світовому рівні.</w:t>
      </w:r>
    </w:p>
    <w:p w:rsidR="00642FB4" w:rsidRDefault="00642FB4">
      <w:pPr>
        <w:autoSpaceDE w:val="0"/>
        <w:autoSpaceDN w:val="0"/>
        <w:adjustRightInd w:val="0"/>
        <w:spacing w:before="60" w:after="60" w:line="288" w:lineRule="auto"/>
        <w:ind w:firstLine="709"/>
        <w:jc w:val="both"/>
        <w:rPr>
          <w:i/>
          <w:iCs/>
          <w:lang w:val="uk-UA"/>
        </w:rPr>
      </w:pPr>
      <w:r>
        <w:rPr>
          <w:lang w:val="uk-UA" w:eastAsia="uk-UA"/>
        </w:rPr>
        <w:t xml:space="preserve">Територія важлива для птахів наступних видів, що кубляться: </w:t>
      </w:r>
      <w:r>
        <w:rPr>
          <w:i/>
          <w:iCs/>
          <w:lang w:val="uk-UA" w:eastAsia="uk-UA"/>
        </w:rPr>
        <w:t>Coracias garrulus, Falco cherrug, Falco vespertinus, Aquila heliaca, Anţus campestris, Accipiter brevipes, Calandrella brachydactyla, Buteo rufinus, Milvus migrans, Pernis apivorus, Lanius collurio, Lullula arborea, Oenanţe pleschanka, Lanius minor, Melanocorypha calandra, Burhinus oedicnemus, Circaetus gallicus, Galerida cristata, Aquila pomarina, Dendrocopos syriacus, Emberiza hortulana.</w:t>
      </w:r>
    </w:p>
    <w:p w:rsidR="00642FB4" w:rsidRDefault="00642FB4">
      <w:pPr>
        <w:autoSpaceDE w:val="0"/>
        <w:autoSpaceDN w:val="0"/>
        <w:adjustRightInd w:val="0"/>
        <w:spacing w:before="60" w:after="60" w:line="288" w:lineRule="auto"/>
        <w:ind w:firstLine="720"/>
        <w:jc w:val="both"/>
        <w:rPr>
          <w:b/>
          <w:bCs/>
          <w:i/>
          <w:iCs/>
          <w:lang w:val="uk-UA"/>
        </w:rPr>
      </w:pPr>
      <w:r>
        <w:rPr>
          <w:lang w:val="uk-UA" w:eastAsia="uk-UA"/>
        </w:rPr>
        <w:t xml:space="preserve">В період міграції, територія важлива для наступних видів птахів: </w:t>
      </w:r>
      <w:r>
        <w:rPr>
          <w:i/>
          <w:iCs/>
          <w:lang w:val="uk-UA" w:eastAsia="uk-UA"/>
        </w:rPr>
        <w:t>Falco vespertinus, Accipiter brevipes, Hieraaetus pennatus, Falco peregrinus, Circus cyaneus (Польовий лунь, або звичайний лунь), Aquila pomarina, Ficedula albicollis, Circus macrourus, Circus pygargus.</w:t>
      </w:r>
    </w:p>
    <w:p w:rsidR="00642FB4" w:rsidRDefault="00642FB4">
      <w:pPr>
        <w:spacing w:before="60" w:after="60" w:line="288" w:lineRule="auto"/>
        <w:jc w:val="both"/>
        <w:rPr>
          <w:b/>
          <w:bCs/>
          <w:lang w:val="uk-UA"/>
        </w:rPr>
      </w:pPr>
    </w:p>
    <w:p w:rsidR="00642FB4" w:rsidRDefault="00642FB4">
      <w:pPr>
        <w:numPr>
          <w:ilvl w:val="0"/>
          <w:numId w:val="12"/>
        </w:numPr>
        <w:spacing w:before="60" w:after="60" w:line="288" w:lineRule="auto"/>
        <w:ind w:left="1080"/>
        <w:jc w:val="both"/>
        <w:rPr>
          <w:b/>
          <w:bCs/>
          <w:lang w:val="uk-UA"/>
        </w:rPr>
      </w:pPr>
      <w:r>
        <w:rPr>
          <w:b/>
          <w:bCs/>
          <w:lang w:val="uk-UA" w:eastAsia="uk-UA"/>
        </w:rPr>
        <w:t>ROSPA 0032 Денис Тепе</w:t>
      </w:r>
    </w:p>
    <w:p w:rsidR="00642FB4" w:rsidRDefault="00642FB4">
      <w:pPr>
        <w:autoSpaceDE w:val="0"/>
        <w:autoSpaceDN w:val="0"/>
        <w:adjustRightInd w:val="0"/>
        <w:spacing w:before="60" w:after="60" w:line="288" w:lineRule="auto"/>
        <w:ind w:firstLine="709"/>
        <w:jc w:val="both"/>
        <w:rPr>
          <w:i/>
          <w:iCs/>
          <w:lang w:val="uk-UA"/>
        </w:rPr>
      </w:pPr>
      <w:r>
        <w:rPr>
          <w:lang w:val="uk-UA" w:eastAsia="uk-UA"/>
        </w:rPr>
        <w:t xml:space="preserve">У зоні кубляться або можна зустріти під час міграції багато видів хижих птахів: європейський тювик </w:t>
      </w:r>
      <w:r>
        <w:rPr>
          <w:i/>
          <w:iCs/>
          <w:lang w:val="uk-UA" w:eastAsia="uk-UA"/>
        </w:rPr>
        <w:t xml:space="preserve">(Accipiter brevipes), </w:t>
      </w:r>
      <w:r>
        <w:rPr>
          <w:lang w:val="uk-UA" w:eastAsia="uk-UA"/>
        </w:rPr>
        <w:t>могильник (</w:t>
      </w:r>
      <w:r>
        <w:rPr>
          <w:i/>
          <w:iCs/>
          <w:lang w:val="uk-UA" w:eastAsia="uk-UA"/>
        </w:rPr>
        <w:t>Aquila</w:t>
      </w:r>
      <w:r>
        <w:rPr>
          <w:lang w:val="uk-UA" w:eastAsia="uk-UA"/>
        </w:rPr>
        <w:t xml:space="preserve"> </w:t>
      </w:r>
      <w:r>
        <w:rPr>
          <w:i/>
          <w:iCs/>
          <w:lang w:val="uk-UA" w:eastAsia="uk-UA"/>
        </w:rPr>
        <w:t>heliaca)</w:t>
      </w:r>
      <w:r>
        <w:rPr>
          <w:lang w:val="uk-UA" w:eastAsia="uk-UA"/>
        </w:rPr>
        <w:t xml:space="preserve">, пугач (Bubo </w:t>
      </w:r>
      <w:r>
        <w:rPr>
          <w:i/>
          <w:iCs/>
          <w:lang w:val="uk-UA" w:eastAsia="uk-UA"/>
        </w:rPr>
        <w:t>bubo)</w:t>
      </w:r>
      <w:r>
        <w:rPr>
          <w:lang w:val="uk-UA" w:eastAsia="uk-UA"/>
        </w:rPr>
        <w:t xml:space="preserve">, Малий підорлик (Aquila </w:t>
      </w:r>
      <w:r>
        <w:rPr>
          <w:i/>
          <w:iCs/>
          <w:lang w:val="uk-UA" w:eastAsia="uk-UA"/>
        </w:rPr>
        <w:t>pomarina)</w:t>
      </w:r>
      <w:r>
        <w:rPr>
          <w:lang w:val="uk-UA" w:eastAsia="uk-UA"/>
        </w:rPr>
        <w:t xml:space="preserve">, змієїд, або звичайний змієїд, орел-змієїд або крачун (Circaetus </w:t>
      </w:r>
      <w:r>
        <w:rPr>
          <w:i/>
          <w:iCs/>
          <w:lang w:val="uk-UA" w:eastAsia="uk-UA"/>
        </w:rPr>
        <w:t>gallicus)</w:t>
      </w:r>
      <w:r>
        <w:rPr>
          <w:lang w:val="uk-UA" w:eastAsia="uk-UA"/>
        </w:rPr>
        <w:t xml:space="preserve">, балобан (Falco </w:t>
      </w:r>
      <w:r>
        <w:rPr>
          <w:i/>
          <w:iCs/>
          <w:lang w:val="uk-UA" w:eastAsia="uk-UA"/>
        </w:rPr>
        <w:t>cherrug)</w:t>
      </w:r>
      <w:r>
        <w:rPr>
          <w:lang w:val="uk-UA" w:eastAsia="uk-UA"/>
        </w:rPr>
        <w:t xml:space="preserve">, луговий лунь, мисливський, білий (Circus </w:t>
      </w:r>
      <w:r>
        <w:rPr>
          <w:i/>
          <w:iCs/>
          <w:lang w:val="uk-UA" w:eastAsia="uk-UA"/>
        </w:rPr>
        <w:t xml:space="preserve">pygargus, </w:t>
      </w:r>
      <w:r>
        <w:rPr>
          <w:lang w:val="uk-UA" w:eastAsia="uk-UA"/>
        </w:rPr>
        <w:t>cyaneus</w:t>
      </w:r>
      <w:r>
        <w:rPr>
          <w:i/>
          <w:iCs/>
          <w:lang w:val="uk-UA" w:eastAsia="uk-UA"/>
        </w:rPr>
        <w:t xml:space="preserve">, </w:t>
      </w:r>
      <w:r>
        <w:rPr>
          <w:lang w:val="uk-UA" w:eastAsia="uk-UA"/>
        </w:rPr>
        <w:t>macrourus)</w:t>
      </w:r>
    </w:p>
    <w:p w:rsidR="00642FB4" w:rsidRDefault="00642FB4">
      <w:pPr>
        <w:spacing w:before="60" w:after="60" w:line="288" w:lineRule="auto"/>
        <w:ind w:firstLine="709"/>
        <w:jc w:val="both"/>
        <w:rPr>
          <w:lang w:val="uk-UA"/>
        </w:rPr>
      </w:pPr>
      <w:r>
        <w:rPr>
          <w:lang w:val="uk-UA" w:eastAsia="uk-UA"/>
        </w:rPr>
        <w:t>Ця територія надає притулок значній кількості захищених видів птахів: 25 видам з Додатку 1 Директиви птахів, 33 видам іншим мігруючим видам, вказані в Додатку до Конвенції по збереженню мігруючих видів диких тварин (Бонн) і 6 видам які знаходяться під загрозою на світовому рівні.</w:t>
      </w:r>
    </w:p>
    <w:p w:rsidR="00642FB4" w:rsidRDefault="00642FB4">
      <w:pPr>
        <w:autoSpaceDE w:val="0"/>
        <w:autoSpaceDN w:val="0"/>
        <w:adjustRightInd w:val="0"/>
        <w:spacing w:before="60" w:after="60" w:line="288" w:lineRule="auto"/>
        <w:ind w:firstLine="709"/>
        <w:jc w:val="both"/>
        <w:rPr>
          <w:i/>
          <w:iCs/>
          <w:lang w:val="uk-UA"/>
        </w:rPr>
      </w:pPr>
      <w:r>
        <w:rPr>
          <w:lang w:val="uk-UA" w:eastAsia="uk-UA"/>
        </w:rPr>
        <w:t xml:space="preserve">Територія важлива для птахів наступних видів, що кубляться: </w:t>
      </w:r>
      <w:r>
        <w:rPr>
          <w:i/>
          <w:iCs/>
          <w:lang w:val="uk-UA" w:eastAsia="uk-UA"/>
        </w:rPr>
        <w:t>Falco cherrug, Buteo ruffinus, Calandrella brachydactyla, Melanocorypha calandra, Lullula arborea, Burhinus oedicnemus.</w:t>
      </w:r>
    </w:p>
    <w:p w:rsidR="00642FB4" w:rsidRDefault="00642FB4">
      <w:pPr>
        <w:autoSpaceDE w:val="0"/>
        <w:autoSpaceDN w:val="0"/>
        <w:adjustRightInd w:val="0"/>
        <w:spacing w:before="60" w:after="60" w:line="288" w:lineRule="auto"/>
        <w:ind w:firstLine="709"/>
        <w:jc w:val="both"/>
        <w:rPr>
          <w:i/>
          <w:iCs/>
          <w:lang w:val="uk-UA"/>
        </w:rPr>
      </w:pPr>
    </w:p>
    <w:p w:rsidR="00642FB4" w:rsidRDefault="00642FB4">
      <w:pPr>
        <w:autoSpaceDE w:val="0"/>
        <w:autoSpaceDN w:val="0"/>
        <w:adjustRightInd w:val="0"/>
        <w:spacing w:before="60" w:after="60" w:line="288" w:lineRule="auto"/>
        <w:ind w:firstLine="709"/>
        <w:jc w:val="both"/>
        <w:rPr>
          <w:i/>
          <w:iCs/>
          <w:lang w:val="uk-UA"/>
        </w:rPr>
      </w:pPr>
    </w:p>
    <w:p w:rsidR="00642FB4" w:rsidRDefault="00642FB4">
      <w:pPr>
        <w:spacing w:before="60" w:after="60" w:line="288" w:lineRule="auto"/>
        <w:jc w:val="both"/>
        <w:rPr>
          <w:b/>
          <w:bCs/>
          <w:lang w:val="uk-UA"/>
        </w:rPr>
      </w:pPr>
    </w:p>
    <w:p w:rsidR="00642FB4" w:rsidRDefault="00642FB4">
      <w:pPr>
        <w:numPr>
          <w:ilvl w:val="0"/>
          <w:numId w:val="12"/>
        </w:numPr>
        <w:spacing w:before="60" w:after="60" w:line="288" w:lineRule="auto"/>
        <w:ind w:left="990" w:hanging="270"/>
        <w:jc w:val="both"/>
        <w:rPr>
          <w:b/>
          <w:bCs/>
          <w:lang w:val="ru-RU"/>
        </w:rPr>
      </w:pPr>
      <w:r>
        <w:rPr>
          <w:b/>
          <w:bCs/>
          <w:lang w:val="uk-UA" w:eastAsia="uk-UA"/>
        </w:rPr>
        <w:t xml:space="preserve">ROSPA 0052 Озеро Бейбуджяк </w:t>
      </w:r>
      <w:r>
        <w:rPr>
          <w:b/>
          <w:bCs/>
          <w:lang w:val="uk-UA" w:eastAsia="uk-UA"/>
        </w:rPr>
        <w:tab/>
      </w:r>
    </w:p>
    <w:p w:rsidR="00642FB4" w:rsidRDefault="006C74EB">
      <w:pPr>
        <w:spacing w:before="60" w:after="60" w:line="288" w:lineRule="auto"/>
        <w:jc w:val="both"/>
        <w:rPr>
          <w:lang w:val="uk-UA"/>
        </w:rPr>
      </w:pPr>
      <w:r>
        <w:rPr>
          <w:noProof/>
          <w:lang w:val="en-GB" w:eastAsia="en-GB"/>
        </w:rPr>
        <w:object w:dxaOrig="0" w:dyaOrig="0">
          <v:shape id="_x0000_s1041" type="#_x0000_t75" style="position:absolute;left:0;text-align:left;margin-left:0;margin-top:13.6pt;width:259.05pt;height:177pt;z-index:251658752" wrapcoords="-63 0 -63 21508 21600 21508 21600 0 -63 0">
            <v:imagedata r:id="rId65" o:title=""/>
            <w10:wrap type="tight"/>
          </v:shape>
          <o:OLEObject Type="Embed" ProgID="PowerPoint.Slide.8" ShapeID="_x0000_s1041" DrawAspect="Content" ObjectID="_1493542072" r:id="rId66"/>
        </w:object>
      </w:r>
      <w:r w:rsidR="00642FB4">
        <w:rPr>
          <w:lang w:val="uk-UA" w:eastAsia="uk-UA"/>
        </w:rPr>
        <w:t xml:space="preserve">Оголошене заповідником місцевого значення Вирішенням місцевої ради (HCL) № 3/2004, озеро має сейсмічне походження  і з'явилося унаслідок землетрусу 1940 року. Воно розташоване на шарах строкатого пісчаника (loess), розташованих над вапняними шарами періоду Тріаса. Озеро забезпечується головним чином дощовими водами, які стікають з навколишніх долин, інфільтраційні води Дунаю, що походять від високого рівня, з озера Разимо, яке розташоване по сусідству і не виключено і живлення від джерел. </w:t>
      </w:r>
    </w:p>
    <w:p w:rsidR="00642FB4" w:rsidRDefault="00642FB4">
      <w:pPr>
        <w:spacing w:before="60" w:after="60" w:line="288" w:lineRule="auto"/>
        <w:ind w:firstLine="709"/>
        <w:jc w:val="both"/>
        <w:rPr>
          <w:lang w:val="uk-UA"/>
        </w:rPr>
      </w:pPr>
      <w:r>
        <w:rPr>
          <w:lang w:val="uk-UA" w:eastAsia="uk-UA"/>
        </w:rPr>
        <w:t>З погляду фауни і птахів, озеро є важливим місцем відпочинку та харчування в зимовий час для тисяч гусаків: червонозоба казарка (</w:t>
      </w:r>
      <w:r>
        <w:rPr>
          <w:i/>
          <w:iCs/>
          <w:lang w:val="uk-UA" w:eastAsia="uk-UA"/>
        </w:rPr>
        <w:t>Branta ruficollis</w:t>
      </w:r>
      <w:r>
        <w:rPr>
          <w:lang w:val="uk-UA" w:eastAsia="uk-UA"/>
        </w:rPr>
        <w:t>), білолобий гусак (</w:t>
      </w:r>
      <w:r>
        <w:rPr>
          <w:i/>
          <w:iCs/>
          <w:lang w:val="uk-UA" w:eastAsia="uk-UA"/>
        </w:rPr>
        <w:t>Anser albifrons</w:t>
      </w:r>
      <w:r>
        <w:rPr>
          <w:lang w:val="uk-UA" w:eastAsia="uk-UA"/>
        </w:rPr>
        <w:t xml:space="preserve">). Протягом кожної пори року сюди збираються тисячі качок, серед яких: </w:t>
      </w:r>
      <w:r>
        <w:rPr>
          <w:i/>
          <w:iCs/>
          <w:lang w:val="uk-UA" w:eastAsia="uk-UA"/>
        </w:rPr>
        <w:t>самвка</w:t>
      </w:r>
      <w:r>
        <w:rPr>
          <w:lang w:val="uk-UA" w:eastAsia="uk-UA"/>
        </w:rPr>
        <w:t xml:space="preserve"> (</w:t>
      </w:r>
      <w:r>
        <w:rPr>
          <w:i/>
          <w:iCs/>
          <w:lang w:val="uk-UA" w:eastAsia="uk-UA"/>
        </w:rPr>
        <w:t>Oxyura leucocephala)</w:t>
      </w:r>
      <w:r>
        <w:rPr>
          <w:lang w:val="uk-UA" w:eastAsia="uk-UA"/>
        </w:rPr>
        <w:t>, білоокий нирок (</w:t>
      </w:r>
      <w:r>
        <w:rPr>
          <w:i/>
          <w:iCs/>
          <w:lang w:val="uk-UA" w:eastAsia="uk-UA"/>
        </w:rPr>
        <w:t xml:space="preserve">Aythya nyroca). </w:t>
      </w:r>
      <w:r>
        <w:rPr>
          <w:lang w:val="uk-UA" w:eastAsia="uk-UA"/>
        </w:rPr>
        <w:t>Основа, розташовані посередині озера, є місцем відпочинку тисячі чайок, сотень рожевих пеліканів і десятків кучерявих пеліканів.</w:t>
      </w:r>
    </w:p>
    <w:p w:rsidR="00642FB4" w:rsidRDefault="00642FB4">
      <w:pPr>
        <w:autoSpaceDE w:val="0"/>
        <w:autoSpaceDN w:val="0"/>
        <w:adjustRightInd w:val="0"/>
        <w:spacing w:before="60" w:after="60" w:line="288" w:lineRule="auto"/>
        <w:jc w:val="both"/>
        <w:rPr>
          <w:lang w:val="uk-UA"/>
        </w:rPr>
      </w:pPr>
      <w:r>
        <w:rPr>
          <w:lang w:val="uk-UA" w:eastAsia="uk-UA"/>
        </w:rPr>
        <w:t>Ця територія надає притулок значній кількості захищених видів птахів: 39 видам з Додатку 1 Директиви птахів, 56 видам іншим мігруючим видам, вказані в Додатку до Конвенції по збереженню мігруючих видів диких тварин (Бонн) і 7 видам які знаходяться під загрозою на світовому рівні.</w:t>
      </w:r>
    </w:p>
    <w:p w:rsidR="00642FB4" w:rsidRDefault="00642FB4">
      <w:pPr>
        <w:autoSpaceDE w:val="0"/>
        <w:autoSpaceDN w:val="0"/>
        <w:adjustRightInd w:val="0"/>
        <w:spacing w:before="60" w:after="60" w:line="288" w:lineRule="auto"/>
        <w:ind w:firstLine="709"/>
        <w:jc w:val="both"/>
        <w:rPr>
          <w:i/>
          <w:iCs/>
          <w:lang w:val="uk-UA"/>
        </w:rPr>
      </w:pPr>
      <w:r>
        <w:rPr>
          <w:lang w:val="uk-UA" w:eastAsia="uk-UA"/>
        </w:rPr>
        <w:t xml:space="preserve">Територія важлива для птахів наступних видів, що кубляться: </w:t>
      </w:r>
      <w:r>
        <w:rPr>
          <w:i/>
          <w:iCs/>
          <w:lang w:val="uk-UA" w:eastAsia="uk-UA"/>
        </w:rPr>
        <w:t>Glareola pratincola, Falco vespertinus, Recurvirostra avosetta, Himantopus himantopus.</w:t>
      </w:r>
    </w:p>
    <w:p w:rsidR="00642FB4" w:rsidRDefault="00642FB4">
      <w:pPr>
        <w:autoSpaceDE w:val="0"/>
        <w:autoSpaceDN w:val="0"/>
        <w:adjustRightInd w:val="0"/>
        <w:spacing w:before="60" w:after="60" w:line="288" w:lineRule="auto"/>
        <w:ind w:firstLine="709"/>
        <w:jc w:val="both"/>
        <w:rPr>
          <w:lang w:val="uk-UA"/>
        </w:rPr>
      </w:pPr>
      <w:r>
        <w:rPr>
          <w:lang w:val="uk-UA" w:eastAsia="uk-UA"/>
        </w:rPr>
        <w:t xml:space="preserve">В період міграції, територія важлива для наступних видів птахів: </w:t>
      </w:r>
      <w:r>
        <w:rPr>
          <w:i/>
          <w:iCs/>
          <w:lang w:val="uk-UA" w:eastAsia="uk-UA"/>
        </w:rPr>
        <w:t>Branta ruficollis, Ayţya nyroca, Pelecanus crispus, Pelecanus onocrotalus, Platalea leucorodia, Pelecanus onocrotalus, Plegadis falcinellus, Glareola pratincola, Ardeola ralloides, Larus melanocephalus, Recurvirostra avosetta, Nycticorax nycticorax, Himantopus himantopus, Sylvia nisoria, Tringa glareola, Sterna hirundo, Sterna albifrons</w:t>
      </w:r>
      <w:r>
        <w:rPr>
          <w:lang w:val="uk-UA" w:eastAsia="uk-UA"/>
        </w:rPr>
        <w:t>.</w:t>
      </w:r>
    </w:p>
    <w:p w:rsidR="00642FB4" w:rsidRDefault="00642FB4">
      <w:pPr>
        <w:autoSpaceDE w:val="0"/>
        <w:autoSpaceDN w:val="0"/>
        <w:adjustRightInd w:val="0"/>
        <w:spacing w:before="60" w:after="60" w:line="288" w:lineRule="auto"/>
        <w:ind w:firstLine="720"/>
        <w:jc w:val="both"/>
        <w:rPr>
          <w:i/>
          <w:iCs/>
          <w:lang w:val="uk-UA"/>
        </w:rPr>
      </w:pPr>
      <w:r>
        <w:rPr>
          <w:lang w:val="uk-UA" w:eastAsia="uk-UA"/>
        </w:rPr>
        <w:t>Територія важлива для зимівлі наступних видів</w:t>
      </w:r>
      <w:r>
        <w:rPr>
          <w:i/>
          <w:iCs/>
          <w:lang w:val="uk-UA" w:eastAsia="uk-UA"/>
        </w:rPr>
        <w:t>: Phalacrocorax pygmaeus, Branta ruficollis, Anser albifrons, Cygnus cygnus.</w:t>
      </w:r>
    </w:p>
    <w:p w:rsidR="00642FB4" w:rsidRDefault="00642FB4">
      <w:pPr>
        <w:autoSpaceDE w:val="0"/>
        <w:autoSpaceDN w:val="0"/>
        <w:adjustRightInd w:val="0"/>
        <w:spacing w:before="60" w:after="60" w:line="288" w:lineRule="auto"/>
        <w:ind w:firstLine="709"/>
        <w:jc w:val="both"/>
        <w:rPr>
          <w:lang w:val="uk-UA"/>
        </w:rPr>
      </w:pPr>
      <w:r>
        <w:rPr>
          <w:lang w:val="uk-UA" w:eastAsia="uk-UA"/>
        </w:rPr>
        <w:t>В період міграції територія надає притулок більше 20.000 озерних птахів, і існує можливість кандидатури як територія RAMSAR.</w:t>
      </w:r>
    </w:p>
    <w:p w:rsidR="00642FB4" w:rsidRDefault="00642FB4">
      <w:pPr>
        <w:spacing w:before="60" w:after="60" w:line="288" w:lineRule="auto"/>
        <w:jc w:val="both"/>
        <w:rPr>
          <w:b/>
          <w:bCs/>
          <w:lang w:val="uk-UA"/>
        </w:rPr>
      </w:pPr>
    </w:p>
    <w:p w:rsidR="00642FB4" w:rsidRDefault="00642FB4">
      <w:pPr>
        <w:numPr>
          <w:ilvl w:val="0"/>
          <w:numId w:val="12"/>
        </w:numPr>
        <w:spacing w:before="60" w:after="60" w:line="288" w:lineRule="auto"/>
        <w:ind w:left="990" w:hanging="270"/>
        <w:jc w:val="both"/>
        <w:rPr>
          <w:b/>
          <w:bCs/>
          <w:lang w:val="uk-UA"/>
        </w:rPr>
      </w:pPr>
      <w:r>
        <w:rPr>
          <w:b/>
          <w:bCs/>
          <w:lang w:val="uk-UA" w:eastAsia="uk-UA"/>
        </w:rPr>
        <w:t>ROSPA 0040 Старий Дунай Рукав Мечін</w:t>
      </w:r>
    </w:p>
    <w:p w:rsidR="00642FB4" w:rsidRDefault="00642FB4">
      <w:pPr>
        <w:autoSpaceDE w:val="0"/>
        <w:autoSpaceDN w:val="0"/>
        <w:adjustRightInd w:val="0"/>
        <w:spacing w:before="60" w:after="60" w:line="288" w:lineRule="auto"/>
        <w:ind w:firstLine="709"/>
        <w:jc w:val="both"/>
        <w:rPr>
          <w:lang w:val="uk-UA"/>
        </w:rPr>
      </w:pPr>
      <w:r>
        <w:rPr>
          <w:lang w:val="uk-UA" w:eastAsia="uk-UA"/>
        </w:rPr>
        <w:t xml:space="preserve">Ця територія надає притулок значній кількості захищених видів птахів: 63 видам з Додатку 1 Директиви птахів, 55 видам іншим мігруючим видам, вказані в Додатку до Конвенції по збереженню мігруючих видів диких тварин (Бонн) і  7 видам які знаходяться під загрозою на світовому рівні. </w:t>
      </w:r>
    </w:p>
    <w:p w:rsidR="00642FB4" w:rsidRDefault="00642FB4">
      <w:pPr>
        <w:spacing w:before="60" w:after="60" w:line="288" w:lineRule="auto"/>
        <w:ind w:firstLine="709"/>
        <w:jc w:val="both"/>
        <w:rPr>
          <w:i/>
          <w:iCs/>
          <w:lang w:val="uk-UA"/>
        </w:rPr>
      </w:pPr>
      <w:r>
        <w:rPr>
          <w:lang w:val="uk-UA" w:eastAsia="uk-UA"/>
        </w:rPr>
        <w:t xml:space="preserve">Територія важлива для птахів наступних видів, що кубляться: </w:t>
      </w:r>
      <w:r>
        <w:rPr>
          <w:i/>
          <w:iCs/>
          <w:lang w:val="uk-UA" w:eastAsia="uk-UA"/>
        </w:rPr>
        <w:t xml:space="preserve">Coracias garrulus Falco vespertinus Aythya nyroca Accipiter brevipes Anthus campestris Lanius minor Lanius collurio Calandrella brachydactyla. </w:t>
      </w:r>
    </w:p>
    <w:p w:rsidR="00642FB4" w:rsidRDefault="00642FB4">
      <w:pPr>
        <w:spacing w:before="60" w:after="60" w:line="288" w:lineRule="auto"/>
        <w:ind w:firstLine="284"/>
        <w:jc w:val="both"/>
        <w:rPr>
          <w:b/>
          <w:bCs/>
          <w:lang w:val="uk-UA"/>
        </w:rPr>
      </w:pPr>
      <w:r>
        <w:rPr>
          <w:lang w:val="uk-UA" w:eastAsia="uk-UA"/>
        </w:rPr>
        <w:t xml:space="preserve">В період міграції, територія важлива для наступних видів птахів: </w:t>
      </w:r>
      <w:r>
        <w:rPr>
          <w:i/>
          <w:iCs/>
          <w:lang w:val="uk-UA" w:eastAsia="uk-UA"/>
        </w:rPr>
        <w:t>Pelecanus crispus Accipiter brevipes Branta ruficollis Pelecanus onocrotalus Phalacrocorax pygmaeus</w:t>
      </w:r>
      <w:r>
        <w:rPr>
          <w:lang w:val="uk-UA" w:eastAsia="uk-UA"/>
        </w:rPr>
        <w:t xml:space="preserve">. Територія важлива для зимівлі наступних видів: </w:t>
      </w:r>
      <w:r>
        <w:rPr>
          <w:i/>
          <w:iCs/>
          <w:lang w:val="uk-UA" w:eastAsia="uk-UA"/>
        </w:rPr>
        <w:t>Phalacrocorax pygmaeus Anser albifrons</w:t>
      </w:r>
      <w:r>
        <w:rPr>
          <w:lang w:val="uk-UA" w:eastAsia="uk-UA"/>
        </w:rPr>
        <w:t>.</w:t>
      </w:r>
    </w:p>
    <w:p w:rsidR="00642FB4" w:rsidRDefault="00642FB4">
      <w:pPr>
        <w:spacing w:before="60" w:after="60" w:line="288" w:lineRule="auto"/>
        <w:jc w:val="both"/>
        <w:rPr>
          <w:lang w:val="uk-UA"/>
        </w:rPr>
      </w:pPr>
    </w:p>
    <w:p w:rsidR="00642FB4" w:rsidRDefault="00642FB4">
      <w:pPr>
        <w:numPr>
          <w:ilvl w:val="0"/>
          <w:numId w:val="15"/>
        </w:numPr>
        <w:autoSpaceDE w:val="0"/>
        <w:autoSpaceDN w:val="0"/>
        <w:adjustRightInd w:val="0"/>
        <w:spacing w:before="60" w:after="60" w:line="288" w:lineRule="auto"/>
        <w:ind w:left="1080" w:hanging="360"/>
        <w:jc w:val="both"/>
        <w:rPr>
          <w:color w:val="000000"/>
          <w:lang w:val="uk-UA"/>
        </w:rPr>
      </w:pPr>
      <w:r>
        <w:rPr>
          <w:b/>
          <w:bCs/>
          <w:color w:val="000000"/>
          <w:lang w:val="uk-UA" w:eastAsia="uk-UA"/>
        </w:rPr>
        <w:t xml:space="preserve">ТЕРИТОРІЇ КОММУНІТАРНОГО ЗНАЧЕННЯ - SCI </w:t>
      </w:r>
    </w:p>
    <w:p w:rsidR="00642FB4" w:rsidRDefault="00642FB4">
      <w:pPr>
        <w:autoSpaceDE w:val="0"/>
        <w:autoSpaceDN w:val="0"/>
        <w:adjustRightInd w:val="0"/>
        <w:spacing w:before="60" w:after="60" w:line="288" w:lineRule="auto"/>
        <w:ind w:left="1080"/>
        <w:jc w:val="both"/>
        <w:rPr>
          <w:color w:val="000000"/>
          <w:lang w:val="uk-UA"/>
        </w:rPr>
      </w:pPr>
    </w:p>
    <w:p w:rsidR="00642FB4" w:rsidRDefault="00642FB4">
      <w:pPr>
        <w:spacing w:before="60" w:after="60" w:line="288" w:lineRule="auto"/>
        <w:ind w:firstLine="720"/>
        <w:jc w:val="both"/>
        <w:rPr>
          <w:color w:val="000000"/>
          <w:lang w:val="uk-UA"/>
        </w:rPr>
      </w:pPr>
      <w:r>
        <w:rPr>
          <w:color w:val="000000"/>
          <w:lang w:val="uk-UA" w:eastAsia="uk-UA"/>
        </w:rPr>
        <w:t xml:space="preserve">В даний час, в повіті Тулча існують </w:t>
      </w:r>
      <w:r>
        <w:rPr>
          <w:b/>
          <w:bCs/>
          <w:color w:val="000000"/>
          <w:lang w:val="uk-UA" w:eastAsia="uk-UA"/>
        </w:rPr>
        <w:t xml:space="preserve">8 </w:t>
      </w:r>
      <w:r>
        <w:rPr>
          <w:color w:val="000000"/>
          <w:lang w:val="uk-UA" w:eastAsia="uk-UA"/>
        </w:rPr>
        <w:t>територій коммунітарного значення, і вони представлені в Таблиці № 5.1.4</w:t>
      </w:r>
    </w:p>
    <w:p w:rsidR="00642FB4" w:rsidRDefault="00642FB4">
      <w:pPr>
        <w:spacing w:before="60" w:after="60" w:line="288" w:lineRule="auto"/>
        <w:jc w:val="both"/>
        <w:rPr>
          <w:b/>
          <w:bCs/>
          <w:sz w:val="22"/>
          <w:szCs w:val="22"/>
          <w:lang w:val="uk-UA"/>
        </w:rPr>
      </w:pPr>
      <w:r>
        <w:rPr>
          <w:b/>
          <w:bCs/>
          <w:sz w:val="22"/>
          <w:szCs w:val="22"/>
          <w:lang w:val="uk-UA" w:eastAsia="uk-UA"/>
        </w:rPr>
        <w:t xml:space="preserve">Таблиця № 5.1.4. Території коммунітарного значення (SCI) з повіту Тулча </w:t>
      </w:r>
    </w:p>
    <w:tbl>
      <w:tblPr>
        <w:tblW w:w="97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1842"/>
        <w:gridCol w:w="3110"/>
        <w:gridCol w:w="1395"/>
        <w:gridCol w:w="2659"/>
      </w:tblGrid>
      <w:tr w:rsidR="00642FB4">
        <w:trPr>
          <w:trHeight w:val="541"/>
          <w:jc w:val="center"/>
        </w:trPr>
        <w:tc>
          <w:tcPr>
            <w:tcW w:w="709" w:type="dxa"/>
            <w:vAlign w:val="center"/>
          </w:tcPr>
          <w:p w:rsidR="00642FB4" w:rsidRDefault="00642FB4">
            <w:pPr>
              <w:jc w:val="center"/>
              <w:rPr>
                <w:b/>
                <w:bCs/>
                <w:sz w:val="20"/>
                <w:szCs w:val="20"/>
                <w:lang w:val="uk-UA"/>
              </w:rPr>
            </w:pPr>
            <w:r>
              <w:rPr>
                <w:b/>
                <w:bCs/>
                <w:sz w:val="20"/>
                <w:szCs w:val="20"/>
                <w:lang w:val="uk-UA" w:eastAsia="uk-UA"/>
              </w:rPr>
              <w:t>Пір. №</w:t>
            </w:r>
          </w:p>
        </w:tc>
        <w:tc>
          <w:tcPr>
            <w:tcW w:w="1842" w:type="dxa"/>
            <w:vAlign w:val="center"/>
          </w:tcPr>
          <w:p w:rsidR="00642FB4" w:rsidRDefault="00642FB4">
            <w:pPr>
              <w:jc w:val="center"/>
              <w:rPr>
                <w:b/>
                <w:bCs/>
                <w:sz w:val="20"/>
                <w:szCs w:val="20"/>
                <w:lang w:val="uk-UA"/>
              </w:rPr>
            </w:pPr>
            <w:r>
              <w:rPr>
                <w:b/>
                <w:bCs/>
                <w:sz w:val="20"/>
                <w:szCs w:val="20"/>
                <w:lang w:val="uk-UA" w:eastAsia="uk-UA"/>
              </w:rPr>
              <w:t>КОД ТЕРИТОРІЇ</w:t>
            </w:r>
          </w:p>
        </w:tc>
        <w:tc>
          <w:tcPr>
            <w:tcW w:w="3110" w:type="dxa"/>
            <w:vAlign w:val="center"/>
          </w:tcPr>
          <w:p w:rsidR="00642FB4" w:rsidRDefault="00642FB4">
            <w:pPr>
              <w:jc w:val="center"/>
              <w:rPr>
                <w:b/>
                <w:bCs/>
                <w:sz w:val="20"/>
                <w:szCs w:val="20"/>
                <w:lang w:val="uk-UA"/>
              </w:rPr>
            </w:pPr>
            <w:r>
              <w:rPr>
                <w:b/>
                <w:bCs/>
                <w:sz w:val="20"/>
                <w:szCs w:val="20"/>
                <w:lang w:val="uk-UA" w:eastAsia="uk-UA"/>
              </w:rPr>
              <w:t>НАЗВА ТЕРИТОРІЇ</w:t>
            </w:r>
          </w:p>
        </w:tc>
        <w:tc>
          <w:tcPr>
            <w:tcW w:w="1395" w:type="dxa"/>
            <w:vAlign w:val="center"/>
          </w:tcPr>
          <w:p w:rsidR="00642FB4" w:rsidRDefault="00642FB4">
            <w:pPr>
              <w:jc w:val="center"/>
              <w:rPr>
                <w:b/>
                <w:bCs/>
                <w:sz w:val="20"/>
                <w:szCs w:val="20"/>
                <w:lang w:val="uk-UA"/>
              </w:rPr>
            </w:pPr>
            <w:r>
              <w:rPr>
                <w:b/>
                <w:bCs/>
                <w:sz w:val="20"/>
                <w:szCs w:val="20"/>
                <w:lang w:val="uk-UA" w:eastAsia="uk-UA"/>
              </w:rPr>
              <w:t xml:space="preserve">Площа </w:t>
            </w:r>
          </w:p>
          <w:p w:rsidR="00642FB4" w:rsidRDefault="00642FB4">
            <w:pPr>
              <w:jc w:val="center"/>
              <w:rPr>
                <w:b/>
                <w:bCs/>
                <w:sz w:val="20"/>
                <w:szCs w:val="20"/>
                <w:lang w:val="uk-UA"/>
              </w:rPr>
            </w:pPr>
            <w:r>
              <w:rPr>
                <w:b/>
                <w:bCs/>
                <w:sz w:val="20"/>
                <w:szCs w:val="20"/>
                <w:lang w:val="uk-UA" w:eastAsia="uk-UA"/>
              </w:rPr>
              <w:t>гектари</w:t>
            </w:r>
          </w:p>
        </w:tc>
        <w:tc>
          <w:tcPr>
            <w:tcW w:w="2659" w:type="dxa"/>
            <w:vAlign w:val="center"/>
          </w:tcPr>
          <w:p w:rsidR="00642FB4" w:rsidRDefault="00642FB4">
            <w:pPr>
              <w:jc w:val="center"/>
              <w:rPr>
                <w:b/>
                <w:bCs/>
                <w:sz w:val="20"/>
                <w:szCs w:val="20"/>
                <w:lang w:val="uk-UA"/>
              </w:rPr>
            </w:pPr>
            <w:r>
              <w:rPr>
                <w:b/>
                <w:bCs/>
                <w:sz w:val="20"/>
                <w:szCs w:val="20"/>
                <w:lang w:val="uk-UA" w:eastAsia="uk-UA"/>
              </w:rPr>
              <w:t>Площа</w:t>
            </w:r>
          </w:p>
          <w:p w:rsidR="00642FB4" w:rsidRDefault="00642FB4">
            <w:pPr>
              <w:jc w:val="center"/>
              <w:rPr>
                <w:b/>
                <w:bCs/>
                <w:sz w:val="20"/>
                <w:szCs w:val="20"/>
                <w:lang w:val="uk-UA"/>
              </w:rPr>
            </w:pPr>
            <w:r>
              <w:rPr>
                <w:b/>
                <w:bCs/>
                <w:sz w:val="20"/>
                <w:szCs w:val="20"/>
                <w:lang w:val="uk-UA" w:eastAsia="uk-UA"/>
              </w:rPr>
              <w:t>на рівні повіту (гектари)</w:t>
            </w:r>
          </w:p>
        </w:tc>
      </w:tr>
      <w:tr w:rsidR="00642FB4">
        <w:trPr>
          <w:trHeight w:val="305"/>
          <w:jc w:val="center"/>
        </w:trPr>
        <w:tc>
          <w:tcPr>
            <w:tcW w:w="709" w:type="dxa"/>
          </w:tcPr>
          <w:p w:rsidR="00642FB4" w:rsidRDefault="00642FB4">
            <w:pPr>
              <w:ind w:left="-3" w:right="44" w:firstLine="3"/>
              <w:jc w:val="both"/>
              <w:rPr>
                <w:sz w:val="20"/>
                <w:szCs w:val="20"/>
                <w:lang w:val="uk-UA"/>
              </w:rPr>
            </w:pPr>
            <w:r>
              <w:rPr>
                <w:sz w:val="20"/>
                <w:szCs w:val="20"/>
                <w:lang w:val="uk-UA"/>
              </w:rPr>
              <w:t>1.</w:t>
            </w:r>
          </w:p>
        </w:tc>
        <w:tc>
          <w:tcPr>
            <w:tcW w:w="1842" w:type="dxa"/>
          </w:tcPr>
          <w:p w:rsidR="00642FB4" w:rsidRDefault="00642FB4">
            <w:pPr>
              <w:ind w:left="-3" w:right="44" w:firstLine="3"/>
              <w:rPr>
                <w:sz w:val="20"/>
                <w:szCs w:val="20"/>
                <w:lang w:val="uk-UA"/>
              </w:rPr>
            </w:pPr>
            <w:r>
              <w:rPr>
                <w:sz w:val="20"/>
                <w:szCs w:val="20"/>
                <w:lang w:val="uk-UA" w:eastAsia="uk-UA"/>
              </w:rPr>
              <w:t>ROSCI0012</w:t>
            </w:r>
          </w:p>
        </w:tc>
        <w:tc>
          <w:tcPr>
            <w:tcW w:w="3110" w:type="dxa"/>
          </w:tcPr>
          <w:p w:rsidR="00642FB4" w:rsidRDefault="00642FB4">
            <w:pPr>
              <w:ind w:left="-3" w:right="44" w:firstLine="3"/>
              <w:rPr>
                <w:sz w:val="20"/>
                <w:szCs w:val="20"/>
                <w:lang w:val="uk-UA"/>
              </w:rPr>
            </w:pPr>
            <w:r>
              <w:rPr>
                <w:sz w:val="20"/>
                <w:szCs w:val="20"/>
                <w:lang w:val="uk-UA" w:eastAsia="uk-UA"/>
              </w:rPr>
              <w:t>Рукав Мечін</w:t>
            </w:r>
          </w:p>
        </w:tc>
        <w:tc>
          <w:tcPr>
            <w:tcW w:w="1395" w:type="dxa"/>
          </w:tcPr>
          <w:p w:rsidR="00642FB4" w:rsidRDefault="00642FB4">
            <w:pPr>
              <w:ind w:left="-3" w:right="44" w:firstLine="3"/>
              <w:jc w:val="right"/>
              <w:rPr>
                <w:sz w:val="20"/>
                <w:szCs w:val="20"/>
                <w:lang w:val="uk-UA"/>
              </w:rPr>
            </w:pPr>
            <w:r>
              <w:rPr>
                <w:sz w:val="20"/>
                <w:szCs w:val="20"/>
                <w:lang w:val="uk-UA"/>
              </w:rPr>
              <w:t>10.235</w:t>
            </w:r>
          </w:p>
        </w:tc>
        <w:tc>
          <w:tcPr>
            <w:tcW w:w="2659" w:type="dxa"/>
          </w:tcPr>
          <w:p w:rsidR="00642FB4" w:rsidRDefault="00642FB4">
            <w:pPr>
              <w:jc w:val="right"/>
              <w:rPr>
                <w:sz w:val="20"/>
                <w:szCs w:val="20"/>
                <w:lang w:val="uk-UA"/>
              </w:rPr>
            </w:pPr>
            <w:r>
              <w:rPr>
                <w:sz w:val="20"/>
                <w:szCs w:val="20"/>
                <w:lang w:val="uk-UA"/>
              </w:rPr>
              <w:t>4503</w:t>
            </w:r>
          </w:p>
        </w:tc>
      </w:tr>
      <w:tr w:rsidR="00642FB4">
        <w:trPr>
          <w:trHeight w:val="350"/>
          <w:jc w:val="center"/>
        </w:trPr>
        <w:tc>
          <w:tcPr>
            <w:tcW w:w="709" w:type="dxa"/>
          </w:tcPr>
          <w:p w:rsidR="00642FB4" w:rsidRDefault="00642FB4">
            <w:pPr>
              <w:ind w:left="-3" w:right="44" w:firstLine="3"/>
              <w:jc w:val="both"/>
              <w:rPr>
                <w:sz w:val="20"/>
                <w:szCs w:val="20"/>
                <w:lang w:val="uk-UA"/>
              </w:rPr>
            </w:pPr>
            <w:r>
              <w:rPr>
                <w:sz w:val="20"/>
                <w:szCs w:val="20"/>
                <w:lang w:val="uk-UA"/>
              </w:rPr>
              <w:t>2.</w:t>
            </w:r>
          </w:p>
        </w:tc>
        <w:tc>
          <w:tcPr>
            <w:tcW w:w="1842" w:type="dxa"/>
          </w:tcPr>
          <w:p w:rsidR="00642FB4" w:rsidRDefault="00642FB4">
            <w:pPr>
              <w:ind w:left="-3" w:right="44" w:firstLine="3"/>
              <w:rPr>
                <w:sz w:val="20"/>
                <w:szCs w:val="20"/>
                <w:lang w:val="uk-UA"/>
              </w:rPr>
            </w:pPr>
            <w:r>
              <w:rPr>
                <w:sz w:val="20"/>
                <w:szCs w:val="20"/>
                <w:lang w:val="uk-UA" w:eastAsia="uk-UA"/>
              </w:rPr>
              <w:t>ROSCI0060</w:t>
            </w:r>
          </w:p>
        </w:tc>
        <w:tc>
          <w:tcPr>
            <w:tcW w:w="3110" w:type="dxa"/>
          </w:tcPr>
          <w:p w:rsidR="00642FB4" w:rsidRDefault="00642FB4">
            <w:pPr>
              <w:ind w:left="-3" w:right="44" w:firstLine="3"/>
              <w:rPr>
                <w:sz w:val="20"/>
                <w:szCs w:val="20"/>
                <w:lang w:val="uk-UA"/>
              </w:rPr>
            </w:pPr>
            <w:r>
              <w:rPr>
                <w:sz w:val="20"/>
                <w:szCs w:val="20"/>
                <w:lang w:val="uk-UA" w:eastAsia="uk-UA"/>
              </w:rPr>
              <w:t>Горби Аджігіола</w:t>
            </w:r>
          </w:p>
        </w:tc>
        <w:tc>
          <w:tcPr>
            <w:tcW w:w="1395" w:type="dxa"/>
          </w:tcPr>
          <w:p w:rsidR="00642FB4" w:rsidRDefault="00642FB4">
            <w:pPr>
              <w:ind w:left="-3" w:right="44" w:firstLine="3"/>
              <w:jc w:val="right"/>
              <w:rPr>
                <w:sz w:val="20"/>
                <w:szCs w:val="20"/>
                <w:lang w:val="uk-UA"/>
              </w:rPr>
            </w:pPr>
            <w:r>
              <w:rPr>
                <w:sz w:val="20"/>
                <w:szCs w:val="20"/>
                <w:lang w:val="uk-UA"/>
              </w:rPr>
              <w:t>1.433</w:t>
            </w:r>
          </w:p>
        </w:tc>
        <w:tc>
          <w:tcPr>
            <w:tcW w:w="2659" w:type="dxa"/>
          </w:tcPr>
          <w:p w:rsidR="00642FB4" w:rsidRDefault="00642FB4">
            <w:pPr>
              <w:jc w:val="right"/>
              <w:rPr>
                <w:sz w:val="20"/>
                <w:szCs w:val="20"/>
                <w:lang w:val="uk-UA"/>
              </w:rPr>
            </w:pPr>
            <w:r>
              <w:rPr>
                <w:sz w:val="20"/>
                <w:szCs w:val="20"/>
                <w:lang w:val="uk-UA"/>
              </w:rPr>
              <w:t>1.433</w:t>
            </w:r>
          </w:p>
        </w:tc>
      </w:tr>
      <w:tr w:rsidR="00642FB4">
        <w:trPr>
          <w:trHeight w:val="260"/>
          <w:jc w:val="center"/>
        </w:trPr>
        <w:tc>
          <w:tcPr>
            <w:tcW w:w="709" w:type="dxa"/>
          </w:tcPr>
          <w:p w:rsidR="00642FB4" w:rsidRDefault="00642FB4">
            <w:pPr>
              <w:ind w:left="-3" w:right="44" w:firstLine="3"/>
              <w:jc w:val="both"/>
              <w:rPr>
                <w:sz w:val="20"/>
                <w:szCs w:val="20"/>
                <w:lang w:val="uk-UA"/>
              </w:rPr>
            </w:pPr>
            <w:r>
              <w:rPr>
                <w:sz w:val="20"/>
                <w:szCs w:val="20"/>
                <w:lang w:val="uk-UA"/>
              </w:rPr>
              <w:t>3.</w:t>
            </w:r>
          </w:p>
        </w:tc>
        <w:tc>
          <w:tcPr>
            <w:tcW w:w="1842" w:type="dxa"/>
          </w:tcPr>
          <w:p w:rsidR="00642FB4" w:rsidRDefault="00642FB4">
            <w:pPr>
              <w:ind w:left="-3" w:right="44" w:firstLine="3"/>
              <w:rPr>
                <w:sz w:val="20"/>
                <w:szCs w:val="20"/>
                <w:lang w:val="uk-UA"/>
              </w:rPr>
            </w:pPr>
            <w:r>
              <w:rPr>
                <w:sz w:val="20"/>
                <w:szCs w:val="20"/>
                <w:lang w:val="uk-UA" w:eastAsia="uk-UA"/>
              </w:rPr>
              <w:t>ROSCI0065</w:t>
            </w:r>
          </w:p>
        </w:tc>
        <w:tc>
          <w:tcPr>
            <w:tcW w:w="3110" w:type="dxa"/>
          </w:tcPr>
          <w:p w:rsidR="00642FB4" w:rsidRDefault="00642FB4">
            <w:pPr>
              <w:ind w:left="-3" w:right="44" w:firstLine="3"/>
              <w:rPr>
                <w:sz w:val="20"/>
                <w:szCs w:val="20"/>
                <w:lang w:val="uk-UA"/>
              </w:rPr>
            </w:pPr>
            <w:r>
              <w:rPr>
                <w:sz w:val="20"/>
                <w:szCs w:val="20"/>
                <w:lang w:val="uk-UA" w:eastAsia="uk-UA"/>
              </w:rPr>
              <w:t>Дельта Дунаю</w:t>
            </w:r>
          </w:p>
        </w:tc>
        <w:tc>
          <w:tcPr>
            <w:tcW w:w="1395" w:type="dxa"/>
          </w:tcPr>
          <w:p w:rsidR="00642FB4" w:rsidRDefault="00642FB4">
            <w:pPr>
              <w:ind w:left="-3" w:right="44" w:firstLine="3"/>
              <w:jc w:val="right"/>
              <w:rPr>
                <w:sz w:val="20"/>
                <w:szCs w:val="20"/>
                <w:lang w:val="uk-UA"/>
              </w:rPr>
            </w:pPr>
            <w:r>
              <w:rPr>
                <w:sz w:val="20"/>
                <w:szCs w:val="20"/>
                <w:lang w:val="uk-UA"/>
              </w:rPr>
              <w:t>454.037</w:t>
            </w:r>
          </w:p>
        </w:tc>
        <w:tc>
          <w:tcPr>
            <w:tcW w:w="2659" w:type="dxa"/>
          </w:tcPr>
          <w:p w:rsidR="00642FB4" w:rsidRDefault="00642FB4">
            <w:pPr>
              <w:jc w:val="right"/>
              <w:rPr>
                <w:sz w:val="20"/>
                <w:szCs w:val="20"/>
                <w:lang w:val="uk-UA"/>
              </w:rPr>
            </w:pPr>
            <w:r>
              <w:rPr>
                <w:sz w:val="20"/>
                <w:szCs w:val="20"/>
                <w:lang w:val="uk-UA"/>
              </w:rPr>
              <w:t>422.254</w:t>
            </w:r>
          </w:p>
        </w:tc>
      </w:tr>
      <w:tr w:rsidR="00642FB4">
        <w:trPr>
          <w:trHeight w:val="242"/>
          <w:jc w:val="center"/>
        </w:trPr>
        <w:tc>
          <w:tcPr>
            <w:tcW w:w="709" w:type="dxa"/>
          </w:tcPr>
          <w:p w:rsidR="00642FB4" w:rsidRDefault="00642FB4">
            <w:pPr>
              <w:ind w:left="-3" w:right="44" w:firstLine="3"/>
              <w:jc w:val="both"/>
              <w:rPr>
                <w:sz w:val="20"/>
                <w:szCs w:val="20"/>
                <w:lang w:val="uk-UA"/>
              </w:rPr>
            </w:pPr>
            <w:r>
              <w:rPr>
                <w:sz w:val="20"/>
                <w:szCs w:val="20"/>
                <w:lang w:val="uk-UA"/>
              </w:rPr>
              <w:t>4.</w:t>
            </w:r>
          </w:p>
        </w:tc>
        <w:tc>
          <w:tcPr>
            <w:tcW w:w="1842" w:type="dxa"/>
          </w:tcPr>
          <w:p w:rsidR="00642FB4" w:rsidRDefault="00642FB4">
            <w:pPr>
              <w:ind w:left="-3" w:right="44" w:firstLine="3"/>
              <w:rPr>
                <w:sz w:val="20"/>
                <w:szCs w:val="20"/>
                <w:lang w:val="uk-UA"/>
              </w:rPr>
            </w:pPr>
            <w:r>
              <w:rPr>
                <w:sz w:val="20"/>
                <w:szCs w:val="20"/>
                <w:lang w:val="uk-UA" w:eastAsia="uk-UA"/>
              </w:rPr>
              <w:t>ROSCI0066</w:t>
            </w:r>
          </w:p>
        </w:tc>
        <w:tc>
          <w:tcPr>
            <w:tcW w:w="3110" w:type="dxa"/>
          </w:tcPr>
          <w:p w:rsidR="00642FB4" w:rsidRDefault="00642FB4">
            <w:pPr>
              <w:ind w:left="-3" w:right="44" w:firstLine="3"/>
              <w:rPr>
                <w:sz w:val="20"/>
                <w:szCs w:val="20"/>
                <w:lang w:val="uk-UA"/>
              </w:rPr>
            </w:pPr>
            <w:r>
              <w:rPr>
                <w:sz w:val="20"/>
                <w:szCs w:val="20"/>
                <w:lang w:val="uk-UA" w:eastAsia="uk-UA"/>
              </w:rPr>
              <w:t>Дельта Дунаю – морська зона</w:t>
            </w:r>
          </w:p>
        </w:tc>
        <w:tc>
          <w:tcPr>
            <w:tcW w:w="1395" w:type="dxa"/>
          </w:tcPr>
          <w:p w:rsidR="00642FB4" w:rsidRDefault="00642FB4">
            <w:pPr>
              <w:ind w:left="-3" w:right="44" w:firstLine="3"/>
              <w:jc w:val="right"/>
              <w:rPr>
                <w:sz w:val="20"/>
                <w:szCs w:val="20"/>
                <w:lang w:val="uk-UA"/>
              </w:rPr>
            </w:pPr>
            <w:r>
              <w:rPr>
                <w:sz w:val="20"/>
                <w:szCs w:val="20"/>
                <w:lang w:val="uk-UA"/>
              </w:rPr>
              <w:t>123.374</w:t>
            </w:r>
          </w:p>
        </w:tc>
        <w:tc>
          <w:tcPr>
            <w:tcW w:w="2659" w:type="dxa"/>
          </w:tcPr>
          <w:p w:rsidR="00642FB4" w:rsidRDefault="00642FB4">
            <w:pPr>
              <w:jc w:val="right"/>
              <w:rPr>
                <w:sz w:val="20"/>
                <w:szCs w:val="20"/>
                <w:lang w:val="uk-UA"/>
              </w:rPr>
            </w:pPr>
            <w:r>
              <w:rPr>
                <w:sz w:val="20"/>
                <w:szCs w:val="20"/>
                <w:lang w:val="uk-UA"/>
              </w:rPr>
              <w:t>2468</w:t>
            </w:r>
          </w:p>
        </w:tc>
      </w:tr>
      <w:tr w:rsidR="00642FB4">
        <w:trPr>
          <w:trHeight w:val="260"/>
          <w:jc w:val="center"/>
        </w:trPr>
        <w:tc>
          <w:tcPr>
            <w:tcW w:w="709" w:type="dxa"/>
          </w:tcPr>
          <w:p w:rsidR="00642FB4" w:rsidRDefault="00642FB4">
            <w:pPr>
              <w:ind w:left="-3" w:right="44" w:firstLine="3"/>
              <w:jc w:val="both"/>
              <w:rPr>
                <w:sz w:val="20"/>
                <w:szCs w:val="20"/>
                <w:lang w:val="uk-UA"/>
              </w:rPr>
            </w:pPr>
            <w:r>
              <w:rPr>
                <w:sz w:val="20"/>
                <w:szCs w:val="20"/>
                <w:lang w:val="uk-UA"/>
              </w:rPr>
              <w:t>5.</w:t>
            </w:r>
          </w:p>
        </w:tc>
        <w:tc>
          <w:tcPr>
            <w:tcW w:w="1842" w:type="dxa"/>
          </w:tcPr>
          <w:p w:rsidR="00642FB4" w:rsidRDefault="00642FB4">
            <w:pPr>
              <w:ind w:left="-3" w:right="44" w:firstLine="3"/>
              <w:rPr>
                <w:sz w:val="20"/>
                <w:szCs w:val="20"/>
                <w:lang w:val="uk-UA"/>
              </w:rPr>
            </w:pPr>
            <w:r>
              <w:rPr>
                <w:sz w:val="20"/>
                <w:szCs w:val="20"/>
                <w:lang w:val="uk-UA" w:eastAsia="uk-UA"/>
              </w:rPr>
              <w:t>ROSCI0067</w:t>
            </w:r>
          </w:p>
        </w:tc>
        <w:tc>
          <w:tcPr>
            <w:tcW w:w="3110" w:type="dxa"/>
          </w:tcPr>
          <w:p w:rsidR="00642FB4" w:rsidRDefault="00642FB4">
            <w:pPr>
              <w:ind w:left="-3" w:right="44" w:firstLine="3"/>
              <w:rPr>
                <w:sz w:val="20"/>
                <w:szCs w:val="20"/>
                <w:lang w:val="uk-UA"/>
              </w:rPr>
            </w:pPr>
            <w:r>
              <w:rPr>
                <w:sz w:val="20"/>
                <w:szCs w:val="20"/>
                <w:lang w:val="uk-UA" w:eastAsia="uk-UA"/>
              </w:rPr>
              <w:t>ДЕНІЗ ТЕПЕ</w:t>
            </w:r>
          </w:p>
        </w:tc>
        <w:tc>
          <w:tcPr>
            <w:tcW w:w="1395" w:type="dxa"/>
          </w:tcPr>
          <w:p w:rsidR="00642FB4" w:rsidRDefault="00642FB4">
            <w:pPr>
              <w:ind w:left="-3" w:right="44" w:firstLine="3"/>
              <w:jc w:val="right"/>
              <w:rPr>
                <w:sz w:val="20"/>
                <w:szCs w:val="20"/>
                <w:lang w:val="uk-UA"/>
              </w:rPr>
            </w:pPr>
            <w:r>
              <w:rPr>
                <w:sz w:val="20"/>
                <w:szCs w:val="20"/>
                <w:lang w:val="uk-UA"/>
              </w:rPr>
              <w:t>414</w:t>
            </w:r>
          </w:p>
        </w:tc>
        <w:tc>
          <w:tcPr>
            <w:tcW w:w="2659" w:type="dxa"/>
          </w:tcPr>
          <w:p w:rsidR="00642FB4" w:rsidRDefault="00642FB4">
            <w:pPr>
              <w:jc w:val="right"/>
              <w:rPr>
                <w:sz w:val="20"/>
                <w:szCs w:val="20"/>
                <w:lang w:val="uk-UA"/>
              </w:rPr>
            </w:pPr>
            <w:r>
              <w:rPr>
                <w:sz w:val="20"/>
                <w:szCs w:val="20"/>
                <w:lang w:val="uk-UA"/>
              </w:rPr>
              <w:t>414</w:t>
            </w:r>
          </w:p>
        </w:tc>
      </w:tr>
      <w:tr w:rsidR="00642FB4">
        <w:trPr>
          <w:trHeight w:val="260"/>
          <w:jc w:val="center"/>
        </w:trPr>
        <w:tc>
          <w:tcPr>
            <w:tcW w:w="709" w:type="dxa"/>
          </w:tcPr>
          <w:p w:rsidR="00642FB4" w:rsidRDefault="00642FB4">
            <w:pPr>
              <w:ind w:left="-3" w:right="44" w:firstLine="3"/>
              <w:jc w:val="both"/>
              <w:rPr>
                <w:sz w:val="20"/>
                <w:szCs w:val="20"/>
                <w:lang w:val="uk-UA"/>
              </w:rPr>
            </w:pPr>
            <w:r>
              <w:rPr>
                <w:sz w:val="20"/>
                <w:szCs w:val="20"/>
                <w:lang w:val="uk-UA"/>
              </w:rPr>
              <w:t>6.</w:t>
            </w:r>
          </w:p>
        </w:tc>
        <w:tc>
          <w:tcPr>
            <w:tcW w:w="1842" w:type="dxa"/>
          </w:tcPr>
          <w:p w:rsidR="00642FB4" w:rsidRDefault="00642FB4">
            <w:pPr>
              <w:ind w:left="-3" w:right="44" w:firstLine="3"/>
              <w:rPr>
                <w:sz w:val="20"/>
                <w:szCs w:val="20"/>
                <w:lang w:val="uk-UA"/>
              </w:rPr>
            </w:pPr>
            <w:r>
              <w:rPr>
                <w:sz w:val="20"/>
                <w:szCs w:val="20"/>
                <w:lang w:val="uk-UA" w:eastAsia="uk-UA"/>
              </w:rPr>
              <w:t>ROSCI0123</w:t>
            </w:r>
          </w:p>
        </w:tc>
        <w:tc>
          <w:tcPr>
            <w:tcW w:w="3110" w:type="dxa"/>
          </w:tcPr>
          <w:p w:rsidR="00642FB4" w:rsidRDefault="00642FB4">
            <w:pPr>
              <w:ind w:left="-3" w:right="44" w:firstLine="3"/>
              <w:rPr>
                <w:sz w:val="20"/>
                <w:szCs w:val="20"/>
                <w:lang w:val="uk-UA"/>
              </w:rPr>
            </w:pPr>
            <w:r>
              <w:rPr>
                <w:sz w:val="20"/>
                <w:szCs w:val="20"/>
                <w:lang w:val="uk-UA" w:eastAsia="uk-UA"/>
              </w:rPr>
              <w:t>Гори Мечіна</w:t>
            </w:r>
          </w:p>
        </w:tc>
        <w:tc>
          <w:tcPr>
            <w:tcW w:w="1395" w:type="dxa"/>
          </w:tcPr>
          <w:p w:rsidR="00642FB4" w:rsidRDefault="00642FB4">
            <w:pPr>
              <w:ind w:left="-3" w:right="44" w:firstLine="3"/>
              <w:jc w:val="right"/>
              <w:rPr>
                <w:sz w:val="20"/>
                <w:szCs w:val="20"/>
                <w:lang w:val="uk-UA"/>
              </w:rPr>
            </w:pPr>
            <w:r>
              <w:rPr>
                <w:sz w:val="20"/>
                <w:szCs w:val="20"/>
                <w:lang w:val="uk-UA"/>
              </w:rPr>
              <w:t>16.894</w:t>
            </w:r>
          </w:p>
        </w:tc>
        <w:tc>
          <w:tcPr>
            <w:tcW w:w="2659" w:type="dxa"/>
          </w:tcPr>
          <w:p w:rsidR="00642FB4" w:rsidRDefault="00642FB4">
            <w:pPr>
              <w:jc w:val="right"/>
              <w:rPr>
                <w:sz w:val="20"/>
                <w:szCs w:val="20"/>
                <w:lang w:val="uk-UA"/>
              </w:rPr>
            </w:pPr>
            <w:r>
              <w:rPr>
                <w:sz w:val="20"/>
                <w:szCs w:val="20"/>
                <w:lang w:val="uk-UA"/>
              </w:rPr>
              <w:t>16.894</w:t>
            </w:r>
          </w:p>
        </w:tc>
      </w:tr>
      <w:tr w:rsidR="00642FB4">
        <w:trPr>
          <w:trHeight w:val="332"/>
          <w:jc w:val="center"/>
        </w:trPr>
        <w:tc>
          <w:tcPr>
            <w:tcW w:w="709" w:type="dxa"/>
          </w:tcPr>
          <w:p w:rsidR="00642FB4" w:rsidRDefault="00642FB4">
            <w:pPr>
              <w:ind w:left="-3" w:right="44" w:firstLine="3"/>
              <w:jc w:val="both"/>
              <w:rPr>
                <w:sz w:val="20"/>
                <w:szCs w:val="20"/>
                <w:lang w:val="uk-UA"/>
              </w:rPr>
            </w:pPr>
            <w:r>
              <w:rPr>
                <w:sz w:val="20"/>
                <w:szCs w:val="20"/>
                <w:lang w:val="uk-UA"/>
              </w:rPr>
              <w:t>7.</w:t>
            </w:r>
          </w:p>
        </w:tc>
        <w:tc>
          <w:tcPr>
            <w:tcW w:w="1842" w:type="dxa"/>
          </w:tcPr>
          <w:p w:rsidR="00642FB4" w:rsidRDefault="00642FB4">
            <w:pPr>
              <w:ind w:left="-3" w:right="44" w:firstLine="3"/>
              <w:rPr>
                <w:sz w:val="20"/>
                <w:szCs w:val="20"/>
                <w:lang w:val="uk-UA"/>
              </w:rPr>
            </w:pPr>
            <w:r>
              <w:rPr>
                <w:sz w:val="20"/>
                <w:szCs w:val="20"/>
                <w:lang w:val="uk-UA" w:eastAsia="uk-UA"/>
              </w:rPr>
              <w:t>ROSCI0201</w:t>
            </w:r>
          </w:p>
        </w:tc>
        <w:tc>
          <w:tcPr>
            <w:tcW w:w="3110" w:type="dxa"/>
          </w:tcPr>
          <w:p w:rsidR="00642FB4" w:rsidRDefault="00642FB4">
            <w:pPr>
              <w:ind w:left="-3" w:right="44" w:firstLine="3"/>
              <w:rPr>
                <w:sz w:val="20"/>
                <w:szCs w:val="20"/>
                <w:lang w:val="uk-UA"/>
              </w:rPr>
            </w:pPr>
            <w:r>
              <w:rPr>
                <w:sz w:val="20"/>
                <w:szCs w:val="20"/>
                <w:lang w:val="uk-UA" w:eastAsia="uk-UA"/>
              </w:rPr>
              <w:t xml:space="preserve">Північне Доброджанське плоскогір'я </w:t>
            </w:r>
          </w:p>
        </w:tc>
        <w:tc>
          <w:tcPr>
            <w:tcW w:w="1395" w:type="dxa"/>
          </w:tcPr>
          <w:p w:rsidR="00642FB4" w:rsidRDefault="00642FB4">
            <w:pPr>
              <w:ind w:left="-3" w:right="44" w:firstLine="3"/>
              <w:jc w:val="right"/>
              <w:rPr>
                <w:sz w:val="20"/>
                <w:szCs w:val="20"/>
                <w:lang w:val="uk-UA"/>
              </w:rPr>
            </w:pPr>
            <w:r>
              <w:rPr>
                <w:sz w:val="20"/>
                <w:szCs w:val="20"/>
                <w:lang w:val="uk-UA"/>
              </w:rPr>
              <w:t>84.812</w:t>
            </w:r>
          </w:p>
        </w:tc>
        <w:tc>
          <w:tcPr>
            <w:tcW w:w="2659" w:type="dxa"/>
          </w:tcPr>
          <w:p w:rsidR="00642FB4" w:rsidRDefault="00642FB4">
            <w:pPr>
              <w:jc w:val="right"/>
              <w:rPr>
                <w:sz w:val="20"/>
                <w:szCs w:val="20"/>
                <w:lang w:val="uk-UA"/>
              </w:rPr>
            </w:pPr>
            <w:r>
              <w:rPr>
                <w:sz w:val="20"/>
                <w:szCs w:val="20"/>
                <w:lang w:val="uk-UA"/>
              </w:rPr>
              <w:t>84.812</w:t>
            </w:r>
          </w:p>
        </w:tc>
      </w:tr>
      <w:tr w:rsidR="00642FB4">
        <w:trPr>
          <w:trHeight w:val="541"/>
          <w:jc w:val="center"/>
        </w:trPr>
        <w:tc>
          <w:tcPr>
            <w:tcW w:w="709" w:type="dxa"/>
          </w:tcPr>
          <w:p w:rsidR="00642FB4" w:rsidRDefault="00642FB4">
            <w:pPr>
              <w:ind w:left="-3" w:right="44" w:firstLine="3"/>
              <w:jc w:val="both"/>
              <w:rPr>
                <w:sz w:val="20"/>
                <w:szCs w:val="20"/>
                <w:lang w:val="uk-UA"/>
              </w:rPr>
            </w:pPr>
            <w:r>
              <w:rPr>
                <w:sz w:val="20"/>
                <w:szCs w:val="20"/>
                <w:lang w:val="uk-UA"/>
              </w:rPr>
              <w:t>8.</w:t>
            </w:r>
          </w:p>
        </w:tc>
        <w:tc>
          <w:tcPr>
            <w:tcW w:w="1842" w:type="dxa"/>
          </w:tcPr>
          <w:p w:rsidR="00642FB4" w:rsidRDefault="00642FB4">
            <w:pPr>
              <w:ind w:left="-3" w:right="44" w:firstLine="3"/>
              <w:rPr>
                <w:sz w:val="20"/>
                <w:szCs w:val="20"/>
                <w:lang w:val="uk-UA"/>
              </w:rPr>
            </w:pPr>
            <w:r>
              <w:rPr>
                <w:sz w:val="20"/>
                <w:szCs w:val="20"/>
                <w:lang w:val="uk-UA" w:eastAsia="uk-UA"/>
              </w:rPr>
              <w:t>ROSCI0237</w:t>
            </w:r>
          </w:p>
        </w:tc>
        <w:tc>
          <w:tcPr>
            <w:tcW w:w="3110" w:type="dxa"/>
          </w:tcPr>
          <w:p w:rsidR="00642FB4" w:rsidRDefault="00642FB4">
            <w:pPr>
              <w:ind w:left="-3" w:right="44" w:firstLine="3"/>
              <w:rPr>
                <w:sz w:val="20"/>
                <w:szCs w:val="20"/>
                <w:lang w:val="uk-UA"/>
              </w:rPr>
            </w:pPr>
            <w:r>
              <w:rPr>
                <w:sz w:val="20"/>
                <w:szCs w:val="20"/>
                <w:lang w:val="uk-UA" w:eastAsia="uk-UA"/>
              </w:rPr>
              <w:t>Метаногенні підводні структури – Св. Георгій</w:t>
            </w:r>
          </w:p>
        </w:tc>
        <w:tc>
          <w:tcPr>
            <w:tcW w:w="1395" w:type="dxa"/>
          </w:tcPr>
          <w:p w:rsidR="00642FB4" w:rsidRDefault="00642FB4">
            <w:pPr>
              <w:ind w:left="-3" w:right="44" w:firstLine="3"/>
              <w:jc w:val="right"/>
              <w:rPr>
                <w:sz w:val="20"/>
                <w:szCs w:val="20"/>
                <w:lang w:val="uk-UA"/>
              </w:rPr>
            </w:pPr>
            <w:r>
              <w:rPr>
                <w:sz w:val="20"/>
                <w:szCs w:val="20"/>
                <w:lang w:val="uk-UA"/>
              </w:rPr>
              <w:t>6.122</w:t>
            </w:r>
          </w:p>
        </w:tc>
        <w:tc>
          <w:tcPr>
            <w:tcW w:w="2659" w:type="dxa"/>
          </w:tcPr>
          <w:p w:rsidR="00642FB4" w:rsidRDefault="00642FB4">
            <w:pPr>
              <w:jc w:val="right"/>
              <w:rPr>
                <w:sz w:val="20"/>
                <w:szCs w:val="20"/>
                <w:lang w:val="uk-UA"/>
              </w:rPr>
            </w:pPr>
            <w:r>
              <w:rPr>
                <w:sz w:val="20"/>
                <w:szCs w:val="20"/>
                <w:lang w:val="uk-UA" w:eastAsia="uk-UA"/>
              </w:rPr>
              <w:t>Чорне Море</w:t>
            </w:r>
          </w:p>
        </w:tc>
      </w:tr>
    </w:tbl>
    <w:p w:rsidR="00642FB4" w:rsidRDefault="00642FB4">
      <w:pPr>
        <w:tabs>
          <w:tab w:val="right" w:pos="8640"/>
        </w:tabs>
        <w:spacing w:before="60" w:after="60" w:line="288" w:lineRule="auto"/>
        <w:jc w:val="both"/>
        <w:rPr>
          <w:b/>
          <w:bCs/>
          <w:lang w:val="uk-UA"/>
        </w:rPr>
      </w:pPr>
    </w:p>
    <w:p w:rsidR="00642FB4" w:rsidRDefault="00642FB4">
      <w:pPr>
        <w:numPr>
          <w:ilvl w:val="0"/>
          <w:numId w:val="12"/>
        </w:numPr>
        <w:spacing w:before="60" w:after="60" w:line="288" w:lineRule="auto"/>
        <w:ind w:left="1080"/>
        <w:jc w:val="both"/>
        <w:rPr>
          <w:b/>
          <w:bCs/>
          <w:lang w:val="ru-RU"/>
        </w:rPr>
      </w:pPr>
      <w:r>
        <w:rPr>
          <w:b/>
          <w:bCs/>
          <w:lang w:val="uk-UA" w:eastAsia="uk-UA"/>
        </w:rPr>
        <w:t>ROSCI 0012 Рукав Мечін</w:t>
      </w:r>
    </w:p>
    <w:p w:rsidR="00642FB4" w:rsidRDefault="001C33BE">
      <w:pPr>
        <w:autoSpaceDE w:val="0"/>
        <w:autoSpaceDN w:val="0"/>
        <w:adjustRightInd w:val="0"/>
        <w:spacing w:before="60" w:after="60" w:line="288" w:lineRule="auto"/>
        <w:ind w:firstLine="709"/>
        <w:jc w:val="both"/>
        <w:rPr>
          <w:lang w:val="ru-RU"/>
        </w:rPr>
      </w:pPr>
      <w:r>
        <w:rPr>
          <w:noProof/>
          <w:lang w:val="en-US" w:eastAsia="en-US"/>
        </w:rPr>
        <w:drawing>
          <wp:anchor distT="0" distB="0" distL="114300" distR="114300" simplePos="0" relativeHeight="251655680" behindDoc="1" locked="0" layoutInCell="1" allowOverlap="1" wp14:anchorId="1B8E4568" wp14:editId="3C0965A6">
            <wp:simplePos x="0" y="0"/>
            <wp:positionH relativeFrom="column">
              <wp:posOffset>45720</wp:posOffset>
            </wp:positionH>
            <wp:positionV relativeFrom="paragraph">
              <wp:posOffset>868045</wp:posOffset>
            </wp:positionV>
            <wp:extent cx="2980690" cy="1920240"/>
            <wp:effectExtent l="19050" t="0" r="0" b="0"/>
            <wp:wrapThrough wrapText="bothSides">
              <wp:wrapPolygon edited="0">
                <wp:start x="-138" y="0"/>
                <wp:lineTo x="-138" y="21429"/>
                <wp:lineTo x="21536" y="21429"/>
                <wp:lineTo x="21536" y="0"/>
                <wp:lineTo x="-138" y="0"/>
              </wp:wrapPolygon>
            </wp:wrapThrough>
            <wp:docPr id="37" name="Picture 5" descr="IMG_4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4937"/>
                    <pic:cNvPicPr>
                      <a:picLocks noChangeAspect="1" noChangeArrowheads="1"/>
                    </pic:cNvPicPr>
                  </pic:nvPicPr>
                  <pic:blipFill>
                    <a:blip r:embed="rId67" cstate="print"/>
                    <a:srcRect/>
                    <a:stretch>
                      <a:fillRect/>
                    </a:stretch>
                  </pic:blipFill>
                  <pic:spPr bwMode="auto">
                    <a:xfrm>
                      <a:off x="0" y="0"/>
                      <a:ext cx="2980690" cy="1920240"/>
                    </a:xfrm>
                    <a:prstGeom prst="rect">
                      <a:avLst/>
                    </a:prstGeom>
                    <a:noFill/>
                    <a:ln w="9525">
                      <a:noFill/>
                      <a:miter lim="800000"/>
                      <a:headEnd/>
                      <a:tailEnd/>
                    </a:ln>
                  </pic:spPr>
                </pic:pic>
              </a:graphicData>
            </a:graphic>
          </wp:anchor>
        </w:drawing>
      </w:r>
      <w:r w:rsidR="00642FB4">
        <w:rPr>
          <w:lang w:val="uk-UA" w:eastAsia="uk-UA"/>
        </w:rPr>
        <w:t>Територія важлива насамперед для збереження місця існування 92A0 Верб білою (</w:t>
      </w:r>
      <w:r w:rsidR="00642FB4">
        <w:rPr>
          <w:i/>
          <w:iCs/>
          <w:lang w:val="uk-UA" w:eastAsia="uk-UA"/>
        </w:rPr>
        <w:t>Salix alba)</w:t>
      </w:r>
      <w:r w:rsidR="00642FB4">
        <w:rPr>
          <w:lang w:val="uk-UA" w:eastAsia="uk-UA"/>
        </w:rPr>
        <w:t xml:space="preserve"> і Білого тополя (</w:t>
      </w:r>
      <w:r w:rsidR="00642FB4">
        <w:rPr>
          <w:i/>
          <w:iCs/>
          <w:lang w:val="uk-UA" w:eastAsia="uk-UA"/>
        </w:rPr>
        <w:t>Populus alba galleries)</w:t>
      </w:r>
      <w:r w:rsidR="00642FB4">
        <w:rPr>
          <w:lang w:val="uk-UA" w:eastAsia="uk-UA"/>
        </w:rPr>
        <w:t>, які займають приблизно 19,41% цієї території, і відповідно 4% місць існування на національному рівні. Місце існування представлене великими або меншими площами і деревами над якими не проводилися лісові втручання, із самого початку, і ця площа може вважатися невинним лісом (в даний час або потенційними). До теперішнього часу не були виявлені вікові дерева цього середовища.</w:t>
      </w:r>
    </w:p>
    <w:p w:rsidR="00642FB4" w:rsidRDefault="00642FB4">
      <w:pPr>
        <w:autoSpaceDE w:val="0"/>
        <w:autoSpaceDN w:val="0"/>
        <w:adjustRightInd w:val="0"/>
        <w:spacing w:before="60" w:after="60" w:line="288" w:lineRule="auto"/>
        <w:ind w:firstLine="709"/>
        <w:jc w:val="both"/>
        <w:rPr>
          <w:lang w:val="uk-UA"/>
        </w:rPr>
      </w:pPr>
      <w:r>
        <w:rPr>
          <w:lang w:val="uk-UA" w:eastAsia="uk-UA"/>
        </w:rPr>
        <w:t xml:space="preserve">На другому місці з погляду значення знаходиться пріоритетне місце існування 62C0* понто-сарматичні степи, які займають приблизно 4% національної площі середовища проживання, представлені степами злакових білих видів (асоціація </w:t>
      </w:r>
      <w:r>
        <w:rPr>
          <w:i/>
          <w:iCs/>
          <w:lang w:val="uk-UA" w:eastAsia="uk-UA"/>
        </w:rPr>
        <w:t>Agropyretum pectiniformae</w:t>
      </w:r>
      <w:r>
        <w:rPr>
          <w:lang w:val="uk-UA" w:eastAsia="uk-UA"/>
        </w:rPr>
        <w:t xml:space="preserve">), які в Румунії зустрічають в основному в Добродже, і петрофільні степи на палеозойських сланцях (асоціація </w:t>
      </w:r>
      <w:r>
        <w:rPr>
          <w:i/>
          <w:iCs/>
          <w:lang w:val="uk-UA" w:eastAsia="uk-UA"/>
        </w:rPr>
        <w:t>Sedo hillebrandtii- Polytrichetum piliferi</w:t>
      </w:r>
      <w:r>
        <w:rPr>
          <w:lang w:val="uk-UA" w:eastAsia="uk-UA"/>
        </w:rPr>
        <w:t xml:space="preserve">) включені в ендемічний зв'язок для Доброджі </w:t>
      </w:r>
      <w:r>
        <w:rPr>
          <w:i/>
          <w:iCs/>
          <w:lang w:val="uk-UA" w:eastAsia="uk-UA"/>
        </w:rPr>
        <w:t>Pimpinello-Thymion zygioidi</w:t>
      </w:r>
      <w:r>
        <w:rPr>
          <w:lang w:val="uk-UA" w:eastAsia="uk-UA"/>
        </w:rPr>
        <w:t xml:space="preserve"> (Санда, Аркуш, 1999).</w:t>
      </w:r>
    </w:p>
    <w:p w:rsidR="00642FB4" w:rsidRDefault="00642FB4">
      <w:pPr>
        <w:autoSpaceDE w:val="0"/>
        <w:autoSpaceDN w:val="0"/>
        <w:adjustRightInd w:val="0"/>
        <w:spacing w:before="60" w:after="60" w:line="288" w:lineRule="auto"/>
        <w:ind w:firstLine="709"/>
        <w:jc w:val="both"/>
        <w:rPr>
          <w:lang w:val="uk-UA"/>
        </w:rPr>
      </w:pPr>
      <w:r>
        <w:rPr>
          <w:lang w:val="uk-UA" w:eastAsia="uk-UA"/>
        </w:rPr>
        <w:t xml:space="preserve">На території був зафіксований (Севулєску, 1976) вид коммунітарного значення </w:t>
      </w:r>
      <w:r>
        <w:rPr>
          <w:i/>
          <w:iCs/>
          <w:lang w:val="uk-UA" w:eastAsia="uk-UA"/>
        </w:rPr>
        <w:t>Marsilea quadrifolia</w:t>
      </w:r>
      <w:r>
        <w:rPr>
          <w:lang w:val="uk-UA" w:eastAsia="uk-UA"/>
        </w:rPr>
        <w:t>, із зони озера Рускус, яке існує і в даний час (але як пристрій рибовода), і тому можна припустити, що цей вигляд не зник.</w:t>
      </w:r>
    </w:p>
    <w:p w:rsidR="00642FB4" w:rsidRDefault="00642FB4">
      <w:pPr>
        <w:autoSpaceDE w:val="0"/>
        <w:autoSpaceDN w:val="0"/>
        <w:adjustRightInd w:val="0"/>
        <w:spacing w:before="60" w:after="60" w:line="288" w:lineRule="auto"/>
        <w:ind w:firstLine="709"/>
        <w:jc w:val="both"/>
        <w:rPr>
          <w:lang w:val="uk-UA"/>
        </w:rPr>
      </w:pPr>
      <w:r>
        <w:rPr>
          <w:lang w:val="uk-UA" w:eastAsia="uk-UA"/>
        </w:rPr>
        <w:t>Територія представляє північну частину коридору міграції видів рослин з Балканського півострова у бік Північної Доброджі і Дельти Дунаю. Додатково, вона складає і важливий шлях міграції птахів (і запропонована як SPA), а також для певних видів риб, зокрема осетрових.</w:t>
      </w:r>
    </w:p>
    <w:p w:rsidR="00642FB4" w:rsidRDefault="00642FB4">
      <w:pPr>
        <w:autoSpaceDE w:val="0"/>
        <w:autoSpaceDN w:val="0"/>
        <w:adjustRightInd w:val="0"/>
        <w:spacing w:before="60" w:after="60" w:line="288" w:lineRule="auto"/>
        <w:ind w:firstLine="709"/>
        <w:jc w:val="both"/>
        <w:rPr>
          <w:lang w:val="uk-UA"/>
        </w:rPr>
      </w:pPr>
      <w:r>
        <w:rPr>
          <w:lang w:val="uk-UA" w:eastAsia="uk-UA"/>
        </w:rPr>
        <w:t>Включення потоку Дунаю в цю територію є істотним для забезпечення тривалості і для транспортування водою річки органів розмноження (насіння, втечі і інше) різних видів рослин, факт, який сприяє їх розмноженню у бік Північної Доброджі і Ділові Дунаю.</w:t>
      </w:r>
    </w:p>
    <w:p w:rsidR="00642FB4" w:rsidRDefault="00642FB4">
      <w:pPr>
        <w:spacing w:before="60" w:after="60" w:line="288" w:lineRule="auto"/>
        <w:jc w:val="both"/>
        <w:rPr>
          <w:b/>
          <w:bCs/>
          <w:color w:val="FF0000"/>
          <w:lang w:val="uk-UA"/>
        </w:rPr>
      </w:pPr>
    </w:p>
    <w:p w:rsidR="00642FB4" w:rsidRDefault="00642FB4">
      <w:pPr>
        <w:numPr>
          <w:ilvl w:val="0"/>
          <w:numId w:val="12"/>
        </w:numPr>
        <w:spacing w:before="60" w:after="60" w:line="288" w:lineRule="auto"/>
        <w:ind w:left="1080"/>
        <w:jc w:val="both"/>
        <w:rPr>
          <w:b/>
          <w:bCs/>
          <w:lang w:val="ru-RU"/>
        </w:rPr>
      </w:pPr>
      <w:r>
        <w:rPr>
          <w:b/>
          <w:bCs/>
          <w:lang w:val="uk-UA" w:eastAsia="uk-UA"/>
        </w:rPr>
        <w:t>ROSCI 0060 Горбів Аджігіола</w:t>
      </w:r>
    </w:p>
    <w:p w:rsidR="00642FB4" w:rsidRDefault="001C33BE">
      <w:pPr>
        <w:spacing w:before="60" w:after="60" w:line="288" w:lineRule="auto"/>
        <w:ind w:firstLine="720"/>
        <w:jc w:val="both"/>
        <w:rPr>
          <w:lang w:val="ru-RU"/>
        </w:rPr>
      </w:pPr>
      <w:r>
        <w:rPr>
          <w:noProof/>
          <w:lang w:val="en-US" w:eastAsia="en-US"/>
        </w:rPr>
        <w:drawing>
          <wp:anchor distT="0" distB="0" distL="114300" distR="114300" simplePos="0" relativeHeight="251654656" behindDoc="1" locked="0" layoutInCell="1" allowOverlap="1" wp14:anchorId="4F8D53FE" wp14:editId="7BDC0412">
            <wp:simplePos x="0" y="0"/>
            <wp:positionH relativeFrom="column">
              <wp:posOffset>1905</wp:posOffset>
            </wp:positionH>
            <wp:positionV relativeFrom="paragraph">
              <wp:posOffset>172720</wp:posOffset>
            </wp:positionV>
            <wp:extent cx="2433955" cy="1920240"/>
            <wp:effectExtent l="19050" t="0" r="4445" b="0"/>
            <wp:wrapTight wrapText="bothSides">
              <wp:wrapPolygon edited="0">
                <wp:start x="-169" y="0"/>
                <wp:lineTo x="-169" y="21429"/>
                <wp:lineTo x="21639" y="21429"/>
                <wp:lineTo x="21639" y="0"/>
                <wp:lineTo x="-169" y="0"/>
              </wp:wrapPolygon>
            </wp:wrapTight>
            <wp:docPr id="33" name="Picture 4" descr="IMG_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118"/>
                    <pic:cNvPicPr>
                      <a:picLocks noChangeAspect="1" noChangeArrowheads="1"/>
                    </pic:cNvPicPr>
                  </pic:nvPicPr>
                  <pic:blipFill>
                    <a:blip r:embed="rId68" cstate="print"/>
                    <a:srcRect/>
                    <a:stretch>
                      <a:fillRect/>
                    </a:stretch>
                  </pic:blipFill>
                  <pic:spPr bwMode="auto">
                    <a:xfrm>
                      <a:off x="0" y="0"/>
                      <a:ext cx="2433955" cy="1920240"/>
                    </a:xfrm>
                    <a:prstGeom prst="rect">
                      <a:avLst/>
                    </a:prstGeom>
                    <a:noFill/>
                    <a:ln w="9525">
                      <a:noFill/>
                      <a:miter lim="800000"/>
                      <a:headEnd/>
                      <a:tailEnd/>
                    </a:ln>
                  </pic:spPr>
                </pic:pic>
              </a:graphicData>
            </a:graphic>
          </wp:anchor>
        </w:drawing>
      </w:r>
    </w:p>
    <w:p w:rsidR="00642FB4" w:rsidRDefault="00642FB4">
      <w:pPr>
        <w:spacing w:before="60" w:after="60" w:line="288" w:lineRule="auto"/>
        <w:ind w:firstLine="709"/>
        <w:jc w:val="both"/>
        <w:rPr>
          <w:lang w:val="uk-UA"/>
        </w:rPr>
      </w:pPr>
      <w:r>
        <w:rPr>
          <w:lang w:val="uk-UA" w:eastAsia="uk-UA"/>
        </w:rPr>
        <w:t xml:space="preserve">Територія характеризується присутністю 3 пріоритетних місць існування. В рамках найважливішого місця існування території, відповідно 62C0* понто-сарматичні степи, які займають приблизно 0,9% національної площі місця існування, велике значення має асоціація </w:t>
      </w:r>
      <w:r>
        <w:rPr>
          <w:i/>
          <w:iCs/>
          <w:lang w:val="uk-UA" w:eastAsia="uk-UA"/>
        </w:rPr>
        <w:t>Agropyro brandzae – Thymetum zygioidi</w:t>
      </w:r>
      <w:r>
        <w:rPr>
          <w:lang w:val="uk-UA" w:eastAsia="uk-UA"/>
        </w:rPr>
        <w:t xml:space="preserve">, яка є ендемічною для Доброджі (Санда, Аркуш, 1999), яка займає значні території приблизно сотні гектарів. В рамках цієї асоціації необхідно підкреслити присутність важливої популяції виду </w:t>
      </w:r>
      <w:r>
        <w:rPr>
          <w:i/>
          <w:iCs/>
          <w:lang w:val="uk-UA" w:eastAsia="uk-UA"/>
        </w:rPr>
        <w:t xml:space="preserve">Euphorbia myrsinites </w:t>
      </w:r>
      <w:r>
        <w:rPr>
          <w:lang w:val="uk-UA" w:eastAsia="uk-UA"/>
        </w:rPr>
        <w:t>(Молочай миртолистний), рослина, яка включена в національний червоний список (Олтян і др.,1994), яка зустрічається дуже рідко в Добродже, єдина область Румунії в якій зустрічається таксон.</w:t>
      </w:r>
    </w:p>
    <w:p w:rsidR="00642FB4" w:rsidRDefault="00642FB4">
      <w:pPr>
        <w:autoSpaceDE w:val="0"/>
        <w:autoSpaceDN w:val="0"/>
        <w:adjustRightInd w:val="0"/>
        <w:spacing w:before="60" w:after="60" w:line="288" w:lineRule="auto"/>
        <w:ind w:firstLine="709"/>
        <w:jc w:val="both"/>
        <w:rPr>
          <w:lang w:val="uk-UA"/>
        </w:rPr>
      </w:pPr>
      <w:r>
        <w:rPr>
          <w:lang w:val="uk-UA" w:eastAsia="uk-UA"/>
        </w:rPr>
        <w:t>Друге місце по важливості займає місце існування 91AA* лісова понто-сарматська рослинність з Пухнатим дубом (</w:t>
      </w:r>
      <w:r>
        <w:rPr>
          <w:i/>
          <w:iCs/>
          <w:lang w:val="uk-UA" w:eastAsia="uk-UA"/>
        </w:rPr>
        <w:t>Quйrcus pubйscens</w:t>
      </w:r>
      <w:r>
        <w:rPr>
          <w:lang w:val="uk-UA" w:eastAsia="uk-UA"/>
        </w:rPr>
        <w:t xml:space="preserve">), представлене асоціацією </w:t>
      </w:r>
      <w:r>
        <w:rPr>
          <w:i/>
          <w:iCs/>
          <w:lang w:val="uk-UA" w:eastAsia="uk-UA"/>
        </w:rPr>
        <w:t xml:space="preserve">Paeonio peregrinae – Carpinetum orientalis, </w:t>
      </w:r>
      <w:r>
        <w:rPr>
          <w:lang w:val="uk-UA" w:eastAsia="uk-UA"/>
        </w:rPr>
        <w:t>поширене в країні переважно в Добродже.</w:t>
      </w:r>
    </w:p>
    <w:p w:rsidR="00642FB4" w:rsidRDefault="00642FB4">
      <w:pPr>
        <w:autoSpaceDE w:val="0"/>
        <w:autoSpaceDN w:val="0"/>
        <w:adjustRightInd w:val="0"/>
        <w:spacing w:before="60" w:after="60" w:line="288" w:lineRule="auto"/>
        <w:ind w:firstLine="709"/>
        <w:jc w:val="both"/>
        <w:rPr>
          <w:b/>
          <w:bCs/>
          <w:lang w:val="uk-UA"/>
        </w:rPr>
      </w:pPr>
      <w:r>
        <w:rPr>
          <w:lang w:val="uk-UA" w:eastAsia="uk-UA"/>
        </w:rPr>
        <w:t xml:space="preserve">На території зустрічаються і інші види з національного червоного списку (Олтян і ін., 1994), відповідно: </w:t>
      </w:r>
      <w:r>
        <w:rPr>
          <w:i/>
          <w:iCs/>
          <w:lang w:val="uk-UA" w:eastAsia="uk-UA"/>
        </w:rPr>
        <w:t xml:space="preserve">Agropyron brandzae, Koeleria lobata, Thymus zygioides </w:t>
      </w:r>
      <w:r>
        <w:rPr>
          <w:lang w:val="uk-UA" w:eastAsia="uk-UA"/>
        </w:rPr>
        <w:t>і ін., з яких перший таксон вказаний і в європейському червоному списку.</w:t>
      </w:r>
    </w:p>
    <w:p w:rsidR="00642FB4" w:rsidRDefault="00642FB4">
      <w:pPr>
        <w:spacing w:before="60" w:after="60" w:line="288" w:lineRule="auto"/>
        <w:jc w:val="both"/>
        <w:rPr>
          <w:b/>
          <w:bCs/>
          <w:lang w:val="uk-UA"/>
        </w:rPr>
      </w:pPr>
    </w:p>
    <w:p w:rsidR="00642FB4" w:rsidRDefault="00642FB4">
      <w:pPr>
        <w:numPr>
          <w:ilvl w:val="0"/>
          <w:numId w:val="12"/>
        </w:numPr>
        <w:spacing w:before="60" w:after="60" w:line="288" w:lineRule="auto"/>
        <w:ind w:left="1080"/>
        <w:jc w:val="both"/>
        <w:rPr>
          <w:b/>
          <w:bCs/>
          <w:lang w:val="uk-UA"/>
        </w:rPr>
      </w:pPr>
      <w:r>
        <w:rPr>
          <w:b/>
          <w:bCs/>
          <w:lang w:val="uk-UA" w:eastAsia="uk-UA"/>
        </w:rPr>
        <w:t>ROSCI 0067 Деніз Тепе</w:t>
      </w:r>
    </w:p>
    <w:p w:rsidR="00642FB4" w:rsidRDefault="00642FB4">
      <w:pPr>
        <w:spacing w:before="60" w:after="60" w:line="288" w:lineRule="auto"/>
        <w:ind w:firstLine="709"/>
        <w:jc w:val="both"/>
        <w:rPr>
          <w:lang w:val="uk-UA"/>
        </w:rPr>
      </w:pPr>
      <w:r>
        <w:rPr>
          <w:lang w:val="uk-UA" w:eastAsia="uk-UA"/>
        </w:rPr>
        <w:t>Територія важлива оскільки майже повністю покрита пріоритетним місцем існування 62CO* понто-сарматичного степу, і біля неї розташовано інше місце існування – 40 CO* понто-сарматичні хащі чагарників листяних порід.</w:t>
      </w:r>
    </w:p>
    <w:p w:rsidR="00642FB4" w:rsidRDefault="00642FB4">
      <w:pPr>
        <w:spacing w:before="60" w:after="60" w:line="288" w:lineRule="auto"/>
        <w:ind w:firstLine="709"/>
        <w:jc w:val="both"/>
        <w:rPr>
          <w:b/>
          <w:bCs/>
          <w:lang w:val="uk-UA"/>
        </w:rPr>
      </w:pPr>
      <w:r>
        <w:rPr>
          <w:lang w:val="uk-UA" w:eastAsia="uk-UA"/>
        </w:rPr>
        <w:t xml:space="preserve">Також, ця територія важлива як місце існування для інших важливих видів рослин і птахів: </w:t>
      </w:r>
      <w:r>
        <w:rPr>
          <w:i/>
          <w:iCs/>
          <w:lang w:val="uk-UA" w:eastAsia="uk-UA"/>
        </w:rPr>
        <w:t>Campanula romanica</w:t>
      </w:r>
      <w:r>
        <w:rPr>
          <w:lang w:val="uk-UA" w:eastAsia="uk-UA"/>
        </w:rPr>
        <w:t xml:space="preserve"> (доброджанский дзвоник), </w:t>
      </w:r>
      <w:r>
        <w:rPr>
          <w:i/>
          <w:iCs/>
          <w:lang w:val="uk-UA" w:eastAsia="uk-UA"/>
        </w:rPr>
        <w:t>Elaphe quatorlineata</w:t>
      </w:r>
      <w:r>
        <w:rPr>
          <w:lang w:val="uk-UA" w:eastAsia="uk-UA"/>
        </w:rPr>
        <w:t xml:space="preserve"> (четирьохсмуговий повзучий полоз) і </w:t>
      </w:r>
      <w:r>
        <w:rPr>
          <w:i/>
          <w:iCs/>
          <w:lang w:val="uk-UA" w:eastAsia="uk-UA"/>
        </w:rPr>
        <w:t xml:space="preserve">Spermophilus citellus </w:t>
      </w:r>
      <w:r>
        <w:rPr>
          <w:lang w:val="uk-UA" w:eastAsia="uk-UA"/>
        </w:rPr>
        <w:t>(європейський, або сірий ховрах). Територія була оголошена ще в 2004 році захищеною натуральною територією і представляє і геологічне / геоморфологічне значення, свідком юрської ерозії, що є, і тут же були виявлені і копалини того ж періоду.</w:t>
      </w:r>
    </w:p>
    <w:p w:rsidR="00642FB4" w:rsidRDefault="00642FB4">
      <w:pPr>
        <w:spacing w:before="60" w:after="60" w:line="288" w:lineRule="auto"/>
        <w:jc w:val="both"/>
        <w:rPr>
          <w:b/>
          <w:bCs/>
          <w:lang w:val="uk-UA"/>
        </w:rPr>
      </w:pPr>
    </w:p>
    <w:p w:rsidR="00642FB4" w:rsidRDefault="00642FB4">
      <w:pPr>
        <w:numPr>
          <w:ilvl w:val="0"/>
          <w:numId w:val="12"/>
        </w:numPr>
        <w:spacing w:before="60" w:after="60" w:line="288" w:lineRule="auto"/>
        <w:ind w:left="1080"/>
        <w:jc w:val="both"/>
        <w:rPr>
          <w:b/>
          <w:bCs/>
          <w:lang w:val="uk-UA"/>
        </w:rPr>
      </w:pPr>
      <w:r>
        <w:rPr>
          <w:b/>
          <w:bCs/>
          <w:lang w:val="uk-UA" w:eastAsia="uk-UA"/>
        </w:rPr>
        <w:t>ROSCI 0123 Гори Мечіна</w:t>
      </w:r>
    </w:p>
    <w:p w:rsidR="00642FB4" w:rsidRDefault="00642FB4">
      <w:pPr>
        <w:spacing w:before="60" w:after="60" w:line="288" w:lineRule="auto"/>
        <w:ind w:firstLine="709"/>
        <w:jc w:val="both"/>
        <w:rPr>
          <w:lang w:val="uk-UA"/>
        </w:rPr>
      </w:pPr>
      <w:r>
        <w:rPr>
          <w:lang w:val="uk-UA" w:eastAsia="uk-UA"/>
        </w:rPr>
        <w:t xml:space="preserve">Значення території полягає головним чином в тому, що складена майже повністю з місць існування коммунітарного значення, окрім тих, які характерні цим горам, додані і місця існування солей, через включення в цю територію озер Серат (у перекладі «солоне») і Слатіна (солоне місце). Теж на цій території виявлена найбільша площа на національному і світовому рівні місця існування 91X0, в заповіднику Валя Фаджілор (Долина буків), а решта площ з цим місцем існування розташована в SCI Північне Доброджанське плоскогір'я. Тут були виявлені і види коммунітарного значення </w:t>
      </w:r>
      <w:r>
        <w:rPr>
          <w:i/>
          <w:iCs/>
          <w:lang w:val="uk-UA" w:eastAsia="uk-UA"/>
        </w:rPr>
        <w:t>Campanula romanica, Moehringia jankae, Himantoglossum caprinum, Agrimonia pilosa, Echium russicum</w:t>
      </w:r>
      <w:r>
        <w:rPr>
          <w:lang w:val="uk-UA" w:eastAsia="uk-UA"/>
        </w:rPr>
        <w:t>.</w:t>
      </w:r>
    </w:p>
    <w:p w:rsidR="00642FB4" w:rsidRDefault="001C33BE">
      <w:pPr>
        <w:spacing w:before="60" w:after="60" w:line="288" w:lineRule="auto"/>
        <w:ind w:firstLine="720"/>
        <w:jc w:val="both"/>
        <w:rPr>
          <w:lang w:val="uk-UA"/>
        </w:rPr>
      </w:pPr>
      <w:r>
        <w:rPr>
          <w:noProof/>
          <w:lang w:val="en-US" w:eastAsia="en-US"/>
        </w:rPr>
        <w:drawing>
          <wp:anchor distT="0" distB="0" distL="114300" distR="114300" simplePos="0" relativeHeight="251656704" behindDoc="1" locked="0" layoutInCell="1" allowOverlap="1" wp14:anchorId="42952DB6" wp14:editId="70076CAA">
            <wp:simplePos x="0" y="0"/>
            <wp:positionH relativeFrom="column">
              <wp:posOffset>-66675</wp:posOffset>
            </wp:positionH>
            <wp:positionV relativeFrom="paragraph">
              <wp:posOffset>-52070</wp:posOffset>
            </wp:positionV>
            <wp:extent cx="2570480" cy="1920240"/>
            <wp:effectExtent l="19050" t="0" r="1270" b="0"/>
            <wp:wrapThrough wrapText="bothSides">
              <wp:wrapPolygon edited="0">
                <wp:start x="-160" y="0"/>
                <wp:lineTo x="-160" y="21429"/>
                <wp:lineTo x="21611" y="21429"/>
                <wp:lineTo x="21611" y="0"/>
                <wp:lineTo x="-160" y="0"/>
              </wp:wrapPolygon>
            </wp:wrapThrough>
            <wp:docPr id="32" name="Picture 3" descr="Muntii M S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untii M SCI"/>
                    <pic:cNvPicPr>
                      <a:picLocks noChangeAspect="1" noChangeArrowheads="1"/>
                    </pic:cNvPicPr>
                  </pic:nvPicPr>
                  <pic:blipFill>
                    <a:blip r:embed="rId69" cstate="print"/>
                    <a:srcRect/>
                    <a:stretch>
                      <a:fillRect/>
                    </a:stretch>
                  </pic:blipFill>
                  <pic:spPr bwMode="auto">
                    <a:xfrm>
                      <a:off x="0" y="0"/>
                      <a:ext cx="2570480" cy="1920240"/>
                    </a:xfrm>
                    <a:prstGeom prst="rect">
                      <a:avLst/>
                    </a:prstGeom>
                    <a:noFill/>
                    <a:ln w="9525">
                      <a:noFill/>
                      <a:miter lim="800000"/>
                      <a:headEnd/>
                      <a:tailEnd/>
                    </a:ln>
                  </pic:spPr>
                </pic:pic>
              </a:graphicData>
            </a:graphic>
          </wp:anchor>
        </w:drawing>
      </w:r>
      <w:r w:rsidR="00642FB4">
        <w:rPr>
          <w:lang w:val="uk-UA" w:eastAsia="uk-UA"/>
        </w:rPr>
        <w:t>Окрім унікального характеру з геологічної точки зору, Гори Мечіна, найстародавніші гори Румунії, завойовують визнання з їх характерним пейзажем, який неможливо більше знайти на національному рівні, і який є результатом комбінації між геоморфологічними аспектами (мегалітичні гранітні утворення) і фитоценокомплексами, типовими для більшості поверхів і рослинних зон  Доброджі (балканські, середземноморські ліси, лісостеп і степ), Пєтрєску М., 2007 р.).</w:t>
      </w:r>
    </w:p>
    <w:p w:rsidR="00642FB4" w:rsidRDefault="00642FB4">
      <w:pPr>
        <w:spacing w:before="60" w:after="60" w:line="288" w:lineRule="auto"/>
        <w:ind w:firstLine="720"/>
        <w:jc w:val="both"/>
        <w:rPr>
          <w:lang w:val="uk-UA"/>
        </w:rPr>
      </w:pPr>
      <w:r>
        <w:rPr>
          <w:lang w:val="uk-UA"/>
        </w:rPr>
        <w:t xml:space="preserve"> </w:t>
      </w:r>
    </w:p>
    <w:p w:rsidR="00642FB4" w:rsidRDefault="00642FB4">
      <w:pPr>
        <w:numPr>
          <w:ilvl w:val="0"/>
          <w:numId w:val="12"/>
        </w:numPr>
        <w:spacing w:before="60" w:after="60" w:line="288" w:lineRule="auto"/>
        <w:ind w:left="1080"/>
        <w:jc w:val="both"/>
        <w:rPr>
          <w:b/>
          <w:bCs/>
          <w:lang w:val="uk-UA"/>
        </w:rPr>
      </w:pPr>
      <w:bookmarkStart w:id="31" w:name="_Toc418279307"/>
      <w:r>
        <w:rPr>
          <w:b/>
          <w:bCs/>
          <w:lang w:val="uk-UA" w:eastAsia="uk-UA"/>
        </w:rPr>
        <w:t xml:space="preserve">ROSCI 0201 Північне Доброджанське плоскогір'я </w:t>
      </w:r>
    </w:p>
    <w:p w:rsidR="00642FB4" w:rsidRDefault="00642FB4">
      <w:pPr>
        <w:autoSpaceDE w:val="0"/>
        <w:autoSpaceDN w:val="0"/>
        <w:adjustRightInd w:val="0"/>
        <w:spacing w:before="60" w:after="60" w:line="288" w:lineRule="auto"/>
        <w:ind w:firstLine="709"/>
        <w:jc w:val="both"/>
        <w:rPr>
          <w:lang w:val="uk-UA"/>
        </w:rPr>
      </w:pPr>
      <w:r>
        <w:rPr>
          <w:lang w:val="uk-UA" w:eastAsia="uk-UA"/>
        </w:rPr>
        <w:t xml:space="preserve">На території знаходяться 23 законно сформованих природних заповідника національного значення, таких, що охоплюють 7520,55 гектара. На національному рівні це найпоширеніша захищена і репрезентативна територія степового біорегіону, і складається на 95,5% (84.812 гектара) з місць існування коммунітарного значення, з яких степові місця існування (17000 гектара-19,14%). </w:t>
      </w:r>
    </w:p>
    <w:p w:rsidR="00642FB4" w:rsidRDefault="00642FB4">
      <w:pPr>
        <w:autoSpaceDE w:val="0"/>
        <w:autoSpaceDN w:val="0"/>
        <w:adjustRightInd w:val="0"/>
        <w:spacing w:before="60" w:after="60" w:line="288" w:lineRule="auto"/>
        <w:ind w:firstLine="709"/>
        <w:jc w:val="both"/>
        <w:rPr>
          <w:lang w:val="uk-UA"/>
        </w:rPr>
      </w:pPr>
      <w:r>
        <w:rPr>
          <w:lang w:val="uk-UA" w:eastAsia="uk-UA"/>
        </w:rPr>
        <w:t>У середовищах мешкання ліси, які, також, мають коммунітарне значення, панує група середовищ мешкання 41.7 Thermophilous і ліси над-середземноморського дуба (що містить типи 91IO, 91 MO, 91AA) – 34000 гектара (38,19%), за якою слідує середовище мешкання 41.2 (представлене типом 91YO) – 21000 гектара (23, 591%), інші лісові місця існування мають обмежену частку, відповідно 91XO -1 гектара (0,001 %); 92AО – 10 гектара (0,011%). Середовища мешкання чагарників коммунітарного значення також репрезентативні, займаючи приблизну площу в 35,6% (1780,8 гектара).</w:t>
      </w:r>
    </w:p>
    <w:p w:rsidR="00642FB4" w:rsidRDefault="00642FB4">
      <w:pPr>
        <w:autoSpaceDE w:val="0"/>
        <w:autoSpaceDN w:val="0"/>
        <w:adjustRightInd w:val="0"/>
        <w:spacing w:before="60" w:after="60" w:line="288" w:lineRule="auto"/>
        <w:ind w:firstLine="709"/>
        <w:jc w:val="both"/>
        <w:rPr>
          <w:lang w:val="uk-UA"/>
        </w:rPr>
      </w:pPr>
      <w:r>
        <w:rPr>
          <w:lang w:val="uk-UA" w:eastAsia="uk-UA"/>
        </w:rPr>
        <w:t>Важливо підкреслити, що територія консервує фітоценози, які послужили для початкового фітоценологічного опису більшості утішних асоціацій і численних асоціацій лугів і чагарників, характерних для Доброджі (Діхору, Доніце, 1970), і їх збереження дуже важлива з наукової точки зору. Середовище мешкання 62CO* є самим репрезентативним для степового біорегіону  в якому розташована захищена територія, тому важливо деталізувати певні аспекти того, що стосується її.</w:t>
      </w:r>
    </w:p>
    <w:p w:rsidR="00642FB4" w:rsidRDefault="00642FB4">
      <w:pPr>
        <w:autoSpaceDE w:val="0"/>
        <w:autoSpaceDN w:val="0"/>
        <w:adjustRightInd w:val="0"/>
        <w:spacing w:before="60" w:after="60" w:line="288" w:lineRule="auto"/>
        <w:ind w:firstLine="709"/>
        <w:jc w:val="both"/>
        <w:rPr>
          <w:lang w:val="uk-UA"/>
        </w:rPr>
      </w:pPr>
      <w:r>
        <w:rPr>
          <w:lang w:val="uk-UA" w:eastAsia="uk-UA"/>
        </w:rPr>
        <w:t>На національному рівні вважається, що площу понто-сарматичних степів займає не більше 60.000 гектара, з яких 40.000 гектара розташовані в Доброджі (30.000 гектара в повіті Тулча, 10.000 гектара в повіті Констанца). Останні не більше 20000 гектара розташовані в інших зонах Румунії, але загалом на роздроблених площах і схильних до інтенсивного випасу, особливо в степовому біорегіоні, площа за цією межею загалом не є типовим степом, климак, а результатом появи степу унаслідок валяння лісів.</w:t>
      </w:r>
    </w:p>
    <w:p w:rsidR="00642FB4" w:rsidRDefault="00642FB4">
      <w:pPr>
        <w:autoSpaceDE w:val="0"/>
        <w:autoSpaceDN w:val="0"/>
        <w:adjustRightInd w:val="0"/>
        <w:spacing w:before="60" w:after="60" w:line="288" w:lineRule="auto"/>
        <w:ind w:firstLine="709"/>
        <w:jc w:val="both"/>
        <w:rPr>
          <w:lang w:eastAsia="uk-UA"/>
        </w:rPr>
      </w:pPr>
      <w:r>
        <w:rPr>
          <w:lang w:val="uk-UA" w:eastAsia="uk-UA"/>
        </w:rPr>
        <w:t xml:space="preserve">Отже можливість створення захищених територій, репрезентативних для цього місця існування (на достатньо розширеній площі для забезпечення задовільного відсотка для цього пріоритетного місця існування), існує тільки в Доброджі, і зокрема в повіті Тулча, де існує найбільша і компактна площа цього місця існування. </w:t>
      </w:r>
    </w:p>
    <w:p w:rsidR="00642FB4" w:rsidRDefault="00642FB4">
      <w:pPr>
        <w:autoSpaceDE w:val="0"/>
        <w:autoSpaceDN w:val="0"/>
        <w:adjustRightInd w:val="0"/>
        <w:spacing w:before="60" w:after="60" w:line="288" w:lineRule="auto"/>
        <w:ind w:firstLine="709"/>
        <w:jc w:val="both"/>
        <w:rPr>
          <w:lang w:val="uk-UA"/>
        </w:rPr>
      </w:pPr>
      <w:r>
        <w:rPr>
          <w:lang w:val="uk-UA" w:eastAsia="uk-UA"/>
        </w:rPr>
        <w:t>Місце існування представлене асоціаціями з союзу Stipion lessingianae, Festucetum valesiacae, Pimpinello-Thymion zygioidi, Agropyro- Kochion. В рамках цього місця існування підтип 34.9211 (який охоплює асоціації з союзу Pimpinello-Thymion zygioidi) ендемічний для Доброджі (Санда, Аркуш, 1999 ; Діхору, Доніце, 1970), територія охоплює велику частину розповсюдження на національному і світовому рівні. Ця ситуація дійсна і для деяких асоціацій, які специфічні цій провінції, відповідно асоціації Stipo ucrainicae – Festucetum valesiacae, Bombycilaeno – Botriochloetum ischaemi, під асоціації dobrogicum ценотаксонов Stipetum capillatae, Thymio pannonici – Chrysopogonetum grylli Діхору, Доніце, 1970, Хоряну,1976).</w:t>
      </w:r>
      <w:r>
        <w:rPr>
          <w:rFonts w:cs="Arial"/>
          <w:b/>
          <w:bCs/>
          <w:lang w:val="uk-UA" w:eastAsia="uk-UA"/>
        </w:rPr>
        <w:tab/>
      </w:r>
      <w:r>
        <w:rPr>
          <w:rFonts w:cs="Arial"/>
          <w:lang w:val="uk-UA"/>
        </w:rPr>
        <w:br w:type="page"/>
      </w:r>
      <w:bookmarkEnd w:id="31"/>
      <w:r>
        <w:rPr>
          <w:rFonts w:cs="Arial"/>
          <w:lang w:val="uk-UA" w:eastAsia="uk-UA"/>
        </w:rPr>
        <w:t xml:space="preserve">УКРАЇНА </w:t>
      </w:r>
    </w:p>
    <w:p w:rsidR="00642FB4" w:rsidRDefault="00642FB4">
      <w:pPr>
        <w:autoSpaceDE w:val="0"/>
        <w:autoSpaceDN w:val="0"/>
        <w:adjustRightInd w:val="0"/>
        <w:spacing w:before="60" w:after="60" w:line="288" w:lineRule="auto"/>
        <w:ind w:firstLine="709"/>
        <w:jc w:val="both"/>
        <w:rPr>
          <w:lang w:val="uk-UA" w:eastAsia="en-US"/>
        </w:rPr>
      </w:pPr>
      <w:r>
        <w:rPr>
          <w:lang w:val="uk-UA" w:eastAsia="uk-UA"/>
        </w:rPr>
        <w:t xml:space="preserve">Інформація про біологічну різноманітність на території України була узята з документів, представлених на наступних сайтах: </w:t>
      </w:r>
    </w:p>
    <w:p w:rsidR="00642FB4" w:rsidRDefault="006C74EB">
      <w:pPr>
        <w:numPr>
          <w:ilvl w:val="0"/>
          <w:numId w:val="46"/>
        </w:numPr>
        <w:autoSpaceDE w:val="0"/>
        <w:autoSpaceDN w:val="0"/>
        <w:adjustRightInd w:val="0"/>
        <w:spacing w:before="60" w:after="60" w:line="288" w:lineRule="auto"/>
        <w:ind w:left="993" w:hanging="284"/>
        <w:jc w:val="both"/>
        <w:rPr>
          <w:lang w:val="uk-UA"/>
        </w:rPr>
      </w:pPr>
      <w:hyperlink r:id="rId70" w:history="1">
        <w:r w:rsidR="00642FB4">
          <w:rPr>
            <w:rStyle w:val="Hyperlink"/>
            <w:rFonts w:eastAsia="Calibri"/>
            <w:b/>
            <w:bCs/>
            <w:sz w:val="22"/>
            <w:szCs w:val="22"/>
            <w:lang w:val="uk-UA"/>
          </w:rPr>
          <w:t>http://ypef.eu/files/booklet/ang/ukraine.pdf</w:t>
        </w:r>
      </w:hyperlink>
      <w:r w:rsidR="00642FB4">
        <w:rPr>
          <w:lang w:val="uk-UA" w:eastAsia="uk-UA"/>
        </w:rPr>
        <w:t xml:space="preserve"> </w:t>
      </w:r>
    </w:p>
    <w:p w:rsidR="00642FB4" w:rsidRDefault="006C74EB">
      <w:pPr>
        <w:numPr>
          <w:ilvl w:val="0"/>
          <w:numId w:val="46"/>
        </w:numPr>
        <w:autoSpaceDE w:val="0"/>
        <w:autoSpaceDN w:val="0"/>
        <w:adjustRightInd w:val="0"/>
        <w:spacing w:before="60" w:after="60" w:line="288" w:lineRule="auto"/>
        <w:ind w:left="993" w:hanging="284"/>
        <w:jc w:val="both"/>
        <w:rPr>
          <w:b/>
          <w:bCs/>
          <w:sz w:val="22"/>
          <w:szCs w:val="22"/>
          <w:u w:val="single"/>
          <w:lang w:val="uk-UA"/>
        </w:rPr>
      </w:pPr>
      <w:hyperlink r:id="rId71" w:history="1">
        <w:r w:rsidR="00642FB4">
          <w:rPr>
            <w:rStyle w:val="Hyperlink"/>
            <w:rFonts w:eastAsia="Calibri"/>
            <w:b/>
            <w:bCs/>
            <w:sz w:val="22"/>
            <w:szCs w:val="22"/>
            <w:lang w:val="uk-UA"/>
          </w:rPr>
          <w:t>http://www.brucebyersconsulting.com/wp-content/uploads/2011/07/Ukraine-Biodiversity-Analysis-Report-1-2011.pdf</w:t>
        </w:r>
      </w:hyperlink>
    </w:p>
    <w:p w:rsidR="00642FB4" w:rsidRDefault="00642FB4">
      <w:pPr>
        <w:autoSpaceDE w:val="0"/>
        <w:autoSpaceDN w:val="0"/>
        <w:adjustRightInd w:val="0"/>
        <w:spacing w:before="60" w:after="60" w:line="288" w:lineRule="auto"/>
        <w:jc w:val="both"/>
        <w:rPr>
          <w:b/>
          <w:bCs/>
          <w:sz w:val="22"/>
          <w:szCs w:val="22"/>
          <w:u w:val="single"/>
          <w:lang w:val="uk-UA"/>
        </w:rPr>
      </w:pPr>
    </w:p>
    <w:p w:rsidR="00642FB4" w:rsidRDefault="00642FB4">
      <w:pPr>
        <w:pStyle w:val="HTMLPreformatted"/>
        <w:spacing w:before="60" w:after="60" w:line="288" w:lineRule="auto"/>
        <w:ind w:firstLine="720"/>
        <w:jc w:val="both"/>
        <w:rPr>
          <w:rFonts w:ascii="Arial" w:hAnsi="Arial" w:cs="Arial"/>
          <w:sz w:val="24"/>
          <w:szCs w:val="24"/>
          <w:lang w:val="uk-UA"/>
        </w:rPr>
      </w:pPr>
      <w:r>
        <w:rPr>
          <w:rFonts w:ascii="Arial" w:hAnsi="Arial" w:cs="Arial"/>
          <w:sz w:val="24"/>
          <w:szCs w:val="24"/>
          <w:lang w:val="uk-UA" w:eastAsia="uk-UA"/>
        </w:rPr>
        <w:t xml:space="preserve">Біологічна різноманітність України складена з: 27.000 </w:t>
      </w:r>
      <w:r>
        <w:rPr>
          <w:rFonts w:ascii="Arial" w:hAnsi="Arial" w:cs="Arial"/>
          <w:b/>
          <w:bCs/>
          <w:sz w:val="24"/>
          <w:szCs w:val="24"/>
          <w:lang w:val="uk-UA" w:eastAsia="uk-UA"/>
        </w:rPr>
        <w:t xml:space="preserve">видів флори, </w:t>
      </w:r>
      <w:r>
        <w:rPr>
          <w:rFonts w:ascii="Arial" w:hAnsi="Arial" w:cs="Arial"/>
          <w:sz w:val="24"/>
          <w:szCs w:val="24"/>
          <w:lang w:val="uk-UA" w:eastAsia="uk-UA"/>
        </w:rPr>
        <w:t>а саме: види водоростей, бріофільні види, судинні види рослин.</w:t>
      </w:r>
    </w:p>
    <w:p w:rsidR="00642FB4" w:rsidRDefault="00642FB4">
      <w:pPr>
        <w:pStyle w:val="HTMLPreformatted"/>
        <w:spacing w:before="60" w:after="60" w:line="288" w:lineRule="auto"/>
        <w:ind w:firstLine="720"/>
        <w:jc w:val="both"/>
        <w:rPr>
          <w:rFonts w:ascii="Arial" w:hAnsi="Arial" w:cs="Arial"/>
          <w:sz w:val="24"/>
          <w:szCs w:val="24"/>
          <w:lang w:val="uk-UA"/>
        </w:rPr>
      </w:pPr>
      <w:r>
        <w:rPr>
          <w:rFonts w:ascii="Arial" w:hAnsi="Arial" w:cs="Arial"/>
          <w:b/>
          <w:bCs/>
          <w:sz w:val="24"/>
          <w:szCs w:val="24"/>
          <w:lang w:val="uk-UA" w:eastAsia="uk-UA"/>
        </w:rPr>
        <w:t>Фауна включає</w:t>
      </w:r>
      <w:r>
        <w:rPr>
          <w:rFonts w:ascii="Arial" w:hAnsi="Arial" w:cs="Arial"/>
          <w:sz w:val="24"/>
          <w:szCs w:val="24"/>
          <w:lang w:val="uk-UA" w:eastAsia="uk-UA"/>
        </w:rPr>
        <w:t>: види комах, риби, амфібії, рептилії, птахи, ссавці. Отже, Україна може вважатися одним з найсильніших природних резервів, необхідних для відновлення біологічної різноманітності в Європі.</w:t>
      </w:r>
    </w:p>
    <w:p w:rsidR="00642FB4" w:rsidRDefault="00642FB4">
      <w:pPr>
        <w:pStyle w:val="HTMLPreformatted"/>
        <w:spacing w:before="60" w:after="60" w:line="288" w:lineRule="auto"/>
        <w:ind w:firstLine="720"/>
        <w:jc w:val="both"/>
        <w:rPr>
          <w:rFonts w:ascii="Arial" w:hAnsi="Arial" w:cs="Arial"/>
          <w:sz w:val="24"/>
          <w:szCs w:val="24"/>
          <w:lang w:val="uk-UA"/>
        </w:rPr>
      </w:pPr>
      <w:r>
        <w:rPr>
          <w:rFonts w:ascii="Arial" w:hAnsi="Arial" w:cs="Arial"/>
          <w:sz w:val="24"/>
          <w:szCs w:val="24"/>
          <w:lang w:val="uk-UA" w:eastAsia="uk-UA"/>
        </w:rPr>
        <w:t xml:space="preserve">Єдиними природними ресурсами України є: </w:t>
      </w:r>
      <w:r>
        <w:rPr>
          <w:rFonts w:ascii="Arial" w:hAnsi="Arial" w:cs="Arial"/>
          <w:b/>
          <w:bCs/>
          <w:sz w:val="24"/>
          <w:szCs w:val="24"/>
          <w:lang w:val="uk-UA" w:eastAsia="uk-UA"/>
        </w:rPr>
        <w:t xml:space="preserve">Крим і Карпати. </w:t>
      </w:r>
    </w:p>
    <w:p w:rsidR="00642FB4" w:rsidRDefault="00642FB4">
      <w:pPr>
        <w:pStyle w:val="HTMLPreformatted"/>
        <w:spacing w:before="60" w:after="60" w:line="288" w:lineRule="auto"/>
        <w:ind w:firstLine="720"/>
        <w:jc w:val="both"/>
        <w:rPr>
          <w:rFonts w:ascii="Arial" w:hAnsi="Arial" w:cs="Arial"/>
          <w:sz w:val="24"/>
          <w:szCs w:val="24"/>
          <w:lang w:val="uk-UA"/>
        </w:rPr>
      </w:pPr>
      <w:r>
        <w:rPr>
          <w:rFonts w:ascii="Arial" w:hAnsi="Arial" w:cs="Arial"/>
          <w:i/>
          <w:iCs/>
          <w:sz w:val="24"/>
          <w:szCs w:val="24"/>
          <w:lang w:val="uk-UA" w:eastAsia="uk-UA"/>
        </w:rPr>
        <w:t xml:space="preserve">Українські Карпати </w:t>
      </w:r>
      <w:r>
        <w:rPr>
          <w:rFonts w:ascii="Arial" w:hAnsi="Arial" w:cs="Arial"/>
          <w:sz w:val="24"/>
          <w:szCs w:val="24"/>
          <w:lang w:val="uk-UA" w:eastAsia="uk-UA"/>
        </w:rPr>
        <w:t>називаються «Східними Карпатами»  або Лісистими Карпатами, головним чином завдяки зоні, яка знаходиться на їх території (до Гірського переходу Пасул Пріслоп), тоді як румуни використовують термін Східні Карпати для того, щоб позначити зону, яка тягнеться від кордону з Україною на південь.</w:t>
      </w:r>
    </w:p>
    <w:p w:rsidR="00642FB4" w:rsidRDefault="00642FB4">
      <w:pPr>
        <w:pStyle w:val="HTMLPreformatted"/>
        <w:spacing w:before="60" w:after="60" w:line="288" w:lineRule="auto"/>
        <w:ind w:firstLine="720"/>
        <w:jc w:val="both"/>
        <w:rPr>
          <w:rFonts w:ascii="Arial" w:hAnsi="Arial" w:cs="Arial"/>
          <w:sz w:val="24"/>
          <w:szCs w:val="24"/>
          <w:lang w:val="uk-UA"/>
        </w:rPr>
      </w:pPr>
      <w:r>
        <w:rPr>
          <w:rFonts w:ascii="Arial" w:hAnsi="Arial" w:cs="Arial"/>
          <w:i/>
          <w:iCs/>
          <w:sz w:val="24"/>
          <w:szCs w:val="24"/>
          <w:lang w:val="uk-UA" w:eastAsia="uk-UA"/>
        </w:rPr>
        <w:t xml:space="preserve">Півострів Крим, </w:t>
      </w:r>
      <w:r>
        <w:rPr>
          <w:rFonts w:ascii="Arial" w:hAnsi="Arial" w:cs="Arial"/>
          <w:sz w:val="24"/>
          <w:szCs w:val="24"/>
          <w:lang w:val="uk-UA" w:eastAsia="uk-UA"/>
        </w:rPr>
        <w:t xml:space="preserve">відомий під назвою </w:t>
      </w:r>
      <w:r>
        <w:rPr>
          <w:rFonts w:ascii="Arial" w:hAnsi="Arial" w:cs="Arial"/>
          <w:i/>
          <w:iCs/>
          <w:sz w:val="24"/>
          <w:szCs w:val="24"/>
          <w:lang w:val="uk-UA" w:eastAsia="uk-UA"/>
        </w:rPr>
        <w:t>Крим</w:t>
      </w:r>
      <w:r>
        <w:rPr>
          <w:rFonts w:ascii="Arial" w:hAnsi="Arial" w:cs="Arial"/>
          <w:sz w:val="24"/>
          <w:szCs w:val="24"/>
          <w:lang w:val="uk-UA" w:eastAsia="uk-UA"/>
        </w:rPr>
        <w:t xml:space="preserve">, розташований на північному побережжі Чорного Моря. </w:t>
      </w:r>
      <w:hyperlink r:id="rId72" w:tooltip="Peninsulг" w:history="1">
        <w:r>
          <w:rPr>
            <w:rFonts w:ascii="Arial" w:hAnsi="Arial" w:cs="Arial"/>
            <w:sz w:val="24"/>
            <w:szCs w:val="24"/>
            <w:lang w:val="uk-UA"/>
          </w:rPr>
          <w:t>Півострів</w:t>
        </w:r>
      </w:hyperlink>
      <w:r>
        <w:rPr>
          <w:rFonts w:ascii="Arial" w:hAnsi="Arial" w:cs="Arial"/>
          <w:sz w:val="24"/>
          <w:szCs w:val="24"/>
          <w:lang w:val="uk-UA" w:eastAsia="uk-UA"/>
        </w:rPr>
        <w:t xml:space="preserve"> розташований на півдні Херсонської області з України і на заході Кубанської області Росії. Він сполучений з Херсонською областю через Перекопський перешийок і відокремлений від Кубані Керченською протокою. Півострів оточений двома морями: Чорне Море (на заході і півдні) і Азовським Морем (на сході).</w:t>
      </w:r>
    </w:p>
    <w:p w:rsidR="00642FB4" w:rsidRDefault="00642FB4">
      <w:pPr>
        <w:pStyle w:val="HTMLPreformatted"/>
        <w:spacing w:before="60" w:after="60" w:line="288" w:lineRule="auto"/>
        <w:ind w:firstLine="720"/>
        <w:jc w:val="both"/>
        <w:rPr>
          <w:rFonts w:ascii="Arial" w:hAnsi="Arial" w:cs="Arial"/>
          <w:sz w:val="24"/>
          <w:szCs w:val="24"/>
          <w:lang w:val="uk-UA"/>
        </w:rPr>
      </w:pPr>
      <w:r>
        <w:rPr>
          <w:rFonts w:ascii="Arial" w:hAnsi="Arial" w:cs="Arial"/>
          <w:sz w:val="24"/>
          <w:szCs w:val="24"/>
          <w:lang w:val="uk-UA" w:eastAsia="uk-UA"/>
        </w:rPr>
        <w:t xml:space="preserve">Україна надає велику увагу збереженню біологічної різноманітності і різноманітності пейзажу, а також створенню екологічних національних мереж захищених природних територій. </w:t>
      </w:r>
    </w:p>
    <w:p w:rsidR="00642FB4" w:rsidRDefault="00642FB4">
      <w:pPr>
        <w:pStyle w:val="HTMLPreformatted"/>
        <w:spacing w:before="60" w:after="60" w:line="264" w:lineRule="auto"/>
        <w:ind w:firstLine="720"/>
        <w:jc w:val="both"/>
        <w:rPr>
          <w:rFonts w:ascii="Arial" w:hAnsi="Arial" w:cs="Arial"/>
          <w:sz w:val="24"/>
          <w:szCs w:val="24"/>
          <w:lang w:val="uk-UA"/>
        </w:rPr>
      </w:pPr>
      <w:r>
        <w:rPr>
          <w:rFonts w:ascii="Arial" w:hAnsi="Arial" w:cs="Arial"/>
          <w:sz w:val="24"/>
          <w:szCs w:val="24"/>
          <w:lang w:val="uk-UA" w:eastAsia="uk-UA"/>
        </w:rPr>
        <w:t>Спеціальна увага надається розвитку мережі заповідників. Цей розвиток почався Законом Про охорону навколишнього середовища (1991), потім з «Фондом заповідником України»! (1992) а потім «екологічна мережа України» (2004).</w:t>
      </w:r>
    </w:p>
    <w:p w:rsidR="00642FB4" w:rsidRDefault="00642FB4">
      <w:pPr>
        <w:pStyle w:val="HTMLPreformatted"/>
        <w:spacing w:before="60" w:after="60" w:line="264" w:lineRule="auto"/>
        <w:ind w:firstLine="720"/>
        <w:jc w:val="both"/>
        <w:rPr>
          <w:rFonts w:ascii="Arial" w:hAnsi="Arial" w:cs="Arial"/>
          <w:sz w:val="24"/>
          <w:szCs w:val="24"/>
          <w:lang w:val="uk-UA"/>
        </w:rPr>
      </w:pPr>
      <w:r>
        <w:rPr>
          <w:rFonts w:ascii="Arial" w:hAnsi="Arial" w:cs="Arial"/>
          <w:sz w:val="24"/>
          <w:szCs w:val="24"/>
          <w:lang w:val="uk-UA" w:eastAsia="uk-UA"/>
        </w:rPr>
        <w:t>У 1991 році захищені зони і території представляли всього лише 1,9% територій України, в 2007 році цифра складала 4,6%, в 2008 році збільшилася до 4,95 %, у 2009 році досягла 5,2%, а в 2010 році склала 5,4 %.</w:t>
      </w:r>
    </w:p>
    <w:p w:rsidR="00642FB4" w:rsidRDefault="00642FB4">
      <w:pPr>
        <w:pStyle w:val="HTMLPreformatted"/>
        <w:spacing w:before="60" w:after="60" w:line="264" w:lineRule="auto"/>
        <w:ind w:firstLine="720"/>
        <w:jc w:val="both"/>
        <w:rPr>
          <w:rFonts w:ascii="Arial" w:hAnsi="Arial" w:cs="Arial"/>
          <w:sz w:val="24"/>
          <w:szCs w:val="24"/>
          <w:lang w:val="uk-UA"/>
        </w:rPr>
      </w:pPr>
      <w:r>
        <w:rPr>
          <w:rFonts w:ascii="Arial" w:hAnsi="Arial" w:cs="Arial"/>
          <w:sz w:val="24"/>
          <w:szCs w:val="24"/>
          <w:lang w:val="uk-UA" w:eastAsia="uk-UA"/>
        </w:rPr>
        <w:t xml:space="preserve">Починаючи з січня 2011 року, заповідники України налічували 7.739 зон, площею в 3.458.900 гектара, на території України, і 402.500 гектара в Чорному Морі (ботанічний заповідник). Структура зон біологічної різноманітності містить: 4 заповідники біосфери, 47 національних парка, 307 заповідника, 132 монументів природи, 18 ботанічних садів, 7 зоологічних парка. </w:t>
      </w:r>
    </w:p>
    <w:p w:rsidR="00642FB4" w:rsidRDefault="00642FB4">
      <w:pPr>
        <w:pStyle w:val="HTMLPreformatted"/>
        <w:spacing w:before="60" w:after="60" w:line="264" w:lineRule="auto"/>
        <w:jc w:val="both"/>
        <w:rPr>
          <w:rFonts w:ascii="Arial" w:hAnsi="Arial" w:cs="Arial"/>
          <w:sz w:val="24"/>
          <w:szCs w:val="24"/>
          <w:lang w:val="uk-UA"/>
        </w:rPr>
      </w:pPr>
      <w:r>
        <w:rPr>
          <w:rFonts w:ascii="Arial" w:hAnsi="Arial" w:cs="Arial"/>
          <w:sz w:val="24"/>
          <w:szCs w:val="24"/>
          <w:lang w:val="uk-UA" w:eastAsia="uk-UA"/>
        </w:rPr>
        <w:tab/>
        <w:t>З метою створення нових зон захисту в 2011 році було схвалено заяву на створення національних парків:</w:t>
      </w:r>
    </w:p>
    <w:p w:rsidR="00642FB4" w:rsidRDefault="00642FB4">
      <w:pPr>
        <w:pStyle w:val="HTMLPreformatted"/>
        <w:numPr>
          <w:ilvl w:val="0"/>
          <w:numId w:val="12"/>
        </w:numPr>
        <w:tabs>
          <w:tab w:val="clear" w:pos="916"/>
          <w:tab w:val="left" w:pos="1080"/>
        </w:tabs>
        <w:spacing w:before="60" w:after="60" w:line="264" w:lineRule="auto"/>
        <w:ind w:left="1080"/>
        <w:jc w:val="both"/>
        <w:rPr>
          <w:rFonts w:ascii="Arial" w:hAnsi="Arial" w:cs="Arial"/>
          <w:sz w:val="24"/>
          <w:szCs w:val="24"/>
          <w:lang w:val="uk-UA"/>
        </w:rPr>
      </w:pPr>
      <w:r>
        <w:rPr>
          <w:rFonts w:ascii="Arial" w:hAnsi="Arial" w:cs="Arial"/>
          <w:i/>
          <w:iCs/>
          <w:sz w:val="24"/>
          <w:szCs w:val="24"/>
          <w:lang w:val="uk-UA" w:eastAsia="uk-UA"/>
        </w:rPr>
        <w:t>Одеська область</w:t>
      </w:r>
      <w:r>
        <w:rPr>
          <w:rFonts w:ascii="Arial" w:hAnsi="Arial" w:cs="Arial"/>
          <w:sz w:val="24"/>
          <w:szCs w:val="24"/>
          <w:lang w:val="uk-UA" w:eastAsia="uk-UA"/>
        </w:rPr>
        <w:t xml:space="preserve">: Національний природний парк </w:t>
      </w:r>
      <w:r>
        <w:rPr>
          <w:rStyle w:val="st"/>
          <w:rFonts w:ascii="Arial" w:hAnsi="Arial" w:cs="Arial"/>
          <w:i/>
          <w:iCs/>
          <w:sz w:val="24"/>
          <w:szCs w:val="24"/>
          <w:lang w:val="ru-RU"/>
        </w:rPr>
        <w:t>«</w:t>
      </w:r>
      <w:r>
        <w:rPr>
          <w:rStyle w:val="Emphasis"/>
          <w:rFonts w:ascii="Arial" w:hAnsi="Arial" w:cs="Arial"/>
          <w:i w:val="0"/>
          <w:iCs w:val="0"/>
          <w:sz w:val="24"/>
          <w:szCs w:val="24"/>
          <w:lang w:val="ru-RU"/>
        </w:rPr>
        <w:t>Деснянсько</w:t>
      </w:r>
      <w:r>
        <w:rPr>
          <w:rStyle w:val="st"/>
          <w:rFonts w:ascii="Arial" w:hAnsi="Arial" w:cs="Arial"/>
          <w:i/>
          <w:iCs/>
          <w:sz w:val="24"/>
          <w:szCs w:val="24"/>
          <w:lang w:val="ru-RU"/>
        </w:rPr>
        <w:t>-Старогутський»</w:t>
      </w:r>
      <w:r>
        <w:rPr>
          <w:rFonts w:ascii="Arial" w:hAnsi="Arial" w:cs="Arial"/>
          <w:sz w:val="24"/>
          <w:szCs w:val="24"/>
          <w:lang w:val="uk-UA" w:eastAsia="uk-UA"/>
        </w:rPr>
        <w:t>;</w:t>
      </w:r>
    </w:p>
    <w:p w:rsidR="00642FB4" w:rsidRDefault="00642FB4">
      <w:pPr>
        <w:pStyle w:val="HTMLPreformatted"/>
        <w:numPr>
          <w:ilvl w:val="0"/>
          <w:numId w:val="12"/>
        </w:numPr>
        <w:tabs>
          <w:tab w:val="clear" w:pos="916"/>
          <w:tab w:val="left" w:pos="1080"/>
        </w:tabs>
        <w:spacing w:before="60" w:after="60" w:line="264" w:lineRule="auto"/>
        <w:ind w:left="1080"/>
        <w:jc w:val="both"/>
        <w:rPr>
          <w:rFonts w:ascii="Arial" w:hAnsi="Arial" w:cs="Arial"/>
          <w:sz w:val="24"/>
          <w:szCs w:val="24"/>
          <w:lang w:val="uk-UA"/>
        </w:rPr>
      </w:pPr>
      <w:r>
        <w:rPr>
          <w:rFonts w:ascii="Arial" w:hAnsi="Arial" w:cs="Arial"/>
          <w:i/>
          <w:iCs/>
          <w:sz w:val="24"/>
          <w:szCs w:val="24"/>
          <w:lang w:val="uk-UA" w:eastAsia="uk-UA"/>
        </w:rPr>
        <w:t>Вінницька область:</w:t>
      </w:r>
      <w:r>
        <w:rPr>
          <w:rFonts w:ascii="Arial" w:hAnsi="Arial" w:cs="Arial"/>
          <w:sz w:val="24"/>
          <w:szCs w:val="24"/>
          <w:lang w:val="uk-UA" w:eastAsia="uk-UA"/>
        </w:rPr>
        <w:t xml:space="preserve"> Подільський національний парк; </w:t>
      </w:r>
    </w:p>
    <w:p w:rsidR="00642FB4" w:rsidRDefault="00642FB4">
      <w:pPr>
        <w:pStyle w:val="HTMLPreformatted"/>
        <w:numPr>
          <w:ilvl w:val="0"/>
          <w:numId w:val="12"/>
        </w:numPr>
        <w:tabs>
          <w:tab w:val="clear" w:pos="916"/>
          <w:tab w:val="left" w:pos="1080"/>
        </w:tabs>
        <w:spacing w:before="60" w:after="60" w:line="264" w:lineRule="auto"/>
        <w:ind w:left="1080"/>
        <w:jc w:val="both"/>
        <w:rPr>
          <w:rFonts w:ascii="Arial" w:hAnsi="Arial" w:cs="Arial"/>
          <w:sz w:val="24"/>
          <w:szCs w:val="24"/>
          <w:lang w:val="uk-UA"/>
        </w:rPr>
      </w:pPr>
      <w:r>
        <w:rPr>
          <w:rFonts w:ascii="Arial" w:hAnsi="Arial" w:cs="Arial"/>
          <w:i/>
          <w:iCs/>
          <w:sz w:val="24"/>
          <w:szCs w:val="24"/>
          <w:lang w:val="uk-UA" w:eastAsia="uk-UA"/>
        </w:rPr>
        <w:t>Херсонська область</w:t>
      </w:r>
      <w:r>
        <w:rPr>
          <w:rFonts w:ascii="Arial" w:hAnsi="Arial" w:cs="Arial"/>
          <w:sz w:val="24"/>
          <w:szCs w:val="24"/>
          <w:lang w:val="uk-UA" w:eastAsia="uk-UA"/>
        </w:rPr>
        <w:t>: ботанічний заповідник національного значення;</w:t>
      </w:r>
    </w:p>
    <w:p w:rsidR="00642FB4" w:rsidRDefault="00642FB4">
      <w:pPr>
        <w:pStyle w:val="HTMLPreformatted"/>
        <w:numPr>
          <w:ilvl w:val="0"/>
          <w:numId w:val="12"/>
        </w:numPr>
        <w:tabs>
          <w:tab w:val="clear" w:pos="916"/>
          <w:tab w:val="left" w:pos="1080"/>
        </w:tabs>
        <w:spacing w:before="60" w:after="60" w:line="264" w:lineRule="auto"/>
        <w:ind w:left="990" w:hanging="270"/>
        <w:jc w:val="both"/>
        <w:rPr>
          <w:rFonts w:ascii="Arial" w:hAnsi="Arial" w:cs="Arial"/>
          <w:sz w:val="24"/>
          <w:szCs w:val="24"/>
          <w:lang w:val="uk-UA"/>
        </w:rPr>
      </w:pPr>
      <w:r>
        <w:rPr>
          <w:rFonts w:ascii="Arial" w:hAnsi="Arial" w:cs="Arial"/>
          <w:i/>
          <w:iCs/>
          <w:sz w:val="24"/>
          <w:szCs w:val="24"/>
          <w:lang w:val="uk-UA" w:eastAsia="uk-UA"/>
        </w:rPr>
        <w:t>Тернопільська область:</w:t>
      </w:r>
      <w:r>
        <w:rPr>
          <w:rFonts w:ascii="Arial" w:hAnsi="Arial" w:cs="Arial"/>
          <w:sz w:val="24"/>
          <w:szCs w:val="24"/>
          <w:lang w:val="uk-UA" w:eastAsia="uk-UA"/>
        </w:rPr>
        <w:t xml:space="preserve"> національний парк Валя.</w:t>
      </w:r>
    </w:p>
    <w:p w:rsidR="00642FB4" w:rsidRDefault="00642FB4">
      <w:pPr>
        <w:pStyle w:val="HTMLPreformatted"/>
        <w:spacing w:before="60" w:after="60" w:line="264" w:lineRule="auto"/>
        <w:ind w:firstLine="720"/>
        <w:jc w:val="both"/>
        <w:rPr>
          <w:rFonts w:ascii="Arial" w:hAnsi="Arial" w:cs="Arial"/>
          <w:sz w:val="24"/>
          <w:szCs w:val="24"/>
          <w:lang w:val="uk-UA"/>
        </w:rPr>
      </w:pPr>
    </w:p>
    <w:p w:rsidR="00642FB4" w:rsidRDefault="00642FB4">
      <w:pPr>
        <w:pStyle w:val="HTMLPreformatted"/>
        <w:spacing w:before="60" w:after="60" w:line="264" w:lineRule="auto"/>
        <w:ind w:firstLine="720"/>
        <w:jc w:val="both"/>
        <w:rPr>
          <w:rFonts w:ascii="Arial" w:hAnsi="Arial" w:cs="Arial"/>
          <w:sz w:val="24"/>
          <w:szCs w:val="24"/>
          <w:lang w:val="uk-UA"/>
        </w:rPr>
      </w:pPr>
      <w:r>
        <w:rPr>
          <w:rFonts w:ascii="Arial" w:hAnsi="Arial" w:cs="Arial"/>
          <w:sz w:val="24"/>
          <w:szCs w:val="24"/>
          <w:lang w:val="uk-UA" w:eastAsia="uk-UA"/>
        </w:rPr>
        <w:t>Додатково була створена захисна зона «Медобори» у Тернопільської області, був розширений Національний Дворичанський парк з Харківської області. Був встановлений заповідник місцевого значення «Big Wood» - Київська область, а також розширення території пейзажного заповідника місцевого значення «Самсонов плант» з Луганської області.</w:t>
      </w:r>
    </w:p>
    <w:p w:rsidR="00642FB4" w:rsidRDefault="00642FB4">
      <w:pPr>
        <w:pStyle w:val="HTMLPreformatted"/>
        <w:spacing w:before="60" w:after="60" w:line="264" w:lineRule="auto"/>
        <w:ind w:firstLine="720"/>
        <w:jc w:val="both"/>
        <w:rPr>
          <w:rFonts w:ascii="Arial" w:hAnsi="Arial" w:cs="Arial"/>
          <w:sz w:val="24"/>
          <w:szCs w:val="24"/>
          <w:lang w:val="uk-UA"/>
        </w:rPr>
      </w:pPr>
      <w:r>
        <w:rPr>
          <w:rFonts w:ascii="Arial" w:hAnsi="Arial" w:cs="Arial"/>
          <w:sz w:val="24"/>
          <w:szCs w:val="24"/>
          <w:lang w:val="uk-UA" w:eastAsia="uk-UA"/>
        </w:rPr>
        <w:t>Уряд України, Уряд Республіки Білорусія  і Уряд Республіки Польща уклали угоду про створення заповідника транскордонної біосфери «Western Polesie».</w:t>
      </w:r>
    </w:p>
    <w:p w:rsidR="00642FB4" w:rsidRDefault="00642FB4">
      <w:pPr>
        <w:pStyle w:val="HTMLPreformatted"/>
        <w:spacing w:before="60" w:after="60" w:line="264" w:lineRule="auto"/>
        <w:ind w:firstLine="720"/>
        <w:jc w:val="both"/>
        <w:rPr>
          <w:rFonts w:ascii="Arial" w:hAnsi="Arial" w:cs="Arial"/>
          <w:sz w:val="24"/>
          <w:szCs w:val="24"/>
          <w:lang w:val="uk-UA"/>
        </w:rPr>
      </w:pPr>
      <w:r>
        <w:rPr>
          <w:rFonts w:ascii="Arial" w:hAnsi="Arial" w:cs="Arial"/>
          <w:sz w:val="24"/>
          <w:szCs w:val="24"/>
          <w:lang w:val="uk-UA" w:eastAsia="uk-UA"/>
        </w:rPr>
        <w:t>Ліси України розташовані в різних диких місцях: Полісся, лісостеп, степ, українські Карпати і гірська частина Криму, в яких відмінність в умовах лісопосадки і управління лісами дуже важлива.</w:t>
      </w:r>
    </w:p>
    <w:p w:rsidR="00642FB4" w:rsidRDefault="00642FB4">
      <w:pPr>
        <w:pStyle w:val="HTMLPreformatted"/>
        <w:ind w:firstLine="720"/>
        <w:jc w:val="both"/>
        <w:rPr>
          <w:rFonts w:ascii="Arial" w:hAnsi="Arial" w:cs="Arial"/>
          <w:sz w:val="24"/>
          <w:szCs w:val="24"/>
          <w:lang w:val="uk-UA"/>
        </w:rPr>
      </w:pPr>
    </w:p>
    <w:p w:rsidR="00642FB4" w:rsidRDefault="001C33BE">
      <w:pPr>
        <w:pStyle w:val="HTMLPreformatted"/>
        <w:ind w:firstLine="720"/>
        <w:jc w:val="both"/>
        <w:rPr>
          <w:sz w:val="23"/>
          <w:szCs w:val="23"/>
          <w:lang w:val="ru-RU"/>
        </w:rPr>
      </w:pPr>
      <w:r>
        <w:rPr>
          <w:noProof/>
          <w:sz w:val="23"/>
          <w:szCs w:val="23"/>
        </w:rPr>
        <w:drawing>
          <wp:inline distT="0" distB="0" distL="0" distR="0" wp14:anchorId="67E0B5E2" wp14:editId="32AE9052">
            <wp:extent cx="5820410" cy="2059305"/>
            <wp:effectExtent l="19050" t="0" r="8890" b="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srcRect/>
                    <a:stretch>
                      <a:fillRect/>
                    </a:stretch>
                  </pic:blipFill>
                  <pic:spPr bwMode="auto">
                    <a:xfrm>
                      <a:off x="0" y="0"/>
                      <a:ext cx="5820410" cy="2059305"/>
                    </a:xfrm>
                    <a:prstGeom prst="rect">
                      <a:avLst/>
                    </a:prstGeom>
                    <a:noFill/>
                    <a:ln w="9525">
                      <a:noFill/>
                      <a:miter lim="800000"/>
                      <a:headEnd/>
                      <a:tailEnd/>
                    </a:ln>
                  </pic:spPr>
                </pic:pic>
              </a:graphicData>
            </a:graphic>
          </wp:inline>
        </w:drawing>
      </w:r>
    </w:p>
    <w:p w:rsidR="00642FB4" w:rsidRDefault="00642FB4">
      <w:pPr>
        <w:pStyle w:val="HTMLPreformatted"/>
        <w:ind w:firstLine="720"/>
        <w:jc w:val="both"/>
        <w:rPr>
          <w:rFonts w:ascii="Arial" w:hAnsi="Arial" w:cs="Arial"/>
          <w:b/>
          <w:bCs/>
          <w:sz w:val="22"/>
          <w:szCs w:val="22"/>
          <w:lang w:val="ru-RU"/>
        </w:rPr>
      </w:pPr>
      <w:r>
        <w:rPr>
          <w:rFonts w:ascii="Arial" w:hAnsi="Arial" w:cs="Arial"/>
          <w:b/>
          <w:bCs/>
          <w:sz w:val="22"/>
          <w:szCs w:val="22"/>
          <w:lang w:val="uk-UA" w:eastAsia="uk-UA"/>
        </w:rPr>
        <w:t>Малюнок № 5.6. Види типової і особливої фауни і флори українських лісів</w:t>
      </w:r>
    </w:p>
    <w:p w:rsidR="00642FB4" w:rsidRDefault="00642FB4">
      <w:pPr>
        <w:pStyle w:val="HTMLPreformatted"/>
        <w:ind w:firstLine="720"/>
        <w:jc w:val="both"/>
        <w:rPr>
          <w:rFonts w:ascii="Arial" w:hAnsi="Arial" w:cs="Arial"/>
          <w:sz w:val="24"/>
          <w:szCs w:val="24"/>
          <w:lang w:val="ru-RU"/>
        </w:rPr>
      </w:pPr>
    </w:p>
    <w:p w:rsidR="00642FB4" w:rsidRDefault="00642FB4">
      <w:pPr>
        <w:pStyle w:val="Default"/>
        <w:spacing w:before="60" w:after="60" w:line="288" w:lineRule="auto"/>
        <w:ind w:firstLine="851"/>
        <w:jc w:val="both"/>
        <w:rPr>
          <w:color w:val="auto"/>
          <w:lang w:val="uk-UA"/>
        </w:rPr>
      </w:pPr>
      <w:r>
        <w:rPr>
          <w:color w:val="auto"/>
          <w:lang w:val="uk-UA" w:eastAsia="uk-UA"/>
        </w:rPr>
        <w:t>Ліси України розподілені нерівномірно. У більшості вони розташовані в українських Карпатах, а також, в зоні Полісся. Закарпатська область з лісами ялини (Abies) відомо як зона України яка покрита більше всього лісами.</w:t>
      </w:r>
    </w:p>
    <w:p w:rsidR="00642FB4" w:rsidRDefault="00642FB4">
      <w:pPr>
        <w:pStyle w:val="Default"/>
        <w:spacing w:before="60" w:after="60" w:line="288" w:lineRule="auto"/>
        <w:ind w:firstLine="851"/>
        <w:jc w:val="both"/>
        <w:rPr>
          <w:color w:val="auto"/>
          <w:lang w:val="uk-UA"/>
        </w:rPr>
      </w:pPr>
      <w:r>
        <w:rPr>
          <w:color w:val="auto"/>
          <w:lang w:val="uk-UA" w:eastAsia="uk-UA"/>
        </w:rPr>
        <w:t xml:space="preserve">Флора лісів України дуже багата, завдяки різноманітності кліматичних зон. </w:t>
      </w:r>
    </w:p>
    <w:p w:rsidR="00642FB4" w:rsidRDefault="00642FB4">
      <w:pPr>
        <w:pStyle w:val="Default"/>
        <w:spacing w:before="60" w:after="60" w:line="288" w:lineRule="auto"/>
        <w:ind w:firstLine="851"/>
        <w:jc w:val="both"/>
        <w:rPr>
          <w:color w:val="auto"/>
          <w:lang w:val="uk-UA"/>
        </w:rPr>
      </w:pPr>
      <w:r>
        <w:rPr>
          <w:color w:val="auto"/>
          <w:lang w:val="uk-UA" w:eastAsia="uk-UA"/>
        </w:rPr>
        <w:t>Ліси України складені з більше 30 типів видів дерев, перші місця займає сосна (</w:t>
      </w:r>
      <w:r>
        <w:rPr>
          <w:i/>
          <w:iCs/>
          <w:color w:val="auto"/>
          <w:lang w:val="uk-UA" w:eastAsia="uk-UA"/>
        </w:rPr>
        <w:t>Pinus sylvestris</w:t>
      </w:r>
      <w:r>
        <w:rPr>
          <w:color w:val="auto"/>
          <w:lang w:val="uk-UA" w:eastAsia="uk-UA"/>
        </w:rPr>
        <w:t>) з яких до недавнього часу з соку сосни витягувався скипидар, дуб (</w:t>
      </w:r>
      <w:r>
        <w:rPr>
          <w:i/>
          <w:iCs/>
          <w:color w:val="auto"/>
          <w:lang w:val="uk-UA" w:eastAsia="uk-UA"/>
        </w:rPr>
        <w:t>Quercus robur</w:t>
      </w:r>
      <w:r>
        <w:rPr>
          <w:color w:val="auto"/>
          <w:lang w:val="uk-UA" w:eastAsia="uk-UA"/>
        </w:rPr>
        <w:t>), бук (</w:t>
      </w:r>
      <w:r>
        <w:rPr>
          <w:i/>
          <w:iCs/>
          <w:color w:val="auto"/>
          <w:lang w:val="uk-UA" w:eastAsia="uk-UA"/>
        </w:rPr>
        <w:t>Fagus silvatica</w:t>
      </w:r>
      <w:r>
        <w:rPr>
          <w:color w:val="auto"/>
          <w:lang w:val="uk-UA" w:eastAsia="uk-UA"/>
        </w:rPr>
        <w:t>), ялина (</w:t>
      </w:r>
      <w:r>
        <w:rPr>
          <w:i/>
          <w:iCs/>
          <w:color w:val="auto"/>
          <w:lang w:val="uk-UA" w:eastAsia="uk-UA"/>
        </w:rPr>
        <w:t>Picea abies</w:t>
      </w:r>
      <w:r>
        <w:rPr>
          <w:color w:val="auto"/>
          <w:lang w:val="uk-UA" w:eastAsia="uk-UA"/>
        </w:rPr>
        <w:t>), береза (</w:t>
      </w:r>
      <w:r>
        <w:rPr>
          <w:i/>
          <w:iCs/>
          <w:color w:val="auto"/>
          <w:lang w:val="uk-UA" w:eastAsia="uk-UA"/>
        </w:rPr>
        <w:t>Betula pendula</w:t>
      </w:r>
      <w:r>
        <w:rPr>
          <w:color w:val="auto"/>
          <w:lang w:val="uk-UA" w:eastAsia="uk-UA"/>
        </w:rPr>
        <w:t>), вільха (</w:t>
      </w:r>
      <w:r>
        <w:rPr>
          <w:i/>
          <w:iCs/>
          <w:color w:val="auto"/>
          <w:lang w:val="uk-UA" w:eastAsia="uk-UA"/>
        </w:rPr>
        <w:t>Alnus glutinosa</w:t>
      </w:r>
      <w:r>
        <w:rPr>
          <w:color w:val="auto"/>
          <w:lang w:val="uk-UA" w:eastAsia="uk-UA"/>
        </w:rPr>
        <w:t>), ясен (</w:t>
      </w:r>
      <w:r>
        <w:rPr>
          <w:i/>
          <w:iCs/>
          <w:color w:val="auto"/>
          <w:lang w:val="uk-UA" w:eastAsia="uk-UA"/>
        </w:rPr>
        <w:t>Fraxinus excelsior</w:t>
      </w:r>
      <w:r>
        <w:rPr>
          <w:color w:val="auto"/>
          <w:lang w:val="uk-UA" w:eastAsia="uk-UA"/>
        </w:rPr>
        <w:t>), граб (</w:t>
      </w:r>
      <w:r>
        <w:rPr>
          <w:i/>
          <w:iCs/>
          <w:color w:val="auto"/>
          <w:lang w:val="uk-UA" w:eastAsia="uk-UA"/>
        </w:rPr>
        <w:t>Carpinus betulus</w:t>
      </w:r>
      <w:r>
        <w:rPr>
          <w:color w:val="auto"/>
          <w:lang w:val="uk-UA" w:eastAsia="uk-UA"/>
        </w:rPr>
        <w:t>), ялиця біла (</w:t>
      </w:r>
      <w:r>
        <w:rPr>
          <w:i/>
          <w:iCs/>
          <w:color w:val="auto"/>
          <w:lang w:val="uk-UA" w:eastAsia="uk-UA"/>
        </w:rPr>
        <w:t>Abies alba</w:t>
      </w:r>
      <w:r>
        <w:rPr>
          <w:color w:val="auto"/>
          <w:lang w:val="uk-UA" w:eastAsia="uk-UA"/>
        </w:rPr>
        <w:t>).</w:t>
      </w:r>
    </w:p>
    <w:p w:rsidR="00642FB4" w:rsidRDefault="00642FB4">
      <w:pPr>
        <w:pStyle w:val="Default"/>
        <w:spacing w:before="60" w:after="60" w:line="288" w:lineRule="auto"/>
        <w:ind w:firstLine="851"/>
        <w:jc w:val="both"/>
        <w:rPr>
          <w:color w:val="auto"/>
          <w:lang w:val="uk-UA"/>
        </w:rPr>
      </w:pPr>
      <w:r>
        <w:rPr>
          <w:color w:val="auto"/>
          <w:lang w:val="uk-UA" w:eastAsia="uk-UA"/>
        </w:rPr>
        <w:t>Хвойні ліси займають 42% від загальної площі, соснові ліси займають 33%. Ліси листяних порід займають 43%, а ліси дуба і буку займають 32%.</w:t>
      </w:r>
    </w:p>
    <w:p w:rsidR="00642FB4" w:rsidRDefault="00642FB4">
      <w:pPr>
        <w:pStyle w:val="Default"/>
        <w:spacing w:before="60" w:after="60" w:line="288" w:lineRule="auto"/>
        <w:ind w:firstLine="851"/>
        <w:jc w:val="both"/>
        <w:rPr>
          <w:color w:val="auto"/>
          <w:lang w:val="uk-UA"/>
        </w:rPr>
      </w:pPr>
      <w:r>
        <w:rPr>
          <w:color w:val="auto"/>
          <w:lang w:val="uk-UA" w:eastAsia="uk-UA"/>
        </w:rPr>
        <w:t xml:space="preserve">Фауна України історично створена як частина екосистеми (біоценозу). Найчастіші копитні, що зустрічаються, на яких полюють в українських лісах, є самими різними і представлені надалі: європейська косуля (143.600 екземплярів), кабан (58.600 екземплярів), лось (5.600 екземплярів), олень (16.000 екземплярів), смугастий олень (4.300 екземплярів), </w:t>
      </w:r>
      <w:r>
        <w:rPr>
          <w:lang w:val="uk-UA" w:eastAsia="uk-UA"/>
        </w:rPr>
        <w:t>європейська лань (даниель)</w:t>
      </w:r>
      <w:r>
        <w:rPr>
          <w:color w:val="auto"/>
          <w:lang w:val="uk-UA" w:eastAsia="uk-UA"/>
        </w:rPr>
        <w:t xml:space="preserve"> (3.400 екземплярів) і муфлон (500 екземплярів).</w:t>
      </w:r>
      <w:r>
        <w:rPr>
          <w:color w:val="auto"/>
          <w:lang w:val="uk-UA"/>
        </w:rPr>
        <w:t xml:space="preserve"> </w:t>
      </w:r>
    </w:p>
    <w:p w:rsidR="00642FB4" w:rsidRDefault="00642FB4">
      <w:pPr>
        <w:pStyle w:val="Default"/>
        <w:spacing w:before="60" w:after="60" w:line="288" w:lineRule="auto"/>
        <w:ind w:firstLine="851"/>
        <w:jc w:val="both"/>
        <w:rPr>
          <w:color w:val="auto"/>
          <w:lang w:val="uk-UA"/>
        </w:rPr>
      </w:pPr>
    </w:p>
    <w:p w:rsidR="00642FB4" w:rsidRDefault="00642FB4">
      <w:pPr>
        <w:pStyle w:val="HTMLPreformatted"/>
        <w:ind w:firstLine="720"/>
        <w:jc w:val="both"/>
        <w:rPr>
          <w:rFonts w:ascii="Arial" w:hAnsi="Arial" w:cs="Arial"/>
          <w:b/>
          <w:bCs/>
          <w:sz w:val="24"/>
          <w:szCs w:val="24"/>
          <w:u w:val="single"/>
          <w:lang w:val="uk-UA"/>
        </w:rPr>
      </w:pPr>
    </w:p>
    <w:p w:rsidR="00642FB4" w:rsidRDefault="001C33BE">
      <w:pPr>
        <w:autoSpaceDE w:val="0"/>
        <w:autoSpaceDN w:val="0"/>
        <w:adjustRightInd w:val="0"/>
        <w:spacing w:before="60" w:after="60" w:line="288" w:lineRule="auto"/>
        <w:jc w:val="center"/>
        <w:rPr>
          <w:lang w:val="ru-RU"/>
        </w:rPr>
      </w:pPr>
      <w:r>
        <w:rPr>
          <w:noProof/>
          <w:lang w:val="en-US" w:eastAsia="en-US"/>
        </w:rPr>
        <w:drawing>
          <wp:inline distT="0" distB="0" distL="0" distR="0" wp14:anchorId="6DE35EDF" wp14:editId="46BB7CFC">
            <wp:extent cx="4739005" cy="3943985"/>
            <wp:effectExtent l="19050" t="19050" r="23495" b="18415"/>
            <wp:docPr id="1" name="Picture 1" descr="Ucraina Biodiversi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craina Biodiversitate"/>
                    <pic:cNvPicPr>
                      <a:picLocks noChangeAspect="1" noChangeArrowheads="1"/>
                    </pic:cNvPicPr>
                  </pic:nvPicPr>
                  <pic:blipFill>
                    <a:blip r:embed="rId74" cstate="print"/>
                    <a:srcRect/>
                    <a:stretch>
                      <a:fillRect/>
                    </a:stretch>
                  </pic:blipFill>
                  <pic:spPr bwMode="auto">
                    <a:xfrm>
                      <a:off x="0" y="0"/>
                      <a:ext cx="4739005" cy="3943985"/>
                    </a:xfrm>
                    <a:prstGeom prst="rect">
                      <a:avLst/>
                    </a:prstGeom>
                    <a:noFill/>
                    <a:ln w="6350" cmpd="sng">
                      <a:solidFill>
                        <a:srgbClr val="000000"/>
                      </a:solidFill>
                      <a:miter lim="800000"/>
                      <a:headEnd/>
                      <a:tailEnd/>
                    </a:ln>
                    <a:effectLst/>
                  </pic:spPr>
                </pic:pic>
              </a:graphicData>
            </a:graphic>
          </wp:inline>
        </w:drawing>
      </w:r>
    </w:p>
    <w:p w:rsidR="00642FB4" w:rsidRDefault="00642FB4">
      <w:pPr>
        <w:pStyle w:val="HTMLPreformatted"/>
        <w:ind w:firstLine="90"/>
        <w:jc w:val="both"/>
        <w:rPr>
          <w:rFonts w:ascii="Arial" w:hAnsi="Arial" w:cs="Arial"/>
          <w:sz w:val="22"/>
          <w:szCs w:val="22"/>
          <w:lang w:val="uk-UA" w:eastAsia="uk-UA"/>
        </w:rPr>
      </w:pPr>
      <w:r>
        <w:rPr>
          <w:rFonts w:ascii="Arial" w:hAnsi="Arial" w:cs="Arial"/>
          <w:sz w:val="22"/>
          <w:szCs w:val="22"/>
          <w:lang w:val="uk-UA" w:eastAsia="uk-UA"/>
        </w:rPr>
        <w:t xml:space="preserve">1. Ліси листяних порід з заходу України </w:t>
      </w:r>
    </w:p>
    <w:p w:rsidR="00642FB4" w:rsidRDefault="00642FB4">
      <w:pPr>
        <w:pStyle w:val="HTMLPreformatted"/>
        <w:ind w:firstLine="90"/>
        <w:jc w:val="both"/>
        <w:rPr>
          <w:rFonts w:ascii="Arial" w:hAnsi="Arial" w:cs="Arial"/>
          <w:sz w:val="22"/>
          <w:szCs w:val="22"/>
          <w:lang w:val="uk-UA" w:eastAsia="uk-UA"/>
        </w:rPr>
      </w:pPr>
      <w:r>
        <w:rPr>
          <w:rFonts w:ascii="Arial" w:hAnsi="Arial" w:cs="Arial"/>
          <w:sz w:val="22"/>
          <w:szCs w:val="22"/>
          <w:lang w:val="uk-UA" w:eastAsia="uk-UA"/>
        </w:rPr>
        <w:t xml:space="preserve">2. Змішані хвойні та листяні ліси, торфи </w:t>
      </w:r>
    </w:p>
    <w:p w:rsidR="00642FB4" w:rsidRDefault="00642FB4">
      <w:pPr>
        <w:pStyle w:val="HTMLPreformatted"/>
        <w:ind w:firstLine="90"/>
        <w:jc w:val="both"/>
        <w:rPr>
          <w:rFonts w:ascii="Arial" w:hAnsi="Arial" w:cs="Arial"/>
          <w:sz w:val="22"/>
          <w:szCs w:val="22"/>
          <w:lang w:val="uk-UA" w:eastAsia="uk-UA"/>
        </w:rPr>
      </w:pPr>
      <w:r>
        <w:rPr>
          <w:rFonts w:ascii="Arial" w:hAnsi="Arial" w:cs="Arial"/>
          <w:sz w:val="22"/>
          <w:szCs w:val="22"/>
          <w:lang w:val="uk-UA" w:eastAsia="uk-UA"/>
        </w:rPr>
        <w:t xml:space="preserve">3. Лісостеп </w:t>
      </w:r>
    </w:p>
    <w:p w:rsidR="00642FB4" w:rsidRDefault="00642FB4">
      <w:pPr>
        <w:pStyle w:val="HTMLPreformatted"/>
        <w:ind w:firstLine="90"/>
        <w:jc w:val="both"/>
        <w:rPr>
          <w:rFonts w:ascii="Arial" w:hAnsi="Arial" w:cs="Arial"/>
          <w:sz w:val="22"/>
          <w:szCs w:val="22"/>
          <w:lang w:val="uk-UA" w:eastAsia="uk-UA"/>
        </w:rPr>
      </w:pPr>
      <w:r>
        <w:rPr>
          <w:rFonts w:ascii="Arial" w:hAnsi="Arial" w:cs="Arial"/>
          <w:sz w:val="22"/>
          <w:szCs w:val="22"/>
          <w:lang w:val="uk-UA" w:eastAsia="uk-UA"/>
        </w:rPr>
        <w:t xml:space="preserve">4. Зона степу </w:t>
      </w:r>
    </w:p>
    <w:p w:rsidR="00642FB4" w:rsidRDefault="00642FB4">
      <w:pPr>
        <w:pStyle w:val="HTMLPreformatted"/>
        <w:ind w:firstLine="90"/>
        <w:jc w:val="both"/>
        <w:rPr>
          <w:rFonts w:ascii="Arial" w:hAnsi="Arial" w:cs="Arial"/>
          <w:sz w:val="22"/>
          <w:szCs w:val="22"/>
          <w:lang w:val="uk-UA" w:eastAsia="uk-UA"/>
        </w:rPr>
      </w:pPr>
      <w:r>
        <w:rPr>
          <w:rFonts w:ascii="Arial" w:hAnsi="Arial" w:cs="Arial"/>
          <w:sz w:val="22"/>
          <w:szCs w:val="22"/>
          <w:lang w:val="uk-UA" w:eastAsia="uk-UA"/>
        </w:rPr>
        <w:t xml:space="preserve">5. Гірська зона Карпат </w:t>
      </w:r>
    </w:p>
    <w:p w:rsidR="00642FB4" w:rsidRDefault="00642FB4">
      <w:pPr>
        <w:pStyle w:val="HTMLPreformatted"/>
        <w:ind w:firstLine="90"/>
        <w:jc w:val="both"/>
        <w:rPr>
          <w:rFonts w:ascii="Arial" w:hAnsi="Arial" w:cs="Arial"/>
          <w:sz w:val="22"/>
          <w:szCs w:val="22"/>
          <w:lang w:val="uk-UA" w:eastAsia="uk-UA"/>
        </w:rPr>
      </w:pPr>
      <w:r>
        <w:rPr>
          <w:rFonts w:ascii="Arial" w:hAnsi="Arial" w:cs="Arial"/>
          <w:sz w:val="22"/>
          <w:szCs w:val="22"/>
          <w:lang w:val="uk-UA" w:eastAsia="uk-UA"/>
        </w:rPr>
        <w:t xml:space="preserve">6. Гірська зона Криму </w:t>
      </w:r>
    </w:p>
    <w:p w:rsidR="00642FB4" w:rsidRDefault="00642FB4">
      <w:pPr>
        <w:pStyle w:val="HTMLPreformatted"/>
        <w:ind w:firstLine="90"/>
        <w:jc w:val="center"/>
        <w:rPr>
          <w:rFonts w:ascii="Arial" w:hAnsi="Arial" w:cs="Arial"/>
          <w:b/>
          <w:bCs/>
          <w:sz w:val="22"/>
          <w:szCs w:val="22"/>
          <w:lang w:val="uk-UA" w:eastAsia="uk-UA"/>
        </w:rPr>
      </w:pPr>
    </w:p>
    <w:p w:rsidR="00642FB4" w:rsidRDefault="00642FB4">
      <w:pPr>
        <w:pStyle w:val="HTMLPreformatted"/>
        <w:ind w:firstLine="90"/>
        <w:jc w:val="center"/>
        <w:rPr>
          <w:rFonts w:ascii="Arial" w:hAnsi="Arial" w:cs="Arial"/>
          <w:b/>
          <w:bCs/>
          <w:sz w:val="22"/>
          <w:szCs w:val="22"/>
          <w:lang w:val="uk-UA"/>
        </w:rPr>
      </w:pPr>
      <w:r>
        <w:rPr>
          <w:rFonts w:ascii="Arial" w:hAnsi="Arial" w:cs="Arial"/>
          <w:b/>
          <w:bCs/>
          <w:sz w:val="22"/>
          <w:szCs w:val="22"/>
          <w:lang w:val="uk-UA" w:eastAsia="uk-UA"/>
        </w:rPr>
        <w:t>Малюнок № 5.7. Карта розподілу видів дерев в Україні</w:t>
      </w:r>
    </w:p>
    <w:p w:rsidR="00642FB4" w:rsidRDefault="00642FB4">
      <w:pPr>
        <w:autoSpaceDE w:val="0"/>
        <w:autoSpaceDN w:val="0"/>
        <w:adjustRightInd w:val="0"/>
        <w:spacing w:before="60" w:after="60" w:line="288" w:lineRule="auto"/>
        <w:jc w:val="both"/>
        <w:rPr>
          <w:lang w:val="uk-UA"/>
        </w:rPr>
      </w:pPr>
    </w:p>
    <w:p w:rsidR="00642FB4" w:rsidRDefault="00642FB4">
      <w:pPr>
        <w:spacing w:before="60" w:after="60" w:line="288" w:lineRule="auto"/>
        <w:ind w:firstLine="360"/>
        <w:jc w:val="both"/>
        <w:rPr>
          <w:b/>
          <w:bCs/>
          <w:snapToGrid w:val="0"/>
          <w:position w:val="-6"/>
          <w:lang w:val="uk-UA"/>
        </w:rPr>
      </w:pPr>
    </w:p>
    <w:p w:rsidR="00642FB4" w:rsidRDefault="00642FB4">
      <w:pPr>
        <w:spacing w:before="60" w:after="60" w:line="288" w:lineRule="auto"/>
        <w:ind w:firstLine="360"/>
        <w:jc w:val="both"/>
        <w:rPr>
          <w:b/>
          <w:bCs/>
          <w:snapToGrid w:val="0"/>
          <w:position w:val="-6"/>
          <w:lang w:val="uk-UA"/>
        </w:rPr>
      </w:pPr>
      <w:r>
        <w:rPr>
          <w:b/>
          <w:bCs/>
          <w:snapToGrid w:val="0"/>
          <w:position w:val="-6"/>
          <w:lang w:val="uk-UA" w:eastAsia="uk-UA"/>
        </w:rPr>
        <w:t>ОБ'ЄКТИ КУЛЬТУРНОЇ СПАДЩИНИ</w:t>
      </w:r>
    </w:p>
    <w:p w:rsidR="00642FB4" w:rsidRDefault="00642FB4">
      <w:pPr>
        <w:spacing w:before="60" w:after="60" w:line="288" w:lineRule="auto"/>
        <w:ind w:firstLine="709"/>
        <w:jc w:val="both"/>
        <w:rPr>
          <w:snapToGrid w:val="0"/>
          <w:position w:val="-6"/>
          <w:lang w:val="uk-UA"/>
        </w:rPr>
      </w:pPr>
    </w:p>
    <w:p w:rsidR="00642FB4" w:rsidRDefault="00642FB4">
      <w:pPr>
        <w:numPr>
          <w:ilvl w:val="0"/>
          <w:numId w:val="39"/>
        </w:numPr>
        <w:spacing w:before="60" w:after="60" w:line="288" w:lineRule="auto"/>
        <w:jc w:val="both"/>
        <w:rPr>
          <w:b/>
          <w:bCs/>
          <w:lang w:val="uk-UA" w:eastAsia="en-US"/>
        </w:rPr>
      </w:pPr>
      <w:r>
        <w:rPr>
          <w:b/>
          <w:bCs/>
          <w:lang w:val="uk-UA" w:eastAsia="uk-UA"/>
        </w:rPr>
        <w:t>РУМУНІЯ</w:t>
      </w:r>
    </w:p>
    <w:p w:rsidR="00642FB4" w:rsidRDefault="00642FB4">
      <w:pPr>
        <w:spacing w:before="60" w:after="60" w:line="288" w:lineRule="auto"/>
        <w:jc w:val="both"/>
        <w:rPr>
          <w:lang w:val="uk-UA" w:eastAsia="en-US"/>
        </w:rPr>
      </w:pPr>
    </w:p>
    <w:p w:rsidR="00642FB4" w:rsidRDefault="00642FB4">
      <w:pPr>
        <w:spacing w:before="60" w:after="60" w:line="288" w:lineRule="auto"/>
        <w:ind w:firstLine="709"/>
        <w:jc w:val="both"/>
        <w:rPr>
          <w:i/>
          <w:iCs/>
          <w:lang w:val="uk-UA" w:eastAsia="uk-UA"/>
        </w:rPr>
      </w:pPr>
      <w:r>
        <w:rPr>
          <w:lang w:val="uk-UA" w:eastAsia="uk-UA"/>
        </w:rPr>
        <w:t xml:space="preserve">Що стосується культурної спадщини, інформація узята з сайтів кожного повіту окремо, відповідно з сайтів управлінь Повітів культури, культів і національної культурної спадщини Міністерства культури: </w:t>
      </w:r>
      <w:r>
        <w:rPr>
          <w:i/>
          <w:iCs/>
          <w:lang w:val="uk-UA" w:eastAsia="uk-UA"/>
        </w:rPr>
        <w:t>Ботошани, Марамурєш, Сату Марє, Сучава і Тулча.</w:t>
      </w:r>
    </w:p>
    <w:p w:rsidR="00642FB4" w:rsidRDefault="00642FB4">
      <w:pPr>
        <w:spacing w:before="60" w:after="60" w:line="288" w:lineRule="auto"/>
        <w:ind w:firstLine="709"/>
        <w:jc w:val="both"/>
        <w:rPr>
          <w:i/>
          <w:iCs/>
          <w:lang w:val="uk-UA" w:eastAsia="en-US"/>
        </w:rPr>
      </w:pPr>
    </w:p>
    <w:p w:rsidR="00642FB4" w:rsidRDefault="00642FB4">
      <w:pPr>
        <w:numPr>
          <w:ilvl w:val="0"/>
          <w:numId w:val="44"/>
        </w:numPr>
        <w:spacing w:before="60" w:after="60" w:line="288" w:lineRule="auto"/>
        <w:jc w:val="both"/>
        <w:rPr>
          <w:b/>
          <w:bCs/>
          <w:lang w:val="uk-UA" w:eastAsia="en-US"/>
        </w:rPr>
      </w:pPr>
      <w:r>
        <w:rPr>
          <w:b/>
          <w:bCs/>
          <w:lang w:val="uk-UA" w:eastAsia="uk-UA"/>
        </w:rPr>
        <w:t>Культурні об'єкти повіту Ботошани</w:t>
      </w:r>
    </w:p>
    <w:p w:rsidR="00642FB4" w:rsidRDefault="00642FB4">
      <w:pPr>
        <w:spacing w:before="60" w:after="60" w:line="288" w:lineRule="auto"/>
        <w:jc w:val="both"/>
        <w:rPr>
          <w:b/>
          <w:bCs/>
          <w:i/>
          <w:iCs/>
          <w:lang w:val="uk-UA" w:eastAsia="en-US"/>
        </w:rPr>
      </w:pPr>
    </w:p>
    <w:p w:rsidR="00642FB4" w:rsidRDefault="00642FB4">
      <w:pPr>
        <w:spacing w:before="60" w:after="60" w:line="288" w:lineRule="auto"/>
        <w:jc w:val="both"/>
        <w:rPr>
          <w:lang w:val="uk-UA" w:eastAsia="en-US"/>
        </w:rPr>
      </w:pPr>
      <w:r>
        <w:rPr>
          <w:b/>
          <w:bCs/>
          <w:i/>
          <w:iCs/>
          <w:lang w:val="uk-UA" w:eastAsia="uk-UA"/>
        </w:rPr>
        <w:t xml:space="preserve">Число культурних об'єктів повіту Ботошани - </w:t>
      </w:r>
      <w:r>
        <w:rPr>
          <w:b/>
          <w:bCs/>
          <w:lang w:val="uk-UA" w:eastAsia="uk-UA"/>
        </w:rPr>
        <w:t>9</w:t>
      </w:r>
      <w:r>
        <w:rPr>
          <w:lang w:val="uk-UA" w:eastAsia="uk-UA"/>
        </w:rPr>
        <w:t>, а саме:</w:t>
      </w:r>
    </w:p>
    <w:p w:rsidR="00642FB4" w:rsidRPr="002C0454" w:rsidRDefault="00642FB4">
      <w:pPr>
        <w:numPr>
          <w:ilvl w:val="0"/>
          <w:numId w:val="38"/>
        </w:numPr>
        <w:spacing w:before="60" w:after="60" w:line="288" w:lineRule="auto"/>
        <w:jc w:val="both"/>
        <w:rPr>
          <w:lang w:val="uk-UA" w:eastAsia="en-US"/>
        </w:rPr>
      </w:pPr>
      <w:r w:rsidRPr="002C0454">
        <w:rPr>
          <w:lang w:val="uk-UA" w:eastAsia="uk-UA"/>
        </w:rPr>
        <w:t>Будинок Чомак Кантємір, Фонд Штєфан Лукіан</w:t>
      </w:r>
    </w:p>
    <w:p w:rsidR="00642FB4" w:rsidRDefault="006C74EB">
      <w:pPr>
        <w:numPr>
          <w:ilvl w:val="0"/>
          <w:numId w:val="38"/>
        </w:numPr>
        <w:spacing w:before="60" w:after="60" w:line="288" w:lineRule="auto"/>
        <w:jc w:val="both"/>
        <w:rPr>
          <w:lang w:val="uk-UA" w:eastAsia="en-US"/>
        </w:rPr>
      </w:pPr>
      <w:hyperlink r:id="rId75" w:tgtFrame="_self" w:history="1">
        <w:r w:rsidR="00642FB4">
          <w:rPr>
            <w:lang w:val="uk-UA" w:eastAsia="en-US"/>
          </w:rPr>
          <w:t xml:space="preserve">Будинок Костаке Єнєску, офіс Музею Дж. Єнєску </w:t>
        </w:r>
      </w:hyperlink>
    </w:p>
    <w:p w:rsidR="00642FB4" w:rsidRDefault="006C74EB">
      <w:pPr>
        <w:numPr>
          <w:ilvl w:val="0"/>
          <w:numId w:val="38"/>
        </w:numPr>
        <w:spacing w:before="60" w:after="60" w:line="288" w:lineRule="auto"/>
        <w:jc w:val="both"/>
        <w:rPr>
          <w:lang w:val="uk-UA" w:eastAsia="en-US"/>
        </w:rPr>
      </w:pPr>
      <w:hyperlink r:id="rId76" w:tgtFrame="_self" w:history="1">
        <w:r w:rsidR="00642FB4">
          <w:rPr>
            <w:lang w:val="uk-UA" w:eastAsia="en-US"/>
          </w:rPr>
          <w:t>будинок Манолакє Йорга, Ботошани</w:t>
        </w:r>
      </w:hyperlink>
      <w:r w:rsidR="00642FB4">
        <w:rPr>
          <w:lang w:val="uk-UA" w:eastAsia="uk-UA"/>
        </w:rPr>
        <w:t xml:space="preserve"> </w:t>
      </w:r>
    </w:p>
    <w:p w:rsidR="00642FB4" w:rsidRDefault="006C74EB">
      <w:pPr>
        <w:numPr>
          <w:ilvl w:val="0"/>
          <w:numId w:val="38"/>
        </w:numPr>
        <w:spacing w:before="60" w:after="60" w:line="288" w:lineRule="auto"/>
        <w:jc w:val="both"/>
        <w:rPr>
          <w:lang w:val="uk-UA" w:eastAsia="en-US"/>
        </w:rPr>
      </w:pPr>
      <w:hyperlink r:id="rId77" w:tgtFrame="_self" w:history="1">
        <w:r w:rsidR="00642FB4">
          <w:rPr>
            <w:lang w:val="uk-UA" w:eastAsia="en-US"/>
          </w:rPr>
          <w:t>Меморіальний будинок Дж. Єнєску Ливень</w:t>
        </w:r>
      </w:hyperlink>
    </w:p>
    <w:p w:rsidR="00642FB4" w:rsidRDefault="006C74EB">
      <w:pPr>
        <w:numPr>
          <w:ilvl w:val="0"/>
          <w:numId w:val="38"/>
        </w:numPr>
        <w:spacing w:before="60" w:after="60" w:line="288" w:lineRule="auto"/>
        <w:jc w:val="both"/>
        <w:rPr>
          <w:lang w:val="uk-UA" w:eastAsia="en-US"/>
        </w:rPr>
      </w:pPr>
      <w:hyperlink r:id="rId78" w:tgtFrame="_self" w:history="1">
        <w:r w:rsidR="00642FB4">
          <w:rPr>
            <w:lang w:val="uk-UA" w:eastAsia="en-US"/>
          </w:rPr>
          <w:t>Меморіальний будинок Н. Йорга, Ботошани</w:t>
        </w:r>
      </w:hyperlink>
    </w:p>
    <w:p w:rsidR="00642FB4" w:rsidRDefault="006C74EB">
      <w:pPr>
        <w:numPr>
          <w:ilvl w:val="0"/>
          <w:numId w:val="38"/>
        </w:numPr>
        <w:spacing w:before="60" w:after="60" w:line="288" w:lineRule="auto"/>
        <w:jc w:val="both"/>
        <w:rPr>
          <w:lang w:val="uk-UA" w:eastAsia="en-US"/>
        </w:rPr>
      </w:pPr>
      <w:hyperlink r:id="rId79" w:tgtFrame="_self" w:history="1">
        <w:r w:rsidR="00642FB4">
          <w:rPr>
            <w:lang w:val="uk-UA" w:eastAsia="en-US"/>
          </w:rPr>
          <w:t>Меморіал Іпотєшть</w:t>
        </w:r>
      </w:hyperlink>
    </w:p>
    <w:p w:rsidR="00642FB4" w:rsidRDefault="006C74EB">
      <w:pPr>
        <w:numPr>
          <w:ilvl w:val="0"/>
          <w:numId w:val="38"/>
        </w:numPr>
        <w:spacing w:before="60" w:after="60" w:line="288" w:lineRule="auto"/>
        <w:jc w:val="both"/>
        <w:rPr>
          <w:lang w:val="uk-UA" w:eastAsia="en-US"/>
        </w:rPr>
      </w:pPr>
      <w:hyperlink r:id="rId80" w:tgtFrame="_self" w:history="1">
        <w:r w:rsidR="00642FB4">
          <w:rPr>
            <w:lang w:val="uk-UA" w:eastAsia="en-US"/>
          </w:rPr>
          <w:t>Музей археології, Савєнь</w:t>
        </w:r>
      </w:hyperlink>
      <w:r w:rsidR="00642FB4">
        <w:rPr>
          <w:lang w:val="uk-UA" w:eastAsia="uk-UA"/>
        </w:rPr>
        <w:t xml:space="preserve"> </w:t>
      </w:r>
    </w:p>
    <w:p w:rsidR="00642FB4" w:rsidRDefault="006C74EB">
      <w:pPr>
        <w:numPr>
          <w:ilvl w:val="0"/>
          <w:numId w:val="38"/>
        </w:numPr>
        <w:spacing w:before="60" w:after="60" w:line="288" w:lineRule="auto"/>
        <w:jc w:val="both"/>
        <w:rPr>
          <w:lang w:val="uk-UA" w:eastAsia="en-US"/>
        </w:rPr>
      </w:pPr>
      <w:hyperlink r:id="rId81" w:tgtFrame="_self" w:history="1">
        <w:r w:rsidR="00642FB4">
          <w:rPr>
            <w:lang w:val="uk-UA" w:eastAsia="en-US"/>
          </w:rPr>
          <w:t>Музей природних наук, Дорогой</w:t>
        </w:r>
      </w:hyperlink>
      <w:r w:rsidR="00642FB4">
        <w:rPr>
          <w:lang w:val="uk-UA" w:eastAsia="uk-UA"/>
        </w:rPr>
        <w:t xml:space="preserve"> </w:t>
      </w:r>
    </w:p>
    <w:p w:rsidR="00642FB4" w:rsidRDefault="006C74EB">
      <w:pPr>
        <w:numPr>
          <w:ilvl w:val="0"/>
          <w:numId w:val="38"/>
        </w:numPr>
        <w:spacing w:before="60" w:after="60" w:line="288" w:lineRule="auto"/>
        <w:jc w:val="both"/>
        <w:rPr>
          <w:lang w:val="uk-UA" w:eastAsia="en-US"/>
        </w:rPr>
      </w:pPr>
      <w:hyperlink r:id="rId82" w:tgtFrame="_self" w:history="1">
        <w:r w:rsidR="00642FB4">
          <w:rPr>
            <w:lang w:val="uk-UA" w:eastAsia="en-US"/>
          </w:rPr>
          <w:t xml:space="preserve">Музей повіту Ботошани </w:t>
        </w:r>
      </w:hyperlink>
    </w:p>
    <w:p w:rsidR="00642FB4" w:rsidRDefault="00642FB4">
      <w:pPr>
        <w:spacing w:before="60" w:after="60" w:line="288" w:lineRule="auto"/>
        <w:jc w:val="both"/>
        <w:rPr>
          <w:lang w:val="uk-UA" w:eastAsia="en-US"/>
        </w:rPr>
      </w:pPr>
      <w:r>
        <w:rPr>
          <w:b/>
          <w:bCs/>
          <w:i/>
          <w:iCs/>
          <w:lang w:val="uk-UA" w:eastAsia="uk-UA"/>
        </w:rPr>
        <w:t xml:space="preserve">Церкви </w:t>
      </w:r>
      <w:r>
        <w:rPr>
          <w:lang w:val="uk-UA" w:eastAsia="uk-UA"/>
        </w:rPr>
        <w:t xml:space="preserve">повіту Ботошани в кількості </w:t>
      </w:r>
      <w:r>
        <w:rPr>
          <w:b/>
          <w:bCs/>
          <w:lang w:val="uk-UA" w:eastAsia="uk-UA"/>
        </w:rPr>
        <w:t>23</w:t>
      </w:r>
      <w:r>
        <w:rPr>
          <w:lang w:val="uk-UA" w:eastAsia="uk-UA"/>
        </w:rPr>
        <w:t xml:space="preserve">. </w:t>
      </w:r>
    </w:p>
    <w:p w:rsidR="00642FB4" w:rsidRDefault="00642FB4">
      <w:pPr>
        <w:spacing w:after="200" w:line="276" w:lineRule="auto"/>
        <w:ind w:left="360"/>
        <w:jc w:val="both"/>
        <w:rPr>
          <w:lang w:val="uk-UA" w:eastAsia="en-US"/>
        </w:rPr>
      </w:pPr>
    </w:p>
    <w:p w:rsidR="00642FB4" w:rsidRDefault="00642FB4">
      <w:pPr>
        <w:spacing w:before="60" w:after="60" w:line="288" w:lineRule="auto"/>
        <w:jc w:val="both"/>
        <w:rPr>
          <w:b/>
          <w:bCs/>
          <w:lang w:val="uk-UA" w:eastAsia="en-US"/>
        </w:rPr>
      </w:pPr>
      <w:r>
        <w:rPr>
          <w:b/>
          <w:bCs/>
          <w:lang w:val="uk-UA" w:eastAsia="uk-UA"/>
        </w:rPr>
        <w:t>Культурні об'єкти повіту Марамурєш</w:t>
      </w:r>
    </w:p>
    <w:p w:rsidR="00642FB4" w:rsidRDefault="00642FB4">
      <w:pPr>
        <w:numPr>
          <w:ilvl w:val="0"/>
          <w:numId w:val="38"/>
        </w:numPr>
        <w:spacing w:before="60" w:after="60" w:line="288" w:lineRule="auto"/>
        <w:jc w:val="both"/>
        <w:rPr>
          <w:lang w:val="uk-UA" w:eastAsia="en-US"/>
        </w:rPr>
      </w:pPr>
      <w:r>
        <w:rPr>
          <w:lang w:val="uk-UA" w:eastAsia="uk-UA"/>
        </w:rPr>
        <w:t xml:space="preserve">Музейні комплекси з Марамурєша: </w:t>
      </w:r>
    </w:p>
    <w:p w:rsidR="00642FB4" w:rsidRDefault="00642FB4">
      <w:pPr>
        <w:numPr>
          <w:ilvl w:val="1"/>
          <w:numId w:val="38"/>
        </w:numPr>
        <w:spacing w:before="60" w:after="60" w:line="288" w:lineRule="auto"/>
        <w:jc w:val="both"/>
        <w:rPr>
          <w:lang w:val="uk-UA" w:eastAsia="en-US"/>
        </w:rPr>
      </w:pPr>
      <w:r>
        <w:rPr>
          <w:lang w:val="uk-UA" w:eastAsia="uk-UA"/>
        </w:rPr>
        <w:t xml:space="preserve">Музей етнографії Сігєту Мармацієй </w:t>
      </w:r>
    </w:p>
    <w:p w:rsidR="00642FB4" w:rsidRDefault="006C74EB">
      <w:pPr>
        <w:numPr>
          <w:ilvl w:val="1"/>
          <w:numId w:val="38"/>
        </w:numPr>
        <w:spacing w:before="60" w:after="60" w:line="288" w:lineRule="auto"/>
        <w:jc w:val="both"/>
        <w:rPr>
          <w:lang w:val="uk-UA" w:eastAsia="en-US"/>
        </w:rPr>
      </w:pPr>
      <w:hyperlink r:id="rId83" w:tooltip="Muzeul de Etnografie și Artг Popularг Baia Mare" w:history="1">
        <w:r w:rsidR="00642FB4">
          <w:rPr>
            <w:lang w:val="uk-UA" w:eastAsia="en-US"/>
          </w:rPr>
          <w:t>Музей етнографії та народного мистецтва Бая Марє</w:t>
        </w:r>
      </w:hyperlink>
    </w:p>
    <w:p w:rsidR="00642FB4" w:rsidRDefault="006C74EB">
      <w:pPr>
        <w:numPr>
          <w:ilvl w:val="1"/>
          <w:numId w:val="38"/>
        </w:numPr>
        <w:spacing w:before="60" w:after="60" w:line="288" w:lineRule="auto"/>
        <w:jc w:val="both"/>
        <w:rPr>
          <w:lang w:val="uk-UA" w:eastAsia="en-US"/>
        </w:rPr>
      </w:pPr>
      <w:hyperlink r:id="rId84" w:tooltip="Centrul artistic Baia Mare - Muzeul de Artг" w:history="1">
        <w:r w:rsidR="00642FB4">
          <w:rPr>
            <w:lang w:val="uk-UA" w:eastAsia="en-US"/>
          </w:rPr>
          <w:t>Художній центр Бая Марє – Музей мистецтв</w:t>
        </w:r>
      </w:hyperlink>
    </w:p>
    <w:p w:rsidR="00642FB4" w:rsidRDefault="006C74EB">
      <w:pPr>
        <w:numPr>
          <w:ilvl w:val="1"/>
          <w:numId w:val="38"/>
        </w:numPr>
        <w:spacing w:before="60" w:after="60" w:line="288" w:lineRule="auto"/>
        <w:jc w:val="both"/>
        <w:rPr>
          <w:lang w:val="uk-UA" w:eastAsia="en-US"/>
        </w:rPr>
      </w:pPr>
      <w:hyperlink r:id="rId85" w:tooltip="Muzeul Florean" w:history="1">
        <w:r w:rsidR="00642FB4">
          <w:rPr>
            <w:lang w:val="uk-UA" w:eastAsia="en-US"/>
          </w:rPr>
          <w:t>Музей Флорєан</w:t>
        </w:r>
      </w:hyperlink>
    </w:p>
    <w:p w:rsidR="00642FB4" w:rsidRDefault="006C74EB">
      <w:pPr>
        <w:numPr>
          <w:ilvl w:val="1"/>
          <w:numId w:val="38"/>
        </w:numPr>
        <w:spacing w:before="60" w:after="60" w:line="288" w:lineRule="auto"/>
        <w:jc w:val="both"/>
        <w:rPr>
          <w:lang w:val="uk-UA" w:eastAsia="en-US"/>
        </w:rPr>
      </w:pPr>
      <w:hyperlink r:id="rId86" w:tooltip="Muzeul de Mineralogie Baia Mare" w:history="1">
        <w:r w:rsidR="00642FB4">
          <w:rPr>
            <w:lang w:val="uk-UA" w:eastAsia="en-US"/>
          </w:rPr>
          <w:t xml:space="preserve">Музей мінералології Бая Марє </w:t>
        </w:r>
      </w:hyperlink>
    </w:p>
    <w:p w:rsidR="00642FB4" w:rsidRDefault="006C74EB">
      <w:pPr>
        <w:numPr>
          <w:ilvl w:val="1"/>
          <w:numId w:val="38"/>
        </w:numPr>
        <w:spacing w:before="60" w:after="60" w:line="288" w:lineRule="auto"/>
        <w:jc w:val="both"/>
        <w:rPr>
          <w:lang w:val="uk-UA" w:eastAsia="en-US"/>
        </w:rPr>
      </w:pPr>
      <w:hyperlink r:id="rId87" w:tooltip="Muzeul Memorial Sighetu Marmației" w:history="1">
        <w:r w:rsidR="00642FB4">
          <w:rPr>
            <w:lang w:val="uk-UA" w:eastAsia="en-US"/>
          </w:rPr>
          <w:t xml:space="preserve">Меморіальний музей Сігєту Мармацієй </w:t>
        </w:r>
      </w:hyperlink>
    </w:p>
    <w:p w:rsidR="00642FB4" w:rsidRDefault="00642FB4">
      <w:pPr>
        <w:numPr>
          <w:ilvl w:val="1"/>
          <w:numId w:val="38"/>
        </w:numPr>
        <w:spacing w:before="60" w:after="60" w:line="288" w:lineRule="auto"/>
        <w:jc w:val="both"/>
        <w:rPr>
          <w:lang w:val="uk-UA" w:eastAsia="en-US"/>
        </w:rPr>
      </w:pPr>
      <w:r>
        <w:rPr>
          <w:lang w:val="uk-UA" w:eastAsia="uk-UA"/>
        </w:rPr>
        <w:t>Музей повіту історії і археології Бая Марі</w:t>
      </w:r>
    </w:p>
    <w:p w:rsidR="00642FB4" w:rsidRDefault="00642FB4">
      <w:pPr>
        <w:numPr>
          <w:ilvl w:val="0"/>
          <w:numId w:val="38"/>
        </w:numPr>
        <w:spacing w:before="60" w:after="60" w:line="288" w:lineRule="auto"/>
        <w:jc w:val="both"/>
        <w:rPr>
          <w:lang w:val="uk-UA" w:eastAsia="en-US"/>
        </w:rPr>
      </w:pPr>
      <w:r>
        <w:rPr>
          <w:lang w:val="uk-UA" w:eastAsia="uk-UA"/>
        </w:rPr>
        <w:t xml:space="preserve">Монументи архітектури та народного мистецтва з Марамурєша </w:t>
      </w:r>
    </w:p>
    <w:p w:rsidR="00642FB4" w:rsidRDefault="006C74EB">
      <w:pPr>
        <w:numPr>
          <w:ilvl w:val="1"/>
          <w:numId w:val="38"/>
        </w:numPr>
        <w:spacing w:before="60" w:after="60" w:line="288" w:lineRule="auto"/>
        <w:jc w:val="both"/>
        <w:rPr>
          <w:lang w:val="uk-UA" w:eastAsia="en-US"/>
        </w:rPr>
      </w:pPr>
      <w:hyperlink r:id="rId88" w:tooltip="Centrul istoric Baia Mare" w:history="1">
        <w:r w:rsidR="00642FB4">
          <w:rPr>
            <w:lang w:val="uk-UA" w:eastAsia="en-US"/>
          </w:rPr>
          <w:t>Історичний центр Бая Марє</w:t>
        </w:r>
      </w:hyperlink>
    </w:p>
    <w:p w:rsidR="00642FB4" w:rsidRDefault="006C74EB">
      <w:pPr>
        <w:numPr>
          <w:ilvl w:val="1"/>
          <w:numId w:val="38"/>
        </w:numPr>
        <w:spacing w:before="60" w:after="60" w:line="288" w:lineRule="auto"/>
        <w:jc w:val="both"/>
        <w:rPr>
          <w:lang w:val="uk-UA" w:eastAsia="en-US"/>
        </w:rPr>
      </w:pPr>
      <w:hyperlink r:id="rId89" w:tooltip="Centrul istoric Sighetu Marmației" w:history="1">
        <w:r w:rsidR="00642FB4">
          <w:rPr>
            <w:lang w:val="uk-UA" w:eastAsia="en-US"/>
          </w:rPr>
          <w:t>Історичний центр Сігєту Мармацієй</w:t>
        </w:r>
      </w:hyperlink>
    </w:p>
    <w:p w:rsidR="00642FB4" w:rsidRDefault="006C74EB">
      <w:pPr>
        <w:numPr>
          <w:ilvl w:val="1"/>
          <w:numId w:val="38"/>
        </w:numPr>
        <w:spacing w:before="60" w:after="60" w:line="288" w:lineRule="auto"/>
        <w:jc w:val="both"/>
        <w:rPr>
          <w:lang w:val="uk-UA" w:eastAsia="en-US"/>
        </w:rPr>
      </w:pPr>
      <w:hyperlink r:id="rId90" w:tooltip="Turnul Ștefan din Baia Mare" w:history="1">
        <w:r w:rsidR="00642FB4">
          <w:rPr>
            <w:lang w:val="uk-UA" w:eastAsia="en-US"/>
          </w:rPr>
          <w:t>Вежа Штефан</w:t>
        </w:r>
      </w:hyperlink>
    </w:p>
    <w:p w:rsidR="00642FB4" w:rsidRDefault="006C74EB">
      <w:pPr>
        <w:numPr>
          <w:ilvl w:val="1"/>
          <w:numId w:val="38"/>
        </w:numPr>
        <w:spacing w:before="60" w:after="60" w:line="288" w:lineRule="auto"/>
        <w:jc w:val="both"/>
        <w:rPr>
          <w:lang w:val="uk-UA" w:eastAsia="en-US"/>
        </w:rPr>
      </w:pPr>
      <w:hyperlink r:id="rId91" w:tooltip="Biserici de lemn din Maramureș" w:history="1">
        <w:r w:rsidR="00642FB4">
          <w:rPr>
            <w:lang w:val="uk-UA" w:eastAsia="en-US"/>
          </w:rPr>
          <w:t>Дерев’яні церкви Марамурєш</w:t>
        </w:r>
      </w:hyperlink>
      <w:r w:rsidR="00642FB4">
        <w:rPr>
          <w:lang w:val="uk-UA"/>
        </w:rPr>
        <w:t>а</w:t>
      </w:r>
    </w:p>
    <w:p w:rsidR="00642FB4" w:rsidRDefault="006C74EB">
      <w:pPr>
        <w:numPr>
          <w:ilvl w:val="1"/>
          <w:numId w:val="38"/>
        </w:numPr>
        <w:spacing w:before="60" w:after="60" w:line="288" w:lineRule="auto"/>
        <w:jc w:val="both"/>
        <w:rPr>
          <w:lang w:val="uk-UA" w:eastAsia="en-US"/>
        </w:rPr>
      </w:pPr>
      <w:hyperlink r:id="rId92" w:tooltip="Biserici de lemn din Lгpuș" w:history="1">
        <w:r w:rsidR="00642FB4">
          <w:rPr>
            <w:lang w:val="uk-UA" w:eastAsia="en-US"/>
          </w:rPr>
          <w:t>Дерев’яні церкви з Лепуш</w:t>
        </w:r>
      </w:hyperlink>
    </w:p>
    <w:p w:rsidR="00642FB4" w:rsidRDefault="006C74EB">
      <w:pPr>
        <w:numPr>
          <w:ilvl w:val="1"/>
          <w:numId w:val="38"/>
        </w:numPr>
        <w:spacing w:before="60" w:after="60" w:line="288" w:lineRule="auto"/>
        <w:jc w:val="both"/>
        <w:rPr>
          <w:lang w:val="uk-UA" w:eastAsia="en-US"/>
        </w:rPr>
      </w:pPr>
      <w:hyperlink r:id="rId93" w:tooltip="Biserici de lemn din Chioar" w:history="1">
        <w:r w:rsidR="00642FB4">
          <w:rPr>
            <w:lang w:val="uk-UA" w:eastAsia="en-US"/>
          </w:rPr>
          <w:t xml:space="preserve">Дерев’яні церкви з Кіоар </w:t>
        </w:r>
      </w:hyperlink>
    </w:p>
    <w:p w:rsidR="00642FB4" w:rsidRDefault="006C74EB">
      <w:pPr>
        <w:numPr>
          <w:ilvl w:val="1"/>
          <w:numId w:val="38"/>
        </w:numPr>
        <w:spacing w:before="60" w:after="60" w:line="288" w:lineRule="auto"/>
        <w:jc w:val="both"/>
        <w:rPr>
          <w:lang w:val="uk-UA" w:eastAsia="en-US"/>
        </w:rPr>
      </w:pPr>
      <w:hyperlink r:id="rId94" w:tooltip="Cimitirul Vesel" w:history="1">
        <w:r w:rsidR="00642FB4">
          <w:rPr>
            <w:lang w:val="uk-UA" w:eastAsia="en-US"/>
          </w:rPr>
          <w:t>Веселий цвинтар</w:t>
        </w:r>
      </w:hyperlink>
      <w:r w:rsidR="00642FB4">
        <w:rPr>
          <w:lang w:val="uk-UA" w:eastAsia="uk-UA"/>
        </w:rPr>
        <w:t xml:space="preserve"> з </w:t>
      </w:r>
      <w:hyperlink r:id="rId95" w:tooltip="Sгpвnța" w:history="1">
        <w:r w:rsidR="00642FB4">
          <w:rPr>
            <w:lang w:val="uk-UA" w:eastAsia="en-US"/>
          </w:rPr>
          <w:t>Сепинца</w:t>
        </w:r>
      </w:hyperlink>
    </w:p>
    <w:p w:rsidR="00642FB4" w:rsidRDefault="00642FB4">
      <w:pPr>
        <w:numPr>
          <w:ilvl w:val="0"/>
          <w:numId w:val="38"/>
        </w:numPr>
        <w:spacing w:before="60" w:after="60" w:line="288" w:lineRule="auto"/>
        <w:jc w:val="both"/>
        <w:rPr>
          <w:lang w:val="uk-UA" w:eastAsia="en-US"/>
        </w:rPr>
      </w:pPr>
      <w:r>
        <w:rPr>
          <w:lang w:val="uk-UA" w:eastAsia="uk-UA"/>
        </w:rPr>
        <w:t xml:space="preserve">Монастирі з Марамурєш </w:t>
      </w:r>
    </w:p>
    <w:p w:rsidR="00642FB4" w:rsidRDefault="006C74EB">
      <w:pPr>
        <w:numPr>
          <w:ilvl w:val="1"/>
          <w:numId w:val="38"/>
        </w:numPr>
        <w:spacing w:before="60" w:after="60" w:line="288" w:lineRule="auto"/>
        <w:jc w:val="both"/>
        <w:rPr>
          <w:lang w:val="uk-UA" w:eastAsia="en-US"/>
        </w:rPr>
      </w:pPr>
      <w:hyperlink r:id="rId96" w:tooltip="Mгnгstirea Bвrsana" w:history="1">
        <w:r w:rsidR="00642FB4">
          <w:rPr>
            <w:lang w:val="uk-UA" w:eastAsia="en-US"/>
          </w:rPr>
          <w:t>Монастир Бирсана</w:t>
        </w:r>
      </w:hyperlink>
    </w:p>
    <w:p w:rsidR="00642FB4" w:rsidRDefault="006C74EB">
      <w:pPr>
        <w:numPr>
          <w:ilvl w:val="1"/>
          <w:numId w:val="38"/>
        </w:numPr>
        <w:spacing w:before="60" w:after="60" w:line="288" w:lineRule="auto"/>
        <w:jc w:val="both"/>
        <w:rPr>
          <w:lang w:val="uk-UA" w:eastAsia="en-US"/>
        </w:rPr>
      </w:pPr>
      <w:hyperlink r:id="rId97" w:tooltip="Mгnгstirea Peri-Sгpвnța — paginг inexistentг" w:history="1">
        <w:r w:rsidR="00642FB4">
          <w:rPr>
            <w:lang w:val="uk-UA" w:eastAsia="en-US"/>
          </w:rPr>
          <w:t>Монастир Пєрь-Сепинца</w:t>
        </w:r>
      </w:hyperlink>
    </w:p>
    <w:p w:rsidR="00642FB4" w:rsidRDefault="006C74EB">
      <w:pPr>
        <w:numPr>
          <w:ilvl w:val="1"/>
          <w:numId w:val="38"/>
        </w:numPr>
        <w:spacing w:before="60" w:after="60" w:line="288" w:lineRule="auto"/>
        <w:jc w:val="both"/>
        <w:rPr>
          <w:lang w:val="uk-UA" w:eastAsia="en-US"/>
        </w:rPr>
      </w:pPr>
      <w:hyperlink r:id="rId98" w:tooltip="Mгnгstirea de la Moisei — paginг inexistentг" w:history="1">
        <w:r w:rsidR="00642FB4">
          <w:rPr>
            <w:lang w:val="uk-UA" w:eastAsia="en-US"/>
          </w:rPr>
          <w:t xml:space="preserve">Монастир з Мойсей </w:t>
        </w:r>
      </w:hyperlink>
    </w:p>
    <w:p w:rsidR="00642FB4" w:rsidRDefault="006C74EB">
      <w:pPr>
        <w:numPr>
          <w:ilvl w:val="1"/>
          <w:numId w:val="38"/>
        </w:numPr>
        <w:spacing w:before="60" w:after="60" w:line="288" w:lineRule="auto"/>
        <w:jc w:val="both"/>
        <w:rPr>
          <w:lang w:val="uk-UA" w:eastAsia="en-US"/>
        </w:rPr>
      </w:pPr>
      <w:hyperlink r:id="rId99" w:tooltip="Mгnгstirea Sfвnta Ana" w:history="1">
        <w:r w:rsidR="00642FB4">
          <w:rPr>
            <w:lang w:val="uk-UA" w:eastAsia="en-US"/>
          </w:rPr>
          <w:t>Монастир Святої Гани з Рохія</w:t>
        </w:r>
      </w:hyperlink>
      <w:r w:rsidR="00642FB4">
        <w:rPr>
          <w:lang w:val="uk-UA" w:eastAsia="uk-UA"/>
        </w:rPr>
        <w:t xml:space="preserve"> </w:t>
      </w:r>
    </w:p>
    <w:p w:rsidR="00642FB4" w:rsidRDefault="00642FB4">
      <w:pPr>
        <w:spacing w:after="200" w:line="276" w:lineRule="auto"/>
        <w:jc w:val="both"/>
        <w:rPr>
          <w:b/>
          <w:bCs/>
          <w:lang w:val="uk-UA" w:eastAsia="en-US"/>
        </w:rPr>
      </w:pPr>
    </w:p>
    <w:p w:rsidR="00642FB4" w:rsidRDefault="00642FB4">
      <w:pPr>
        <w:spacing w:before="60" w:after="60" w:line="288" w:lineRule="auto"/>
        <w:jc w:val="both"/>
        <w:rPr>
          <w:b/>
          <w:bCs/>
          <w:i/>
          <w:iCs/>
          <w:lang w:val="uk-UA" w:eastAsia="en-US"/>
        </w:rPr>
      </w:pPr>
      <w:r>
        <w:rPr>
          <w:b/>
          <w:bCs/>
          <w:i/>
          <w:iCs/>
          <w:lang w:val="uk-UA" w:eastAsia="uk-UA"/>
        </w:rPr>
        <w:t>Культурні об'єкти  повіту Марамурєш, які включені в надбання ЮНЕСКО:</w:t>
      </w:r>
    </w:p>
    <w:p w:rsidR="00642FB4" w:rsidRDefault="00642FB4">
      <w:pPr>
        <w:numPr>
          <w:ilvl w:val="0"/>
          <w:numId w:val="38"/>
        </w:numPr>
        <w:spacing w:before="60" w:after="60" w:line="288" w:lineRule="auto"/>
        <w:jc w:val="both"/>
        <w:rPr>
          <w:lang w:val="uk-UA" w:eastAsia="en-US"/>
        </w:rPr>
      </w:pPr>
      <w:r>
        <w:rPr>
          <w:lang w:val="uk-UA" w:eastAsia="uk-UA"/>
        </w:rPr>
        <w:t>Церква «Святих Архангелів» (Рогіз) – ЮНЕСКО</w:t>
      </w:r>
    </w:p>
    <w:p w:rsidR="00642FB4" w:rsidRDefault="00642FB4">
      <w:pPr>
        <w:numPr>
          <w:ilvl w:val="0"/>
          <w:numId w:val="38"/>
        </w:numPr>
        <w:spacing w:before="60" w:after="60" w:line="288" w:lineRule="auto"/>
        <w:jc w:val="both"/>
        <w:rPr>
          <w:lang w:val="uk-UA" w:eastAsia="en-US"/>
        </w:rPr>
      </w:pPr>
      <w:r>
        <w:rPr>
          <w:lang w:val="uk-UA" w:eastAsia="uk-UA"/>
        </w:rPr>
        <w:t>Дерев'яна церква «</w:t>
      </w:r>
      <w:r>
        <w:rPr>
          <w:rStyle w:val="st"/>
          <w:lang w:val="uk-UA" w:eastAsia="uk-UA"/>
        </w:rPr>
        <w:t>Введення (</w:t>
      </w:r>
      <w:r>
        <w:rPr>
          <w:rStyle w:val="Emphasis"/>
          <w:i w:val="0"/>
          <w:iCs w:val="0"/>
          <w:lang w:val="uk-UA" w:eastAsia="uk-UA"/>
        </w:rPr>
        <w:t>входу</w:t>
      </w:r>
      <w:r>
        <w:rPr>
          <w:rStyle w:val="st"/>
          <w:lang w:val="uk-UA" w:eastAsia="uk-UA"/>
        </w:rPr>
        <w:t xml:space="preserve">) в храм Пресвятої </w:t>
      </w:r>
      <w:r>
        <w:rPr>
          <w:rStyle w:val="Emphasis"/>
          <w:i w:val="0"/>
          <w:iCs w:val="0"/>
          <w:lang w:val="uk-UA" w:eastAsia="uk-UA"/>
        </w:rPr>
        <w:t xml:space="preserve">Богородиці» </w:t>
      </w:r>
      <w:r>
        <w:rPr>
          <w:lang w:val="uk-UA" w:eastAsia="uk-UA"/>
        </w:rPr>
        <w:t>з Бирсана - ЮНЕСКО</w:t>
      </w:r>
    </w:p>
    <w:p w:rsidR="00642FB4" w:rsidRDefault="00642FB4">
      <w:pPr>
        <w:numPr>
          <w:ilvl w:val="0"/>
          <w:numId w:val="38"/>
        </w:numPr>
        <w:spacing w:before="60" w:after="60" w:line="288" w:lineRule="auto"/>
        <w:jc w:val="both"/>
        <w:rPr>
          <w:lang w:val="uk-UA" w:eastAsia="en-US"/>
        </w:rPr>
      </w:pPr>
      <w:r>
        <w:rPr>
          <w:lang w:val="uk-UA" w:eastAsia="uk-UA"/>
        </w:rPr>
        <w:t xml:space="preserve">Дерев'яна церква Келінєшть-Сусань </w:t>
      </w:r>
    </w:p>
    <w:p w:rsidR="00642FB4" w:rsidRDefault="00642FB4">
      <w:pPr>
        <w:numPr>
          <w:ilvl w:val="0"/>
          <w:numId w:val="38"/>
        </w:numPr>
        <w:spacing w:before="60" w:after="60" w:line="288" w:lineRule="auto"/>
        <w:jc w:val="both"/>
        <w:rPr>
          <w:lang w:val="uk-UA" w:eastAsia="en-US"/>
        </w:rPr>
      </w:pPr>
      <w:r>
        <w:rPr>
          <w:lang w:val="uk-UA" w:eastAsia="uk-UA"/>
        </w:rPr>
        <w:t xml:space="preserve">Дерев'яна церква «Святих Архангелів», Велєній Шомкутей </w:t>
      </w:r>
    </w:p>
    <w:p w:rsidR="00642FB4" w:rsidRDefault="00642FB4">
      <w:pPr>
        <w:numPr>
          <w:ilvl w:val="0"/>
          <w:numId w:val="38"/>
        </w:numPr>
        <w:spacing w:before="60" w:after="60" w:line="288" w:lineRule="auto"/>
        <w:jc w:val="both"/>
        <w:rPr>
          <w:lang w:val="uk-UA" w:eastAsia="en-US"/>
        </w:rPr>
      </w:pPr>
      <w:r>
        <w:rPr>
          <w:lang w:val="uk-UA" w:eastAsia="uk-UA"/>
        </w:rPr>
        <w:t xml:space="preserve">Будинок музей Їли Візель </w:t>
      </w:r>
    </w:p>
    <w:p w:rsidR="00642FB4" w:rsidRDefault="00642FB4">
      <w:pPr>
        <w:spacing w:after="200" w:line="276" w:lineRule="auto"/>
        <w:jc w:val="both"/>
        <w:rPr>
          <w:b/>
          <w:bCs/>
          <w:sz w:val="16"/>
          <w:szCs w:val="16"/>
          <w:lang w:val="uk-UA" w:eastAsia="en-US"/>
        </w:rPr>
      </w:pPr>
    </w:p>
    <w:p w:rsidR="00642FB4" w:rsidRDefault="00642FB4">
      <w:pPr>
        <w:spacing w:before="60" w:after="60" w:line="288" w:lineRule="auto"/>
        <w:jc w:val="both"/>
        <w:rPr>
          <w:lang w:val="uk-UA" w:eastAsia="en-US"/>
        </w:rPr>
      </w:pPr>
      <w:r>
        <w:rPr>
          <w:b/>
          <w:bCs/>
          <w:lang w:val="uk-UA" w:eastAsia="uk-UA"/>
        </w:rPr>
        <w:t xml:space="preserve">Культурні об'єкти повіту Сату Марє </w:t>
      </w:r>
    </w:p>
    <w:p w:rsidR="00642FB4" w:rsidRDefault="00642FB4">
      <w:pPr>
        <w:spacing w:before="60" w:after="60" w:line="288" w:lineRule="auto"/>
        <w:jc w:val="both"/>
        <w:rPr>
          <w:sz w:val="16"/>
          <w:szCs w:val="16"/>
          <w:lang w:val="uk-UA" w:eastAsia="en-US"/>
        </w:rPr>
      </w:pPr>
    </w:p>
    <w:p w:rsidR="00642FB4" w:rsidRDefault="00642FB4">
      <w:pPr>
        <w:spacing w:before="60" w:after="60" w:line="288" w:lineRule="auto"/>
        <w:jc w:val="both"/>
        <w:rPr>
          <w:b/>
          <w:bCs/>
          <w:i/>
          <w:iCs/>
          <w:lang w:val="uk-UA" w:eastAsia="en-US"/>
        </w:rPr>
      </w:pPr>
      <w:r>
        <w:rPr>
          <w:b/>
          <w:bCs/>
          <w:i/>
          <w:iCs/>
          <w:lang w:val="uk-UA" w:eastAsia="uk-UA"/>
        </w:rPr>
        <w:t>У Сату Марє існує багато туристичних об'єктів, які можна відвідати, з яких відзначаємо:</w:t>
      </w:r>
    </w:p>
    <w:p w:rsidR="00642FB4" w:rsidRDefault="006C74EB">
      <w:pPr>
        <w:numPr>
          <w:ilvl w:val="0"/>
          <w:numId w:val="38"/>
        </w:numPr>
        <w:spacing w:before="60" w:after="60" w:line="288" w:lineRule="auto"/>
        <w:jc w:val="both"/>
        <w:rPr>
          <w:lang w:val="uk-UA" w:eastAsia="en-US"/>
        </w:rPr>
      </w:pPr>
      <w:hyperlink r:id="rId100" w:tooltip="Turnul Pompierilor din Satu Mare" w:history="1">
        <w:r w:rsidR="00642FB4">
          <w:rPr>
            <w:b/>
            <w:bCs/>
            <w:i/>
            <w:iCs/>
            <w:lang w:val="uk-UA" w:eastAsia="en-US"/>
          </w:rPr>
          <w:t>Вежа пожежників</w:t>
        </w:r>
      </w:hyperlink>
      <w:r w:rsidR="00642FB4">
        <w:rPr>
          <w:lang w:val="uk-UA" w:eastAsia="uk-UA"/>
        </w:rPr>
        <w:t xml:space="preserve"> – була побудована в </w:t>
      </w:r>
      <w:hyperlink r:id="rId101" w:tooltip="1904" w:history="1">
        <w:r w:rsidR="00642FB4">
          <w:rPr>
            <w:lang w:val="uk-UA" w:eastAsia="en-US"/>
          </w:rPr>
          <w:t>1904</w:t>
        </w:r>
      </w:hyperlink>
      <w:r w:rsidR="00642FB4">
        <w:rPr>
          <w:lang w:val="uk-UA" w:eastAsia="uk-UA"/>
        </w:rPr>
        <w:t xml:space="preserve"> році за ініціативою епіскопа, і був спроектований Ференцом Діттлером (</w:t>
      </w:r>
      <w:hyperlink r:id="rId102" w:tooltip="Ferencz Dittler — paginг inexistentг" w:history="1">
        <w:r w:rsidR="00642FB4">
          <w:rPr>
            <w:lang w:val="uk-UA" w:eastAsia="en-US"/>
          </w:rPr>
          <w:t>Ferencz Dittler</w:t>
        </w:r>
      </w:hyperlink>
      <w:r w:rsidR="00642FB4">
        <w:rPr>
          <w:lang w:val="uk-UA" w:eastAsia="uk-UA"/>
        </w:rPr>
        <w:t xml:space="preserve">) і побудований </w:t>
      </w:r>
      <w:hyperlink r:id="rId103" w:tooltip="Lajos Vajnay — paginг inexistentг" w:history="1">
        <w:r w:rsidR="00642FB4">
          <w:rPr>
            <w:lang w:val="uk-UA" w:eastAsia="en-US"/>
          </w:rPr>
          <w:t>Lajos Vajnay</w:t>
        </w:r>
      </w:hyperlink>
      <w:r w:rsidR="00642FB4">
        <w:rPr>
          <w:lang w:val="uk-UA" w:eastAsia="uk-UA"/>
        </w:rPr>
        <w:t>. В даний час Башта є туристичним об'єктом, який користується великим інтересом, і її відвідують щодня приблизно 50 відвідувачів.</w:t>
      </w:r>
    </w:p>
    <w:p w:rsidR="00642FB4" w:rsidRDefault="00642FB4">
      <w:pPr>
        <w:numPr>
          <w:ilvl w:val="0"/>
          <w:numId w:val="38"/>
        </w:numPr>
        <w:spacing w:before="60" w:after="60" w:line="288" w:lineRule="auto"/>
        <w:jc w:val="both"/>
        <w:rPr>
          <w:lang w:val="uk-UA" w:eastAsia="en-US"/>
        </w:rPr>
      </w:pPr>
      <w:r>
        <w:rPr>
          <w:b/>
          <w:bCs/>
          <w:i/>
          <w:iCs/>
          <w:lang w:val="uk-UA" w:eastAsia="uk-UA"/>
        </w:rPr>
        <w:t>Готель Дачия (колишній Готель Pannуnia)</w:t>
      </w:r>
      <w:r>
        <w:rPr>
          <w:lang w:val="uk-UA" w:eastAsia="uk-UA"/>
        </w:rPr>
        <w:t xml:space="preserve"> – побудований у </w:t>
      </w:r>
      <w:hyperlink r:id="rId104" w:tooltip="1902" w:history="1">
        <w:r>
          <w:rPr>
            <w:lang w:val="uk-UA" w:eastAsia="en-US"/>
          </w:rPr>
          <w:t>1902</w:t>
        </w:r>
      </w:hyperlink>
      <w:r>
        <w:rPr>
          <w:lang w:val="uk-UA" w:eastAsia="uk-UA"/>
        </w:rPr>
        <w:t xml:space="preserve"> році по </w:t>
      </w:r>
      <w:r w:rsidRPr="00014BA0">
        <w:rPr>
          <w:lang w:val="uk-UA" w:eastAsia="uk-UA"/>
        </w:rPr>
        <w:t xml:space="preserve">планах архітекторів </w:t>
      </w:r>
      <w:hyperlink r:id="rId105" w:tooltip="Bбlint Zoltбn — paginг inexistentг" w:history="1">
        <w:r w:rsidRPr="00014BA0">
          <w:rPr>
            <w:lang w:val="uk-UA" w:eastAsia="en-US"/>
          </w:rPr>
          <w:t>B</w:t>
        </w:r>
        <w:r w:rsidRPr="00014BA0">
          <w:rPr>
            <w:lang w:val="en-US" w:eastAsia="en-US"/>
          </w:rPr>
          <w:t>a</w:t>
        </w:r>
        <w:r w:rsidRPr="00014BA0">
          <w:rPr>
            <w:lang w:val="uk-UA" w:eastAsia="en-US"/>
          </w:rPr>
          <w:t>lint Zolt</w:t>
        </w:r>
        <w:r w:rsidRPr="00014BA0">
          <w:rPr>
            <w:lang w:val="en-US" w:eastAsia="en-US"/>
          </w:rPr>
          <w:t>a</w:t>
        </w:r>
        <w:r w:rsidRPr="00014BA0">
          <w:rPr>
            <w:lang w:val="uk-UA" w:eastAsia="en-US"/>
          </w:rPr>
          <w:t>n</w:t>
        </w:r>
      </w:hyperlink>
      <w:r w:rsidRPr="00014BA0">
        <w:rPr>
          <w:lang w:val="uk-UA" w:eastAsia="uk-UA"/>
        </w:rPr>
        <w:t xml:space="preserve"> і </w:t>
      </w:r>
      <w:hyperlink r:id="rId106" w:tooltip="Jбmbor Lajos — paginг inexistentг" w:history="1">
        <w:r w:rsidRPr="00014BA0">
          <w:rPr>
            <w:lang w:val="uk-UA" w:eastAsia="en-US"/>
          </w:rPr>
          <w:t>J</w:t>
        </w:r>
        <w:r w:rsidRPr="00014BA0">
          <w:rPr>
            <w:lang w:val="en-US" w:eastAsia="en-US"/>
          </w:rPr>
          <w:t>a</w:t>
        </w:r>
        <w:r w:rsidRPr="00014BA0">
          <w:rPr>
            <w:lang w:val="uk-UA" w:eastAsia="en-US"/>
          </w:rPr>
          <w:t>mbor Lajos</w:t>
        </w:r>
      </w:hyperlink>
      <w:r w:rsidRPr="00014BA0">
        <w:rPr>
          <w:lang w:val="uk-UA" w:eastAsia="uk-UA"/>
        </w:rPr>
        <w:t xml:space="preserve"> в угорському сепаратистському</w:t>
      </w:r>
      <w:r>
        <w:rPr>
          <w:lang w:val="uk-UA" w:eastAsia="uk-UA"/>
        </w:rPr>
        <w:t xml:space="preserve"> стилі, Готель Дачия напевно є найсимволічнішим пам'ятником з Сату Марє. Макет готелю отримав премію II на Світовій виставці у Відні.</w:t>
      </w:r>
    </w:p>
    <w:p w:rsidR="00642FB4" w:rsidRDefault="00642FB4">
      <w:pPr>
        <w:numPr>
          <w:ilvl w:val="0"/>
          <w:numId w:val="38"/>
        </w:numPr>
        <w:spacing w:before="60" w:after="60" w:line="288" w:lineRule="auto"/>
        <w:jc w:val="both"/>
        <w:rPr>
          <w:lang w:val="uk-UA" w:eastAsia="en-US"/>
        </w:rPr>
      </w:pPr>
      <w:r>
        <w:rPr>
          <w:b/>
          <w:bCs/>
          <w:i/>
          <w:iCs/>
          <w:lang w:val="uk-UA" w:eastAsia="uk-UA"/>
        </w:rPr>
        <w:t>Палат римсько-католицького єпископства</w:t>
      </w:r>
      <w:r>
        <w:rPr>
          <w:lang w:val="uk-UA" w:eastAsia="uk-UA"/>
        </w:rPr>
        <w:t xml:space="preserve">, який був спроектований архітектором графів, </w:t>
      </w:r>
      <w:hyperlink r:id="rId107" w:tooltip="Joseph Bitthauser — paginг inexistentг" w:history="1">
        <w:r>
          <w:rPr>
            <w:lang w:val="uk-UA" w:eastAsia="en-US"/>
          </w:rPr>
          <w:t>Joseph Bitthauser</w:t>
        </w:r>
      </w:hyperlink>
      <w:r>
        <w:rPr>
          <w:lang w:val="uk-UA" w:eastAsia="uk-UA"/>
        </w:rPr>
        <w:t xml:space="preserve"> і побудований в період з </w:t>
      </w:r>
      <w:hyperlink r:id="rId108" w:tooltip="1804" w:history="1">
        <w:r>
          <w:rPr>
            <w:lang w:val="uk-UA" w:eastAsia="en-US"/>
          </w:rPr>
          <w:t>1804</w:t>
        </w:r>
      </w:hyperlink>
      <w:r>
        <w:rPr>
          <w:lang w:val="uk-UA" w:eastAsia="uk-UA"/>
        </w:rPr>
        <w:t xml:space="preserve"> по </w:t>
      </w:r>
      <w:hyperlink r:id="rId109" w:tooltip="1840" w:history="1">
        <w:r>
          <w:rPr>
            <w:lang w:val="uk-UA" w:eastAsia="en-US"/>
          </w:rPr>
          <w:t>1840</w:t>
        </w:r>
      </w:hyperlink>
      <w:r>
        <w:rPr>
          <w:lang w:val="uk-UA" w:eastAsia="uk-UA"/>
        </w:rPr>
        <w:t xml:space="preserve"> роки в класичному стилі. Палат єпископів є резиденцією римсько-католицьких епіскопом з Сату Марє і будівлею Богословської римсько-католицької шкільної групи </w:t>
      </w:r>
      <w:hyperlink r:id="rId110" w:tooltip="Grup Școlar Teologic Romano-Catolic " w:history="1">
        <w:r>
          <w:rPr>
            <w:lang w:val="uk-UA" w:eastAsia="en-US"/>
          </w:rPr>
          <w:t>«H</w:t>
        </w:r>
        <w:r>
          <w:rPr>
            <w:lang w:val="en-US" w:eastAsia="en-US"/>
          </w:rPr>
          <w:t>a</w:t>
        </w:r>
        <w:r>
          <w:rPr>
            <w:lang w:val="uk-UA" w:eastAsia="en-US"/>
          </w:rPr>
          <w:t>m J</w:t>
        </w:r>
        <w:r>
          <w:rPr>
            <w:lang w:val="en-US" w:eastAsia="en-US"/>
          </w:rPr>
          <w:t>a</w:t>
        </w:r>
        <w:r>
          <w:rPr>
            <w:lang w:val="uk-UA" w:eastAsia="en-US"/>
          </w:rPr>
          <w:t>nos»</w:t>
        </w:r>
      </w:hyperlink>
      <w:r>
        <w:rPr>
          <w:lang w:val="uk-UA" w:eastAsia="uk-UA"/>
        </w:rPr>
        <w:t xml:space="preserve">. У єпископській каплиці знаходиться вівтар перед яким уклав шлюб відомий угорський поет </w:t>
      </w:r>
      <w:hyperlink r:id="rId111" w:tooltip="Sбndor Petхfi" w:history="1">
        <w:r>
          <w:rPr>
            <w:lang w:val="uk-UA" w:eastAsia="en-US"/>
          </w:rPr>
          <w:t>S</w:t>
        </w:r>
        <w:r>
          <w:rPr>
            <w:lang w:val="en-US" w:eastAsia="en-US"/>
          </w:rPr>
          <w:t>a</w:t>
        </w:r>
        <w:r>
          <w:rPr>
            <w:lang w:val="uk-UA" w:eastAsia="en-US"/>
          </w:rPr>
          <w:t>ndor Petхfi</w:t>
        </w:r>
      </w:hyperlink>
      <w:r>
        <w:rPr>
          <w:lang w:val="uk-UA" w:eastAsia="uk-UA"/>
        </w:rPr>
        <w:t xml:space="preserve"> і </w:t>
      </w:r>
      <w:hyperlink r:id="rId112" w:tooltip="Szendrey Jъlia" w:history="1">
        <w:r>
          <w:rPr>
            <w:lang w:val="uk-UA" w:eastAsia="en-US"/>
          </w:rPr>
          <w:t>Szendrey J</w:t>
        </w:r>
        <w:r>
          <w:rPr>
            <w:lang w:val="en-US" w:eastAsia="en-US"/>
          </w:rPr>
          <w:t>u</w:t>
        </w:r>
        <w:r>
          <w:rPr>
            <w:lang w:val="uk-UA" w:eastAsia="en-US"/>
          </w:rPr>
          <w:t>lia</w:t>
        </w:r>
      </w:hyperlink>
      <w:r>
        <w:rPr>
          <w:lang w:val="uk-UA" w:eastAsia="uk-UA"/>
        </w:rPr>
        <w:t xml:space="preserve"> в каплиці фортеці з Ардуд.</w:t>
      </w:r>
    </w:p>
    <w:p w:rsidR="00642FB4" w:rsidRDefault="006C74EB">
      <w:pPr>
        <w:numPr>
          <w:ilvl w:val="0"/>
          <w:numId w:val="38"/>
        </w:numPr>
        <w:spacing w:before="60" w:after="60" w:line="288" w:lineRule="auto"/>
        <w:jc w:val="both"/>
        <w:rPr>
          <w:lang w:val="uk-UA" w:eastAsia="en-US"/>
        </w:rPr>
      </w:pPr>
      <w:hyperlink r:id="rId113" w:tooltip="Teatrul de Nord (Satu Mare)" w:history="1">
        <w:r w:rsidR="00642FB4">
          <w:rPr>
            <w:b/>
            <w:bCs/>
            <w:i/>
            <w:iCs/>
            <w:lang w:val="uk-UA" w:eastAsia="en-US"/>
          </w:rPr>
          <w:t>Теат</w:t>
        </w:r>
      </w:hyperlink>
      <w:r w:rsidR="00642FB4">
        <w:rPr>
          <w:lang w:val="uk-UA" w:eastAsia="uk-UA"/>
        </w:rPr>
        <w:t xml:space="preserve">р – є другою театральною будівлею в місті (перше було знесене в </w:t>
      </w:r>
      <w:hyperlink r:id="rId114" w:tooltip="1889" w:history="1">
        <w:r w:rsidR="00642FB4">
          <w:rPr>
            <w:lang w:val="uk-UA" w:eastAsia="en-US"/>
          </w:rPr>
          <w:t>1889</w:t>
        </w:r>
      </w:hyperlink>
      <w:r w:rsidR="00642FB4">
        <w:rPr>
          <w:lang w:val="uk-UA" w:eastAsia="uk-UA"/>
        </w:rPr>
        <w:t xml:space="preserve"> році). Фундамент був поставлений травня </w:t>
      </w:r>
      <w:hyperlink r:id="rId115" w:tooltip="1892" w:history="1">
        <w:r w:rsidR="00642FB4">
          <w:rPr>
            <w:lang w:val="uk-UA" w:eastAsia="en-US"/>
          </w:rPr>
          <w:t>1892</w:t>
        </w:r>
      </w:hyperlink>
      <w:r w:rsidR="00642FB4">
        <w:rPr>
          <w:lang w:val="uk-UA" w:eastAsia="uk-UA"/>
        </w:rPr>
        <w:t xml:space="preserve"> року, а інаугурація проходила в рамках празничных церемоній січня </w:t>
      </w:r>
      <w:hyperlink r:id="rId116" w:tooltip="1892" w:history="1">
        <w:r w:rsidR="00642FB4">
          <w:rPr>
            <w:lang w:val="uk-UA" w:eastAsia="en-US"/>
          </w:rPr>
          <w:t>1892</w:t>
        </w:r>
      </w:hyperlink>
      <w:r w:rsidR="00642FB4">
        <w:rPr>
          <w:lang w:val="uk-UA" w:eastAsia="uk-UA"/>
        </w:rPr>
        <w:t xml:space="preserve"> року. Проект був створений архітектором, а роботи проходили під наглядом архітектора </w:t>
      </w:r>
      <w:hyperlink r:id="rId117" w:tooltip="Szikszay Lajos — paginг inexistentг" w:history="1">
        <w:r w:rsidR="00642FB4">
          <w:rPr>
            <w:lang w:val="uk-UA" w:eastAsia="en-US"/>
          </w:rPr>
          <w:t>Szikszay Lajos</w:t>
        </w:r>
      </w:hyperlink>
      <w:r w:rsidR="00642FB4">
        <w:rPr>
          <w:lang w:val="uk-UA" w:eastAsia="uk-UA"/>
        </w:rPr>
        <w:t xml:space="preserve"> з Дебрецин, а внутрішній декор був створений </w:t>
      </w:r>
      <w:hyperlink r:id="rId118" w:tooltip="Spanraft și Hirsch — paginг inexistentг" w:history="1">
        <w:r w:rsidR="00642FB4">
          <w:rPr>
            <w:lang w:val="uk-UA" w:eastAsia="en-US"/>
          </w:rPr>
          <w:t>Spanraft и Hirsch</w:t>
        </w:r>
      </w:hyperlink>
      <w:r w:rsidR="00642FB4">
        <w:rPr>
          <w:lang w:val="uk-UA" w:eastAsia="uk-UA"/>
        </w:rPr>
        <w:t>.</w:t>
      </w:r>
    </w:p>
    <w:p w:rsidR="00642FB4" w:rsidRDefault="00642FB4">
      <w:pPr>
        <w:numPr>
          <w:ilvl w:val="0"/>
          <w:numId w:val="38"/>
        </w:numPr>
        <w:spacing w:before="60" w:after="60" w:line="288" w:lineRule="auto"/>
        <w:jc w:val="both"/>
        <w:rPr>
          <w:b/>
          <w:bCs/>
          <w:lang w:val="uk-UA" w:eastAsia="en-US"/>
        </w:rPr>
      </w:pPr>
      <w:r>
        <w:rPr>
          <w:b/>
          <w:bCs/>
          <w:lang w:val="uk-UA" w:eastAsia="uk-UA"/>
        </w:rPr>
        <w:t xml:space="preserve">Будівля гільдії шевців </w:t>
      </w:r>
    </w:p>
    <w:p w:rsidR="00642FB4" w:rsidRDefault="00642FB4">
      <w:pPr>
        <w:numPr>
          <w:ilvl w:val="0"/>
          <w:numId w:val="38"/>
        </w:numPr>
        <w:spacing w:before="60" w:after="60" w:line="288" w:lineRule="auto"/>
        <w:jc w:val="both"/>
        <w:rPr>
          <w:b/>
          <w:bCs/>
          <w:lang w:val="uk-UA" w:eastAsia="en-US"/>
        </w:rPr>
      </w:pPr>
      <w:r>
        <w:rPr>
          <w:b/>
          <w:bCs/>
          <w:lang w:val="uk-UA" w:eastAsia="uk-UA"/>
        </w:rPr>
        <w:t xml:space="preserve">Будинок Ормос </w:t>
      </w:r>
    </w:p>
    <w:p w:rsidR="00642FB4" w:rsidRDefault="00642FB4">
      <w:pPr>
        <w:spacing w:before="60" w:after="60" w:line="288" w:lineRule="auto"/>
        <w:jc w:val="both"/>
        <w:rPr>
          <w:sz w:val="16"/>
          <w:szCs w:val="16"/>
          <w:lang w:val="uk-UA" w:eastAsia="en-US"/>
        </w:rPr>
      </w:pPr>
    </w:p>
    <w:p w:rsidR="00642FB4" w:rsidRDefault="00642FB4">
      <w:pPr>
        <w:spacing w:before="60" w:after="60" w:line="288" w:lineRule="auto"/>
        <w:jc w:val="both"/>
        <w:rPr>
          <w:b/>
          <w:bCs/>
          <w:i/>
          <w:iCs/>
          <w:lang w:val="uk-UA" w:eastAsia="en-US"/>
        </w:rPr>
      </w:pPr>
      <w:r>
        <w:rPr>
          <w:b/>
          <w:bCs/>
          <w:i/>
          <w:iCs/>
          <w:lang w:val="uk-UA" w:eastAsia="uk-UA"/>
        </w:rPr>
        <w:t>Церкви</w:t>
      </w:r>
    </w:p>
    <w:p w:rsidR="00642FB4" w:rsidRDefault="00642FB4">
      <w:pPr>
        <w:numPr>
          <w:ilvl w:val="0"/>
          <w:numId w:val="38"/>
        </w:numPr>
        <w:spacing w:before="60" w:after="60" w:line="288" w:lineRule="auto"/>
        <w:jc w:val="both"/>
        <w:rPr>
          <w:lang w:val="uk-UA" w:eastAsia="en-US"/>
        </w:rPr>
      </w:pPr>
      <w:r>
        <w:rPr>
          <w:b/>
          <w:bCs/>
          <w:i/>
          <w:iCs/>
          <w:lang w:val="uk-UA" w:eastAsia="uk-UA"/>
        </w:rPr>
        <w:t xml:space="preserve">Римсько-католицький собор </w:t>
      </w:r>
    </w:p>
    <w:p w:rsidR="00642FB4" w:rsidRDefault="006C74EB">
      <w:pPr>
        <w:numPr>
          <w:ilvl w:val="0"/>
          <w:numId w:val="38"/>
        </w:numPr>
        <w:spacing w:before="60" w:after="60" w:line="288" w:lineRule="auto"/>
        <w:jc w:val="both"/>
        <w:rPr>
          <w:lang w:val="uk-UA" w:eastAsia="en-US"/>
        </w:rPr>
      </w:pPr>
      <w:hyperlink r:id="rId119" w:tooltip="Biserica Reformatг cu lanțuri din Satu-Mare" w:history="1">
        <w:r w:rsidR="00642FB4">
          <w:rPr>
            <w:b/>
            <w:bCs/>
            <w:i/>
            <w:iCs/>
            <w:lang w:val="uk-UA" w:eastAsia="en-US"/>
          </w:rPr>
          <w:t xml:space="preserve">Реформаторська церква з ланцюгами </w:t>
        </w:r>
      </w:hyperlink>
      <w:r w:rsidR="00642FB4">
        <w:rPr>
          <w:lang w:val="uk-UA" w:eastAsia="uk-UA"/>
        </w:rPr>
        <w:t xml:space="preserve"> </w:t>
      </w:r>
    </w:p>
    <w:p w:rsidR="00642FB4" w:rsidRDefault="006C74EB">
      <w:pPr>
        <w:numPr>
          <w:ilvl w:val="0"/>
          <w:numId w:val="38"/>
        </w:numPr>
        <w:spacing w:before="60" w:after="60" w:line="288" w:lineRule="auto"/>
        <w:jc w:val="both"/>
        <w:rPr>
          <w:lang w:val="uk-UA" w:eastAsia="en-US"/>
        </w:rPr>
      </w:pPr>
      <w:hyperlink r:id="rId120" w:tooltip="Catedrala Greco-Catolicг " w:history="1">
        <w:r w:rsidR="00642FB4">
          <w:rPr>
            <w:b/>
            <w:bCs/>
            <w:i/>
            <w:iCs/>
            <w:lang w:val="uk-UA" w:eastAsia="en-US"/>
          </w:rPr>
          <w:t>Греко-католицький собор «Святих Архангелів Михайла та Гавріїла»</w:t>
        </w:r>
      </w:hyperlink>
      <w:r w:rsidR="00642FB4">
        <w:rPr>
          <w:lang w:val="uk-UA" w:eastAsia="uk-UA"/>
        </w:rPr>
        <w:t xml:space="preserve"> </w:t>
      </w:r>
    </w:p>
    <w:p w:rsidR="00642FB4" w:rsidRDefault="00642FB4">
      <w:pPr>
        <w:numPr>
          <w:ilvl w:val="0"/>
          <w:numId w:val="38"/>
        </w:numPr>
        <w:spacing w:before="60" w:after="60" w:line="288" w:lineRule="auto"/>
        <w:jc w:val="both"/>
        <w:rPr>
          <w:lang w:val="uk-UA" w:eastAsia="en-US"/>
        </w:rPr>
      </w:pPr>
      <w:r>
        <w:rPr>
          <w:b/>
          <w:bCs/>
          <w:i/>
          <w:iCs/>
          <w:lang w:val="uk-UA" w:eastAsia="uk-UA"/>
        </w:rPr>
        <w:t>Православна церква «Пречистої Пресвятої Богородиці» («собор»)</w:t>
      </w:r>
    </w:p>
    <w:p w:rsidR="00642FB4" w:rsidRDefault="00642FB4">
      <w:pPr>
        <w:spacing w:before="60" w:after="60" w:line="288" w:lineRule="auto"/>
        <w:jc w:val="both"/>
        <w:rPr>
          <w:b/>
          <w:bCs/>
          <w:i/>
          <w:iCs/>
          <w:lang w:val="uk-UA" w:eastAsia="en-US"/>
        </w:rPr>
      </w:pPr>
      <w:r>
        <w:rPr>
          <w:b/>
          <w:bCs/>
          <w:i/>
          <w:iCs/>
          <w:lang w:val="uk-UA" w:eastAsia="uk-UA"/>
        </w:rPr>
        <w:t xml:space="preserve">Статуї </w:t>
      </w:r>
    </w:p>
    <w:p w:rsidR="00642FB4" w:rsidRDefault="006C74EB">
      <w:pPr>
        <w:numPr>
          <w:ilvl w:val="0"/>
          <w:numId w:val="38"/>
        </w:numPr>
        <w:spacing w:before="60" w:after="60" w:line="288" w:lineRule="auto"/>
        <w:jc w:val="both"/>
        <w:rPr>
          <w:lang w:val="uk-UA" w:eastAsia="en-US"/>
        </w:rPr>
      </w:pPr>
      <w:hyperlink r:id="rId121" w:tooltip="Statuia Lupa Capitolina din Satu Mare" w:history="1">
        <w:r w:rsidR="00642FB4">
          <w:rPr>
            <w:lang w:val="uk-UA" w:eastAsia="en-US"/>
          </w:rPr>
          <w:t>Статуя Лупа Капітоліна</w:t>
        </w:r>
      </w:hyperlink>
      <w:r w:rsidR="00642FB4">
        <w:rPr>
          <w:lang w:val="uk-UA" w:eastAsia="uk-UA"/>
        </w:rPr>
        <w:t xml:space="preserve"> (Вовчиха)</w:t>
      </w:r>
    </w:p>
    <w:p w:rsidR="00642FB4" w:rsidRDefault="00642FB4">
      <w:pPr>
        <w:spacing w:before="60" w:after="60" w:line="288" w:lineRule="auto"/>
        <w:jc w:val="both"/>
        <w:rPr>
          <w:b/>
          <w:bCs/>
          <w:i/>
          <w:iCs/>
          <w:lang w:val="uk-UA" w:eastAsia="en-US"/>
        </w:rPr>
      </w:pPr>
      <w:r>
        <w:rPr>
          <w:b/>
          <w:bCs/>
          <w:i/>
          <w:iCs/>
          <w:lang w:val="uk-UA" w:eastAsia="uk-UA"/>
        </w:rPr>
        <w:t xml:space="preserve">Музеї </w:t>
      </w:r>
    </w:p>
    <w:p w:rsidR="00642FB4" w:rsidRDefault="00642FB4">
      <w:pPr>
        <w:numPr>
          <w:ilvl w:val="0"/>
          <w:numId w:val="38"/>
        </w:numPr>
        <w:spacing w:before="60" w:after="60" w:line="288" w:lineRule="auto"/>
        <w:jc w:val="both"/>
        <w:rPr>
          <w:lang w:val="uk-UA" w:eastAsia="en-US"/>
        </w:rPr>
      </w:pPr>
      <w:r>
        <w:rPr>
          <w:lang w:val="uk-UA" w:eastAsia="uk-UA"/>
        </w:rPr>
        <w:t xml:space="preserve">Меморіальне ательє Аурєл Попп </w:t>
      </w:r>
    </w:p>
    <w:p w:rsidR="00642FB4" w:rsidRDefault="00642FB4">
      <w:pPr>
        <w:numPr>
          <w:ilvl w:val="0"/>
          <w:numId w:val="38"/>
        </w:numPr>
        <w:spacing w:before="60" w:after="60" w:line="288" w:lineRule="auto"/>
        <w:jc w:val="both"/>
        <w:rPr>
          <w:lang w:val="uk-UA" w:eastAsia="en-US"/>
        </w:rPr>
      </w:pPr>
      <w:r>
        <w:rPr>
          <w:lang w:val="uk-UA" w:eastAsia="uk-UA"/>
        </w:rPr>
        <w:t>Меморіальний будинок «Василь Лукачіу»</w:t>
      </w:r>
    </w:p>
    <w:p w:rsidR="00642FB4" w:rsidRDefault="00642FB4">
      <w:pPr>
        <w:numPr>
          <w:ilvl w:val="0"/>
          <w:numId w:val="38"/>
        </w:numPr>
        <w:spacing w:before="60" w:after="60" w:line="288" w:lineRule="auto"/>
        <w:jc w:val="both"/>
        <w:rPr>
          <w:lang w:val="uk-UA" w:eastAsia="en-US"/>
        </w:rPr>
      </w:pPr>
      <w:r>
        <w:rPr>
          <w:lang w:val="uk-UA" w:eastAsia="uk-UA"/>
        </w:rPr>
        <w:t>Музей повіту</w:t>
      </w:r>
    </w:p>
    <w:p w:rsidR="00642FB4" w:rsidRDefault="00642FB4">
      <w:pPr>
        <w:spacing w:after="200" w:line="276" w:lineRule="auto"/>
        <w:ind w:left="360"/>
        <w:jc w:val="both"/>
        <w:rPr>
          <w:lang w:val="uk-UA" w:eastAsia="en-US"/>
        </w:rPr>
      </w:pPr>
    </w:p>
    <w:p w:rsidR="00642FB4" w:rsidRDefault="00642FB4">
      <w:pPr>
        <w:spacing w:before="60" w:after="60" w:line="288" w:lineRule="auto"/>
        <w:jc w:val="both"/>
        <w:rPr>
          <w:lang w:val="uk-UA" w:eastAsia="en-US"/>
        </w:rPr>
      </w:pPr>
      <w:r>
        <w:rPr>
          <w:b/>
          <w:bCs/>
          <w:lang w:val="uk-UA" w:eastAsia="uk-UA"/>
        </w:rPr>
        <w:t xml:space="preserve">Культурні об'єкти повіту Сучава </w:t>
      </w:r>
    </w:p>
    <w:p w:rsidR="00642FB4" w:rsidRDefault="00642FB4">
      <w:pPr>
        <w:spacing w:before="60" w:after="60" w:line="288" w:lineRule="auto"/>
        <w:ind w:firstLine="720"/>
        <w:jc w:val="both"/>
        <w:rPr>
          <w:lang w:val="uk-UA" w:eastAsia="en-US"/>
        </w:rPr>
      </w:pPr>
      <w:r>
        <w:rPr>
          <w:lang w:val="uk-UA" w:eastAsia="uk-UA"/>
        </w:rPr>
        <w:t xml:space="preserve">Сучава, одне з найстаріших міст Румунії і колишня столиця Молдови, володіє численними історичними і туристичними об'єктами, які поширені на території населеного пункту і за його околицями. Місто виділяється високим числом старих церков - православних, вірменських, римсько-католицьких, єврейських. Ці церкви і монастирі є доказом етнічної різноманітності і багато культурності населеного пункту. </w:t>
      </w:r>
    </w:p>
    <w:p w:rsidR="00642FB4" w:rsidRDefault="00642FB4">
      <w:pPr>
        <w:spacing w:before="60" w:after="60" w:line="288" w:lineRule="auto"/>
        <w:ind w:firstLine="720"/>
        <w:jc w:val="both"/>
        <w:rPr>
          <w:lang w:val="uk-UA" w:eastAsia="en-US"/>
        </w:rPr>
      </w:pPr>
      <w:r>
        <w:rPr>
          <w:lang w:val="uk-UA" w:eastAsia="uk-UA"/>
        </w:rPr>
        <w:t xml:space="preserve">Також, в Сучаві існують багато будівель монументів історії, більшість з яких побудовані в кінці XIX століття і на початку XX століття, в період, коли мером міста був </w:t>
      </w:r>
      <w:hyperlink r:id="rId122" w:tooltip="Franz Des Loges" w:history="1">
        <w:r>
          <w:rPr>
            <w:lang w:val="uk-UA" w:eastAsia="en-US"/>
          </w:rPr>
          <w:t>Franz Des Loges</w:t>
        </w:r>
      </w:hyperlink>
      <w:r>
        <w:rPr>
          <w:lang w:val="uk-UA" w:eastAsia="uk-UA"/>
        </w:rPr>
        <w:t>. До них додається серія статуй, бюстів, мозаїки і інших монументів, які представляють інтерес. Більшість історичних і туристичних об'єктів знаходяться в периметрі старого міста, зона, яка тягнеться між Чєтатя (Фортеця) дє Скаун (на заході) і Чєтатя (Фортеця) Шкєя (на сході).</w:t>
      </w:r>
    </w:p>
    <w:p w:rsidR="00642FB4" w:rsidRDefault="00642FB4">
      <w:pPr>
        <w:spacing w:before="60" w:after="60" w:line="288" w:lineRule="auto"/>
        <w:ind w:firstLine="720"/>
        <w:jc w:val="both"/>
        <w:rPr>
          <w:lang w:val="uk-UA" w:eastAsia="en-US"/>
        </w:rPr>
      </w:pPr>
      <w:r>
        <w:rPr>
          <w:b/>
          <w:bCs/>
          <w:i/>
          <w:iCs/>
          <w:lang w:val="uk-UA" w:eastAsia="uk-UA"/>
        </w:rPr>
        <w:t xml:space="preserve">Музей Сучави </w:t>
      </w:r>
      <w:r>
        <w:rPr>
          <w:lang w:val="uk-UA" w:eastAsia="uk-UA"/>
        </w:rPr>
        <w:t xml:space="preserve">був заснований в </w:t>
      </w:r>
      <w:hyperlink r:id="rId123" w:tooltip="1895" w:history="1">
        <w:r>
          <w:rPr>
            <w:lang w:val="uk-UA" w:eastAsia="en-US"/>
          </w:rPr>
          <w:t>1895</w:t>
        </w:r>
      </w:hyperlink>
      <w:r>
        <w:rPr>
          <w:lang w:val="uk-UA" w:eastAsia="uk-UA"/>
        </w:rPr>
        <w:t xml:space="preserve"> році і отримав статус юридичної особи 4 січня </w:t>
      </w:r>
      <w:hyperlink r:id="rId124" w:tooltip="1900" w:history="1">
        <w:r>
          <w:rPr>
            <w:lang w:val="uk-UA" w:eastAsia="en-US"/>
          </w:rPr>
          <w:t>1900</w:t>
        </w:r>
      </w:hyperlink>
      <w:r>
        <w:rPr>
          <w:lang w:val="uk-UA" w:eastAsia="uk-UA"/>
        </w:rPr>
        <w:t xml:space="preserve"> року. На даний час Музей Буковини включає головні туристичні визначні пам'ятки муніципія Сучава, але і декілька меморіальних будинків і музеїв, розташованих в інших населених пунктах повіту:</w:t>
      </w:r>
    </w:p>
    <w:p w:rsidR="00642FB4" w:rsidRDefault="00642FB4">
      <w:pPr>
        <w:numPr>
          <w:ilvl w:val="0"/>
          <w:numId w:val="42"/>
        </w:numPr>
        <w:spacing w:before="60" w:after="60" w:line="288" w:lineRule="auto"/>
        <w:jc w:val="both"/>
        <w:rPr>
          <w:lang w:val="uk-UA" w:eastAsia="en-US"/>
        </w:rPr>
      </w:pPr>
      <w:r>
        <w:rPr>
          <w:lang w:val="uk-UA" w:eastAsia="uk-UA"/>
        </w:rPr>
        <w:t xml:space="preserve">Чєтатя (Фортеця) дє Скаун Сучави </w:t>
      </w:r>
    </w:p>
    <w:p w:rsidR="00642FB4" w:rsidRDefault="006C74EB">
      <w:pPr>
        <w:numPr>
          <w:ilvl w:val="0"/>
          <w:numId w:val="42"/>
        </w:numPr>
        <w:spacing w:before="60" w:after="60" w:line="288" w:lineRule="auto"/>
        <w:jc w:val="both"/>
        <w:rPr>
          <w:lang w:val="uk-UA" w:eastAsia="en-US"/>
        </w:rPr>
      </w:pPr>
      <w:hyperlink r:id="rId125" w:tooltip="Curtea Domneascг din Suceava" w:history="1">
        <w:r w:rsidR="00642FB4">
          <w:rPr>
            <w:lang w:val="uk-UA" w:eastAsia="en-US"/>
          </w:rPr>
          <w:t xml:space="preserve">Панський палац з Сучави </w:t>
        </w:r>
      </w:hyperlink>
    </w:p>
    <w:p w:rsidR="00642FB4" w:rsidRDefault="006C74EB">
      <w:pPr>
        <w:numPr>
          <w:ilvl w:val="0"/>
          <w:numId w:val="42"/>
        </w:numPr>
        <w:spacing w:before="60" w:after="60" w:line="288" w:lineRule="auto"/>
        <w:jc w:val="both"/>
        <w:rPr>
          <w:lang w:val="uk-UA" w:eastAsia="en-US"/>
        </w:rPr>
      </w:pPr>
      <w:hyperlink r:id="rId126" w:tooltip="Muzeul Județean din Suceava" w:history="1">
        <w:r w:rsidR="00642FB4">
          <w:rPr>
            <w:lang w:val="uk-UA" w:eastAsia="en-US"/>
          </w:rPr>
          <w:t xml:space="preserve">Історичний музей з Сучави </w:t>
        </w:r>
      </w:hyperlink>
    </w:p>
    <w:p w:rsidR="00642FB4" w:rsidRDefault="00642FB4">
      <w:pPr>
        <w:numPr>
          <w:ilvl w:val="0"/>
          <w:numId w:val="42"/>
        </w:numPr>
        <w:spacing w:before="60" w:after="60" w:line="288" w:lineRule="auto"/>
        <w:jc w:val="both"/>
        <w:rPr>
          <w:lang w:val="uk-UA" w:eastAsia="en-US"/>
        </w:rPr>
      </w:pPr>
      <w:r>
        <w:rPr>
          <w:lang w:val="uk-UA" w:eastAsia="uk-UA"/>
        </w:rPr>
        <w:t>Музей природних наук з Сучави</w:t>
      </w:r>
    </w:p>
    <w:p w:rsidR="00642FB4" w:rsidRDefault="00642FB4">
      <w:pPr>
        <w:numPr>
          <w:ilvl w:val="0"/>
          <w:numId w:val="42"/>
        </w:numPr>
        <w:spacing w:before="60" w:after="60" w:line="288" w:lineRule="auto"/>
        <w:jc w:val="both"/>
        <w:rPr>
          <w:lang w:val="uk-UA" w:eastAsia="en-US"/>
        </w:rPr>
      </w:pPr>
      <w:r>
        <w:rPr>
          <w:lang w:val="uk-UA" w:eastAsia="uk-UA"/>
        </w:rPr>
        <w:t xml:space="preserve">Етнографічний музей з Сучави </w:t>
      </w:r>
      <w:hyperlink r:id="rId127" w:tooltip="Hanul Domnesc din Suceava" w:history="1">
        <w:r>
          <w:rPr>
            <w:lang w:val="uk-UA" w:eastAsia="en-US"/>
          </w:rPr>
          <w:t>(Ханул Домнєск (Панський постоялий двір)</w:t>
        </w:r>
      </w:hyperlink>
    </w:p>
    <w:p w:rsidR="00642FB4" w:rsidRDefault="00642FB4">
      <w:pPr>
        <w:numPr>
          <w:ilvl w:val="0"/>
          <w:numId w:val="42"/>
        </w:numPr>
        <w:spacing w:before="60" w:after="60" w:line="288" w:lineRule="auto"/>
        <w:jc w:val="both"/>
        <w:rPr>
          <w:lang w:val="uk-UA" w:eastAsia="en-US"/>
        </w:rPr>
      </w:pPr>
      <w:r>
        <w:rPr>
          <w:lang w:val="uk-UA" w:eastAsia="uk-UA"/>
        </w:rPr>
        <w:t xml:space="preserve">Музей буковинського села </w:t>
      </w:r>
    </w:p>
    <w:p w:rsidR="00642FB4" w:rsidRDefault="00642FB4">
      <w:pPr>
        <w:numPr>
          <w:ilvl w:val="0"/>
          <w:numId w:val="43"/>
        </w:numPr>
        <w:spacing w:before="60" w:after="60" w:line="288" w:lineRule="auto"/>
        <w:jc w:val="both"/>
        <w:rPr>
          <w:lang w:val="uk-UA" w:eastAsia="en-US"/>
        </w:rPr>
      </w:pPr>
      <w:r>
        <w:rPr>
          <w:lang w:val="uk-UA" w:eastAsia="uk-UA"/>
        </w:rPr>
        <w:t xml:space="preserve">Культурно-меморіальний фонд включає: </w:t>
      </w:r>
    </w:p>
    <w:p w:rsidR="00642FB4" w:rsidRDefault="006C74EB">
      <w:pPr>
        <w:numPr>
          <w:ilvl w:val="1"/>
          <w:numId w:val="40"/>
        </w:numPr>
        <w:spacing w:before="60" w:after="60" w:line="288" w:lineRule="auto"/>
        <w:jc w:val="both"/>
        <w:rPr>
          <w:lang w:val="uk-UA" w:eastAsia="en-US"/>
        </w:rPr>
      </w:pPr>
      <w:hyperlink r:id="rId128" w:tooltip="Casa memorialг " w:history="1">
        <w:r w:rsidR="00642FB4">
          <w:rPr>
            <w:lang w:val="uk-UA" w:eastAsia="en-US"/>
          </w:rPr>
          <w:t>Меморіальний будинок «Сімеон Флоря Маріан»</w:t>
        </w:r>
      </w:hyperlink>
      <w:r w:rsidR="00642FB4">
        <w:rPr>
          <w:lang w:val="uk-UA" w:eastAsia="uk-UA"/>
        </w:rPr>
        <w:t xml:space="preserve"> з Сучави</w:t>
      </w:r>
    </w:p>
    <w:p w:rsidR="00642FB4" w:rsidRDefault="006C74EB">
      <w:pPr>
        <w:numPr>
          <w:ilvl w:val="1"/>
          <w:numId w:val="40"/>
        </w:numPr>
        <w:spacing w:before="60" w:after="60" w:line="288" w:lineRule="auto"/>
        <w:jc w:val="both"/>
        <w:rPr>
          <w:lang w:val="uk-UA" w:eastAsia="en-US"/>
        </w:rPr>
      </w:pPr>
      <w:hyperlink r:id="rId129" w:tooltip="Casa memorialг Nicolae Labiș" w:history="1">
        <w:r w:rsidR="00642FB4">
          <w:rPr>
            <w:lang w:val="uk-UA" w:eastAsia="en-US"/>
          </w:rPr>
          <w:t xml:space="preserve">Меморіальний будинок «Ніколає Лабіш» з Мелінь </w:t>
        </w:r>
      </w:hyperlink>
    </w:p>
    <w:p w:rsidR="00642FB4" w:rsidRDefault="006C74EB">
      <w:pPr>
        <w:numPr>
          <w:ilvl w:val="1"/>
          <w:numId w:val="40"/>
        </w:numPr>
        <w:spacing w:before="60" w:after="60" w:line="288" w:lineRule="auto"/>
        <w:jc w:val="both"/>
        <w:rPr>
          <w:lang w:val="uk-UA" w:eastAsia="en-US"/>
        </w:rPr>
      </w:pPr>
      <w:hyperlink r:id="rId130" w:tooltip="Casa memorialг Eusebiu Camilar" w:history="1">
        <w:r w:rsidR="00642FB4">
          <w:rPr>
            <w:lang w:val="uk-UA" w:eastAsia="en-US"/>
          </w:rPr>
          <w:t>Меморіальний будинок «Еусєбіу Камілар» з Удєшть</w:t>
        </w:r>
      </w:hyperlink>
      <w:r w:rsidR="00642FB4">
        <w:rPr>
          <w:lang w:val="uk-UA" w:eastAsia="uk-UA"/>
        </w:rPr>
        <w:t xml:space="preserve"> </w:t>
      </w:r>
    </w:p>
    <w:p w:rsidR="00642FB4" w:rsidRDefault="00642FB4">
      <w:pPr>
        <w:numPr>
          <w:ilvl w:val="1"/>
          <w:numId w:val="40"/>
        </w:numPr>
        <w:spacing w:before="60" w:after="60" w:line="288" w:lineRule="auto"/>
        <w:jc w:val="both"/>
        <w:rPr>
          <w:lang w:val="uk-UA" w:eastAsia="en-US"/>
        </w:rPr>
      </w:pPr>
      <w:r>
        <w:rPr>
          <w:lang w:val="uk-UA" w:eastAsia="uk-UA"/>
        </w:rPr>
        <w:t>Будинок-музей Солка (Будинок «Савєта Котрубаш»)</w:t>
      </w:r>
    </w:p>
    <w:p w:rsidR="00642FB4" w:rsidRDefault="00642FB4">
      <w:pPr>
        <w:numPr>
          <w:ilvl w:val="1"/>
          <w:numId w:val="40"/>
        </w:numPr>
        <w:spacing w:before="60" w:after="60" w:line="288" w:lineRule="auto"/>
        <w:jc w:val="both"/>
        <w:rPr>
          <w:lang w:val="uk-UA" w:eastAsia="en-US"/>
        </w:rPr>
      </w:pPr>
      <w:r>
        <w:rPr>
          <w:lang w:val="uk-UA" w:eastAsia="uk-UA"/>
        </w:rPr>
        <w:t xml:space="preserve">Будинок-музей Білка </w:t>
      </w:r>
    </w:p>
    <w:p w:rsidR="00642FB4" w:rsidRDefault="006C74EB">
      <w:pPr>
        <w:numPr>
          <w:ilvl w:val="1"/>
          <w:numId w:val="40"/>
        </w:numPr>
        <w:spacing w:before="60" w:after="60" w:line="288" w:lineRule="auto"/>
        <w:jc w:val="both"/>
        <w:rPr>
          <w:lang w:val="uk-UA" w:eastAsia="en-US"/>
        </w:rPr>
      </w:pPr>
      <w:hyperlink r:id="rId131" w:tooltip="Casa memorialг Ciprian Porumbescu" w:history="1">
        <w:r w:rsidR="00642FB4">
          <w:rPr>
            <w:lang w:val="uk-UA" w:eastAsia="en-US"/>
          </w:rPr>
          <w:t>Музейний комплекс «Чіпріан Порумбєску»</w:t>
        </w:r>
      </w:hyperlink>
      <w:r w:rsidR="00642FB4">
        <w:rPr>
          <w:lang w:val="uk-UA" w:eastAsia="uk-UA"/>
        </w:rPr>
        <w:t xml:space="preserve"> з Ступка </w:t>
      </w:r>
    </w:p>
    <w:p w:rsidR="00642FB4" w:rsidRDefault="00642FB4">
      <w:pPr>
        <w:rPr>
          <w:b/>
          <w:bCs/>
          <w:lang w:val="uk-UA" w:eastAsia="en-US"/>
        </w:rPr>
      </w:pPr>
      <w:r>
        <w:rPr>
          <w:b/>
          <w:bCs/>
          <w:lang w:val="uk-UA" w:eastAsia="uk-UA"/>
        </w:rPr>
        <w:t xml:space="preserve">19 церков та монастирів </w:t>
      </w:r>
    </w:p>
    <w:p w:rsidR="00642FB4" w:rsidRDefault="00642FB4">
      <w:pPr>
        <w:rPr>
          <w:b/>
          <w:bCs/>
          <w:lang w:val="uk-UA" w:eastAsia="en-US"/>
        </w:rPr>
      </w:pPr>
      <w:r>
        <w:rPr>
          <w:b/>
          <w:bCs/>
          <w:lang w:val="uk-UA" w:eastAsia="uk-UA"/>
        </w:rPr>
        <w:t>Меморіальні будинки</w:t>
      </w:r>
    </w:p>
    <w:p w:rsidR="00642FB4" w:rsidRDefault="006C74EB">
      <w:pPr>
        <w:numPr>
          <w:ilvl w:val="0"/>
          <w:numId w:val="41"/>
        </w:numPr>
        <w:spacing w:before="60" w:after="60" w:line="288" w:lineRule="auto"/>
        <w:jc w:val="both"/>
        <w:rPr>
          <w:lang w:val="uk-UA" w:eastAsia="en-US"/>
        </w:rPr>
      </w:pPr>
      <w:hyperlink r:id="rId132" w:tooltip="Casa memorialг " w:history="1">
        <w:r w:rsidR="00642FB4">
          <w:rPr>
            <w:lang w:val="uk-UA" w:eastAsia="en-US"/>
          </w:rPr>
          <w:t>Меморіальний будинок «Сімєон Флоря Маріан»</w:t>
        </w:r>
      </w:hyperlink>
    </w:p>
    <w:p w:rsidR="00642FB4" w:rsidRDefault="006C74EB">
      <w:pPr>
        <w:numPr>
          <w:ilvl w:val="0"/>
          <w:numId w:val="41"/>
        </w:numPr>
        <w:spacing w:before="60" w:after="60" w:line="288" w:lineRule="auto"/>
        <w:jc w:val="both"/>
        <w:rPr>
          <w:lang w:val="uk-UA" w:eastAsia="en-US"/>
        </w:rPr>
      </w:pPr>
      <w:hyperlink r:id="rId133" w:tooltip="Casa " w:history="1">
        <w:r w:rsidR="00642FB4">
          <w:rPr>
            <w:lang w:val="uk-UA" w:eastAsia="en-US"/>
          </w:rPr>
          <w:t xml:space="preserve">Будинок в якому проживав Чіпріан Порумбєску </w:t>
        </w:r>
      </w:hyperlink>
    </w:p>
    <w:p w:rsidR="00642FB4" w:rsidRDefault="00642FB4">
      <w:pPr>
        <w:spacing w:before="60" w:after="60" w:line="288" w:lineRule="auto"/>
        <w:jc w:val="both"/>
        <w:rPr>
          <w:b/>
          <w:bCs/>
          <w:lang w:val="uk-UA" w:eastAsia="en-US"/>
        </w:rPr>
      </w:pPr>
    </w:p>
    <w:p w:rsidR="00642FB4" w:rsidRDefault="00642FB4">
      <w:pPr>
        <w:spacing w:before="60" w:after="60" w:line="288" w:lineRule="auto"/>
        <w:jc w:val="both"/>
        <w:rPr>
          <w:b/>
          <w:bCs/>
          <w:lang w:val="uk-UA" w:eastAsia="en-US"/>
        </w:rPr>
      </w:pPr>
      <w:r>
        <w:rPr>
          <w:b/>
          <w:bCs/>
          <w:lang w:val="uk-UA" w:eastAsia="uk-UA"/>
        </w:rPr>
        <w:t>Культурні об'єкти повіту Тулча</w:t>
      </w:r>
    </w:p>
    <w:p w:rsidR="00642FB4" w:rsidRDefault="00642FB4">
      <w:pPr>
        <w:spacing w:before="60" w:after="60" w:line="288" w:lineRule="auto"/>
        <w:jc w:val="both"/>
        <w:rPr>
          <w:b/>
          <w:bCs/>
          <w:lang w:val="uk-UA" w:eastAsia="en-US"/>
        </w:rPr>
      </w:pPr>
      <w:bookmarkStart w:id="32" w:name="_Toc412114139"/>
    </w:p>
    <w:p w:rsidR="00642FB4" w:rsidRDefault="00642FB4">
      <w:pPr>
        <w:numPr>
          <w:ilvl w:val="0"/>
          <w:numId w:val="42"/>
        </w:numPr>
        <w:spacing w:before="60" w:after="60" w:line="288" w:lineRule="auto"/>
        <w:jc w:val="both"/>
        <w:rPr>
          <w:lang w:val="uk-UA" w:eastAsia="en-US"/>
        </w:rPr>
      </w:pPr>
      <w:r>
        <w:rPr>
          <w:b/>
          <w:bCs/>
          <w:lang w:val="uk-UA" w:eastAsia="uk-UA"/>
        </w:rPr>
        <w:t xml:space="preserve">Середньовічна фортеця Енісала, </w:t>
      </w:r>
      <w:r>
        <w:rPr>
          <w:lang w:val="uk-UA" w:eastAsia="uk-UA"/>
        </w:rPr>
        <w:t xml:space="preserve">найбільш відвідувана археологічна територія з повіту Тулча. Поблизу неї, в радіусі комуни Журіловка, знаходиться </w:t>
      </w:r>
      <w:r>
        <w:rPr>
          <w:b/>
          <w:bCs/>
          <w:lang w:val="uk-UA" w:eastAsia="uk-UA"/>
        </w:rPr>
        <w:t xml:space="preserve">фортеця Оргамє /Аргамум, </w:t>
      </w:r>
      <w:r>
        <w:rPr>
          <w:lang w:val="uk-UA" w:eastAsia="uk-UA"/>
        </w:rPr>
        <w:t xml:space="preserve">перше місто з нинішньої території Румунії. </w:t>
      </w:r>
    </w:p>
    <w:p w:rsidR="00642FB4" w:rsidRDefault="00642FB4">
      <w:pPr>
        <w:numPr>
          <w:ilvl w:val="0"/>
          <w:numId w:val="42"/>
        </w:numPr>
        <w:spacing w:before="60" w:after="60" w:line="288" w:lineRule="auto"/>
        <w:jc w:val="both"/>
        <w:rPr>
          <w:lang w:val="uk-UA" w:eastAsia="en-US"/>
        </w:rPr>
      </w:pPr>
      <w:r>
        <w:rPr>
          <w:b/>
          <w:bCs/>
          <w:lang w:val="uk-UA" w:eastAsia="uk-UA"/>
        </w:rPr>
        <w:t>Фортеця Еджіссус (Aegyssus)</w:t>
      </w:r>
    </w:p>
    <w:p w:rsidR="00642FB4" w:rsidRDefault="00642FB4">
      <w:pPr>
        <w:numPr>
          <w:ilvl w:val="0"/>
          <w:numId w:val="42"/>
        </w:numPr>
        <w:spacing w:before="60" w:after="60" w:line="288" w:lineRule="auto"/>
        <w:jc w:val="both"/>
        <w:rPr>
          <w:lang w:val="uk-UA" w:eastAsia="en-US"/>
        </w:rPr>
      </w:pPr>
      <w:r>
        <w:rPr>
          <w:b/>
          <w:bCs/>
          <w:lang w:val="uk-UA" w:eastAsia="uk-UA"/>
        </w:rPr>
        <w:t>Римсько-візантійська фортеця Новіодунум</w:t>
      </w:r>
    </w:p>
    <w:p w:rsidR="00642FB4" w:rsidRDefault="00642FB4">
      <w:pPr>
        <w:numPr>
          <w:ilvl w:val="0"/>
          <w:numId w:val="42"/>
        </w:numPr>
        <w:spacing w:before="60" w:after="60" w:line="288" w:lineRule="auto"/>
        <w:jc w:val="both"/>
        <w:rPr>
          <w:lang w:val="uk-UA" w:eastAsia="en-US"/>
        </w:rPr>
      </w:pPr>
      <w:r>
        <w:rPr>
          <w:b/>
          <w:bCs/>
          <w:lang w:val="uk-UA" w:eastAsia="uk-UA"/>
        </w:rPr>
        <w:t xml:space="preserve">Інша територія, яка може зайти в надбання ЮНЕСКО, це фортеця Діноджєція, </w:t>
      </w:r>
      <w:r>
        <w:rPr>
          <w:lang w:val="uk-UA" w:eastAsia="uk-UA"/>
        </w:rPr>
        <w:t xml:space="preserve">яка розташована в периметрі комуни Жіжіла, поблизу дороги, яка зв'язує міста Тулча і Галаць, біля монастиря з престольним святом «Джерело зцілення». </w:t>
      </w:r>
    </w:p>
    <w:p w:rsidR="00642FB4" w:rsidRDefault="00642FB4">
      <w:pPr>
        <w:numPr>
          <w:ilvl w:val="0"/>
          <w:numId w:val="42"/>
        </w:numPr>
        <w:spacing w:before="60" w:after="60" w:line="288" w:lineRule="auto"/>
        <w:jc w:val="both"/>
        <w:rPr>
          <w:lang w:val="uk-UA" w:eastAsia="en-US"/>
        </w:rPr>
      </w:pPr>
      <w:r>
        <w:rPr>
          <w:b/>
          <w:bCs/>
          <w:lang w:val="uk-UA" w:eastAsia="uk-UA"/>
        </w:rPr>
        <w:t xml:space="preserve">Діноджеція була гето-дакийським поселенням, потім римською фортецею, про яку згадує Птоломєу, </w:t>
      </w:r>
      <w:r>
        <w:rPr>
          <w:lang w:val="uk-UA" w:eastAsia="uk-UA"/>
        </w:rPr>
        <w:t>в периметрі фортеці відкрито багато керамічних фрагментів, які підтверджують існування римської фортеці до Діоклетіана (284 — 305 після Христа). В даний час фортецею управляє Румунська академія.</w:t>
      </w:r>
    </w:p>
    <w:p w:rsidR="00642FB4" w:rsidRDefault="00642FB4">
      <w:pPr>
        <w:numPr>
          <w:ilvl w:val="0"/>
          <w:numId w:val="42"/>
        </w:numPr>
        <w:spacing w:before="60" w:after="60" w:line="288" w:lineRule="auto"/>
        <w:jc w:val="both"/>
        <w:rPr>
          <w:lang w:val="uk-UA" w:eastAsia="en-US"/>
        </w:rPr>
      </w:pPr>
      <w:r>
        <w:rPr>
          <w:b/>
          <w:bCs/>
          <w:lang w:val="uk-UA" w:eastAsia="uk-UA"/>
        </w:rPr>
        <w:t>Фортеця Троєсміс (Troesmis)</w:t>
      </w:r>
      <w:r>
        <w:rPr>
          <w:lang w:val="uk-UA" w:eastAsia="uk-UA"/>
        </w:rPr>
        <w:t>, розташована на площі в приблизно 157 гектара, поблизу села Туркоая, ICEM розгортає проект неінвазивного дослідження території.</w:t>
      </w:r>
    </w:p>
    <w:p w:rsidR="00642FB4" w:rsidRDefault="00642FB4">
      <w:pPr>
        <w:numPr>
          <w:ilvl w:val="0"/>
          <w:numId w:val="42"/>
        </w:numPr>
        <w:spacing w:before="60" w:after="60" w:line="288" w:lineRule="auto"/>
        <w:jc w:val="both"/>
        <w:rPr>
          <w:b/>
          <w:bCs/>
          <w:lang w:val="uk-UA" w:eastAsia="en-US"/>
        </w:rPr>
      </w:pPr>
      <w:r>
        <w:rPr>
          <w:b/>
          <w:bCs/>
          <w:lang w:val="uk-UA" w:eastAsia="uk-UA"/>
        </w:rPr>
        <w:t xml:space="preserve">У фортеці Халміріс (Halmyris), </w:t>
      </w:r>
      <w:r>
        <w:rPr>
          <w:lang w:val="uk-UA" w:eastAsia="uk-UA"/>
        </w:rPr>
        <w:t>біля населеного пункту Муріг</w:t>
      </w:r>
      <w:r>
        <w:rPr>
          <w:b/>
          <w:bCs/>
          <w:lang w:val="uk-UA" w:eastAsia="en-US"/>
        </w:rPr>
        <w:t>є</w:t>
      </w:r>
      <w:r>
        <w:rPr>
          <w:lang w:val="uk-UA" w:eastAsia="uk-UA"/>
        </w:rPr>
        <w:t xml:space="preserve">ол, розташованої на рукаві Святий Георгій річки Дунай, жили, згідно ICEM, готи, в VI-V століттях до Христа. </w:t>
      </w:r>
    </w:p>
    <w:p w:rsidR="00642FB4" w:rsidRDefault="00642FB4">
      <w:pPr>
        <w:spacing w:before="60" w:after="60" w:line="288" w:lineRule="auto"/>
        <w:jc w:val="both"/>
        <w:rPr>
          <w:lang w:val="uk-UA" w:eastAsia="en-US"/>
        </w:rPr>
      </w:pPr>
    </w:p>
    <w:p w:rsidR="00642FB4" w:rsidRDefault="00642FB4">
      <w:pPr>
        <w:spacing w:before="60" w:after="60" w:line="288" w:lineRule="auto"/>
        <w:jc w:val="both"/>
        <w:rPr>
          <w:lang w:val="uk-UA" w:eastAsia="en-US"/>
        </w:rPr>
      </w:pPr>
    </w:p>
    <w:p w:rsidR="00642FB4" w:rsidRDefault="00642FB4">
      <w:pPr>
        <w:numPr>
          <w:ilvl w:val="0"/>
          <w:numId w:val="39"/>
        </w:numPr>
        <w:spacing w:after="200" w:line="276" w:lineRule="auto"/>
        <w:jc w:val="both"/>
        <w:rPr>
          <w:b/>
          <w:bCs/>
          <w:lang w:val="uk-UA" w:eastAsia="en-US"/>
        </w:rPr>
      </w:pPr>
      <w:r>
        <w:rPr>
          <w:b/>
          <w:bCs/>
          <w:lang w:val="uk-UA" w:eastAsia="uk-UA"/>
        </w:rPr>
        <w:t xml:space="preserve">УКРАЇНА </w:t>
      </w:r>
    </w:p>
    <w:p w:rsidR="00642FB4" w:rsidRDefault="00642FB4">
      <w:pPr>
        <w:autoSpaceDE w:val="0"/>
        <w:autoSpaceDN w:val="0"/>
        <w:adjustRightInd w:val="0"/>
        <w:spacing w:before="60" w:after="60" w:line="288" w:lineRule="auto"/>
        <w:ind w:firstLine="709"/>
        <w:jc w:val="both"/>
        <w:rPr>
          <w:lang w:val="uk-UA"/>
        </w:rPr>
      </w:pPr>
      <w:r>
        <w:rPr>
          <w:lang w:val="uk-UA" w:eastAsia="uk-UA"/>
        </w:rPr>
        <w:t>Для України інформація про культурне і історичне надбання була узята з документів, знайдених на наступних сайтах:</w:t>
      </w:r>
    </w:p>
    <w:p w:rsidR="00642FB4" w:rsidRDefault="006C74EB">
      <w:pPr>
        <w:numPr>
          <w:ilvl w:val="0"/>
          <w:numId w:val="48"/>
        </w:numPr>
        <w:autoSpaceDE w:val="0"/>
        <w:autoSpaceDN w:val="0"/>
        <w:adjustRightInd w:val="0"/>
        <w:spacing w:before="60" w:after="60" w:line="288" w:lineRule="auto"/>
        <w:ind w:left="993" w:hanging="284"/>
        <w:jc w:val="both"/>
        <w:rPr>
          <w:lang w:val="uk-UA"/>
        </w:rPr>
      </w:pPr>
      <w:hyperlink r:id="rId134" w:history="1">
        <w:r w:rsidR="00642FB4">
          <w:rPr>
            <w:rStyle w:val="Hyperlink"/>
            <w:rFonts w:eastAsia="Calibri"/>
            <w:lang w:val="uk-UA"/>
          </w:rPr>
          <w:t>http://en.wikipedia.org/wiki/Ukrainian_Cultural_Heritage_Village</w:t>
        </w:r>
      </w:hyperlink>
    </w:p>
    <w:p w:rsidR="00642FB4" w:rsidRDefault="006C74EB">
      <w:pPr>
        <w:numPr>
          <w:ilvl w:val="0"/>
          <w:numId w:val="48"/>
        </w:numPr>
        <w:autoSpaceDE w:val="0"/>
        <w:autoSpaceDN w:val="0"/>
        <w:adjustRightInd w:val="0"/>
        <w:spacing w:before="60" w:after="60" w:line="288" w:lineRule="auto"/>
        <w:ind w:left="993" w:hanging="284"/>
        <w:jc w:val="both"/>
        <w:rPr>
          <w:lang w:val="uk-UA"/>
        </w:rPr>
      </w:pPr>
      <w:hyperlink r:id="rId135" w:history="1">
        <w:r w:rsidR="00642FB4">
          <w:rPr>
            <w:rStyle w:val="Hyperlink"/>
            <w:rFonts w:eastAsia="Calibri"/>
            <w:lang w:val="uk-UA"/>
          </w:rPr>
          <w:t>http://whc.ЮНЕСКО.org/en/statesparties/ua</w:t>
        </w:r>
      </w:hyperlink>
    </w:p>
    <w:p w:rsidR="00642FB4" w:rsidRDefault="006C74EB">
      <w:pPr>
        <w:numPr>
          <w:ilvl w:val="0"/>
          <w:numId w:val="47"/>
        </w:numPr>
        <w:autoSpaceDE w:val="0"/>
        <w:autoSpaceDN w:val="0"/>
        <w:adjustRightInd w:val="0"/>
        <w:spacing w:before="60" w:after="60" w:line="288" w:lineRule="auto"/>
        <w:ind w:left="993" w:hanging="284"/>
        <w:jc w:val="both"/>
        <w:rPr>
          <w:lang w:val="uk-UA"/>
        </w:rPr>
      </w:pPr>
      <w:hyperlink r:id="rId136" w:history="1">
        <w:r w:rsidR="00642FB4">
          <w:rPr>
            <w:rStyle w:val="Hyperlink"/>
            <w:rFonts w:eastAsia="Calibri"/>
            <w:lang w:val="uk-UA"/>
          </w:rPr>
          <w:t>http://www.history.alberta.ca/ukrainianvillage/</w:t>
        </w:r>
      </w:hyperlink>
      <w:r w:rsidR="00642FB4">
        <w:rPr>
          <w:lang w:val="uk-UA" w:eastAsia="uk-UA"/>
        </w:rPr>
        <w:t xml:space="preserve"> </w:t>
      </w:r>
    </w:p>
    <w:p w:rsidR="00642FB4" w:rsidRDefault="006C74EB">
      <w:pPr>
        <w:numPr>
          <w:ilvl w:val="0"/>
          <w:numId w:val="47"/>
        </w:numPr>
        <w:autoSpaceDE w:val="0"/>
        <w:autoSpaceDN w:val="0"/>
        <w:adjustRightInd w:val="0"/>
        <w:spacing w:before="60" w:after="60" w:line="288" w:lineRule="auto"/>
        <w:ind w:left="993" w:hanging="284"/>
        <w:jc w:val="both"/>
        <w:rPr>
          <w:lang w:val="uk-UA"/>
        </w:rPr>
      </w:pPr>
      <w:hyperlink r:id="rId137" w:history="1">
        <w:r w:rsidR="00642FB4">
          <w:rPr>
            <w:rStyle w:val="Hyperlink"/>
            <w:rFonts w:eastAsia="Calibri"/>
            <w:lang w:val="uk-UA"/>
          </w:rPr>
          <w:t>http://culture.pl/en/article/polish-and-ukrainian-tserkvas-make-ЮНЕСКО-list</w:t>
        </w:r>
      </w:hyperlink>
    </w:p>
    <w:p w:rsidR="00642FB4" w:rsidRDefault="00642FB4">
      <w:pPr>
        <w:autoSpaceDE w:val="0"/>
        <w:autoSpaceDN w:val="0"/>
        <w:adjustRightInd w:val="0"/>
        <w:spacing w:before="60" w:after="60" w:line="288" w:lineRule="auto"/>
        <w:jc w:val="both"/>
        <w:rPr>
          <w:lang w:val="uk-UA"/>
        </w:rPr>
      </w:pPr>
    </w:p>
    <w:p w:rsidR="00642FB4" w:rsidRDefault="00642FB4">
      <w:pPr>
        <w:numPr>
          <w:ilvl w:val="0"/>
          <w:numId w:val="43"/>
        </w:numPr>
        <w:spacing w:after="200" w:line="276" w:lineRule="auto"/>
        <w:jc w:val="both"/>
        <w:rPr>
          <w:b/>
          <w:bCs/>
          <w:lang w:val="uk-UA" w:eastAsia="en-US"/>
        </w:rPr>
      </w:pPr>
      <w:r>
        <w:rPr>
          <w:b/>
          <w:bCs/>
          <w:lang w:val="uk-UA" w:eastAsia="uk-UA"/>
        </w:rPr>
        <w:t xml:space="preserve">ЧЕРНІВЕЦЬКА область </w:t>
      </w:r>
    </w:p>
    <w:p w:rsidR="00642FB4" w:rsidRDefault="00642FB4">
      <w:pPr>
        <w:spacing w:before="60" w:after="60" w:line="288" w:lineRule="auto"/>
        <w:ind w:firstLine="706"/>
        <w:jc w:val="both"/>
        <w:rPr>
          <w:lang w:val="uk-UA" w:eastAsia="en-US"/>
        </w:rPr>
      </w:pPr>
      <w:r>
        <w:rPr>
          <w:lang w:val="uk-UA" w:eastAsia="uk-UA"/>
        </w:rPr>
        <w:t xml:space="preserve">Чернівецька резиденція митрополитів Буковини і Далмації, зареєстрована в Списку територій, які входять в Світове надбання культури ЮНЕСКО починаючи з 2011 року; </w:t>
      </w:r>
    </w:p>
    <w:p w:rsidR="00642FB4" w:rsidRDefault="00642FB4">
      <w:pPr>
        <w:spacing w:before="60" w:after="60" w:line="288" w:lineRule="auto"/>
        <w:ind w:firstLine="706"/>
        <w:jc w:val="both"/>
        <w:rPr>
          <w:lang w:val="uk-UA" w:eastAsia="en-US"/>
        </w:rPr>
      </w:pPr>
      <w:r>
        <w:rPr>
          <w:lang w:val="uk-UA" w:eastAsia="uk-UA"/>
        </w:rPr>
        <w:t xml:space="preserve">З адміністративної точки зору, Чернівецька область розділена на 11 районів. У цій області розташовано 12 монументів, які включені в українське національне надбання. Більшість цих монументів знаходяться в місті Чернівці (8 монумента), 2 розташовані в Хотинському районі (з яких найважливішим є Хотинська фортеця), один монумент розташований в Новоселицькому районі, а інший монумент в Сторожинецькому районі. </w:t>
      </w:r>
    </w:p>
    <w:p w:rsidR="00642FB4" w:rsidRDefault="00642FB4">
      <w:pPr>
        <w:spacing w:before="60" w:after="60" w:line="288" w:lineRule="auto"/>
        <w:ind w:firstLine="706"/>
        <w:jc w:val="both"/>
        <w:rPr>
          <w:lang w:val="uk-UA" w:eastAsia="en-US"/>
        </w:rPr>
      </w:pPr>
      <w:r>
        <w:rPr>
          <w:lang w:val="uk-UA" w:eastAsia="uk-UA"/>
        </w:rPr>
        <w:t xml:space="preserve">Більшість з монументів Чернівецької області є церквами та соборами. </w:t>
      </w:r>
    </w:p>
    <w:p w:rsidR="00642FB4" w:rsidRDefault="00642FB4">
      <w:pPr>
        <w:spacing w:before="60" w:after="60" w:line="288" w:lineRule="auto"/>
        <w:ind w:firstLine="706"/>
        <w:jc w:val="both"/>
        <w:rPr>
          <w:lang w:val="uk-UA" w:eastAsia="en-US"/>
        </w:rPr>
      </w:pPr>
    </w:p>
    <w:p w:rsidR="00642FB4" w:rsidRDefault="00642FB4">
      <w:pPr>
        <w:numPr>
          <w:ilvl w:val="0"/>
          <w:numId w:val="43"/>
        </w:numPr>
        <w:spacing w:after="200" w:line="276" w:lineRule="auto"/>
        <w:jc w:val="both"/>
        <w:rPr>
          <w:b/>
          <w:bCs/>
          <w:lang w:val="uk-UA" w:eastAsia="en-US"/>
        </w:rPr>
      </w:pPr>
      <w:r>
        <w:rPr>
          <w:b/>
          <w:bCs/>
          <w:lang w:val="uk-UA" w:eastAsia="uk-UA"/>
        </w:rPr>
        <w:t xml:space="preserve">ОДЕСЬКА область </w:t>
      </w:r>
    </w:p>
    <w:p w:rsidR="00642FB4" w:rsidRDefault="00642FB4">
      <w:pPr>
        <w:spacing w:before="60" w:after="60" w:line="288" w:lineRule="auto"/>
        <w:ind w:firstLine="706"/>
        <w:jc w:val="both"/>
        <w:rPr>
          <w:lang w:val="uk-UA" w:eastAsia="en-US"/>
        </w:rPr>
      </w:pPr>
      <w:r>
        <w:rPr>
          <w:rStyle w:val="st"/>
        </w:rPr>
        <w:t xml:space="preserve">Дуга </w:t>
      </w:r>
      <w:r>
        <w:rPr>
          <w:rStyle w:val="Emphasis"/>
          <w:i w:val="0"/>
          <w:iCs w:val="0"/>
        </w:rPr>
        <w:t>Струве</w:t>
      </w:r>
      <w:r>
        <w:rPr>
          <w:rStyle w:val="Emphasis"/>
          <w:lang w:val="uk-UA"/>
        </w:rPr>
        <w:t xml:space="preserve"> (</w:t>
      </w:r>
      <w:r>
        <w:rPr>
          <w:lang w:val="uk-UA" w:eastAsia="uk-UA"/>
        </w:rPr>
        <w:t xml:space="preserve">Struve Geodetic Arc) – як мережа </w:t>
      </w:r>
      <w:r>
        <w:rPr>
          <w:rStyle w:val="Emphasis"/>
          <w:i w:val="0"/>
          <w:iCs w:val="0"/>
        </w:rPr>
        <w:t>тріангуляційних</w:t>
      </w:r>
      <w:r>
        <w:rPr>
          <w:rStyle w:val="st"/>
        </w:rPr>
        <w:t xml:space="preserve"> вимірювальних пунктів</w:t>
      </w:r>
      <w:r>
        <w:rPr>
          <w:lang w:val="uk-UA" w:eastAsia="uk-UA"/>
        </w:rPr>
        <w:t xml:space="preserve">, що тягнеться від </w:t>
      </w:r>
      <w:r>
        <w:rPr>
          <w:rStyle w:val="st"/>
        </w:rPr>
        <w:t>Хаммерфест</w:t>
      </w:r>
      <w:r>
        <w:rPr>
          <w:rStyle w:val="st"/>
          <w:lang w:val="uk-UA"/>
        </w:rPr>
        <w:t>у</w:t>
      </w:r>
      <w:r>
        <w:rPr>
          <w:rStyle w:val="st"/>
        </w:rPr>
        <w:t xml:space="preserve"> </w:t>
      </w:r>
      <w:r>
        <w:rPr>
          <w:lang w:val="uk-UA" w:eastAsia="uk-UA"/>
        </w:rPr>
        <w:t>Норвегії до Чорного Моря, проходить через 10 країн на протязі більше 2.820 км., через яку проводилося перше точне вимірювання меридіана; - зареєстрований в Списку територій, які входять до складу Світового культурного надбання ЮНЕСКО починаючи з 2005 року;</w:t>
      </w:r>
    </w:p>
    <w:p w:rsidR="00642FB4" w:rsidRDefault="00642FB4">
      <w:pPr>
        <w:spacing w:before="60" w:after="60" w:line="288" w:lineRule="auto"/>
        <w:ind w:firstLine="706"/>
        <w:jc w:val="both"/>
        <w:rPr>
          <w:lang w:val="uk-UA" w:eastAsia="en-US"/>
        </w:rPr>
      </w:pPr>
      <w:r>
        <w:rPr>
          <w:lang w:val="uk-UA" w:eastAsia="uk-UA"/>
        </w:rPr>
        <w:t xml:space="preserve">Одеська область розділена з адміністративної точки зору на 26 районів та 7 муніципалітетів. У цій області розташована велика кількість монументів, які включені в національне культурне надбання України. Таким чином, в тих 26 районах знаходяться 169 монументів, включених в національне культурне надбання. </w:t>
      </w:r>
    </w:p>
    <w:p w:rsidR="00642FB4" w:rsidRDefault="00642FB4">
      <w:pPr>
        <w:spacing w:before="60" w:after="60" w:line="288" w:lineRule="auto"/>
        <w:ind w:firstLine="706"/>
        <w:jc w:val="both"/>
        <w:rPr>
          <w:lang w:val="uk-UA" w:eastAsia="en-US"/>
        </w:rPr>
      </w:pPr>
      <w:r>
        <w:rPr>
          <w:lang w:val="uk-UA" w:eastAsia="uk-UA"/>
        </w:rPr>
        <w:t xml:space="preserve">Спеціальна ситуація зустрічається в місті Одеса, де існують близько 1200 монументів. Велика їх частина (декілька сотень) це старі будівлі, розташовані на найважливіших вулицях міста: вулиця Базарна, вулиця Пушкінська, вулиця </w:t>
      </w:r>
      <w:r>
        <w:rPr>
          <w:rStyle w:val="Emphasis"/>
          <w:i w:val="0"/>
          <w:iCs w:val="0"/>
        </w:rPr>
        <w:t>Маразліївська</w:t>
      </w:r>
      <w:r>
        <w:rPr>
          <w:lang w:val="uk-UA" w:eastAsia="uk-UA"/>
        </w:rPr>
        <w:t xml:space="preserve">, вулиця Канатна, вулиця Катерининська, вулиця Коблєвська, Французький бульвар, вулиця Дерибасівська, вулиця Дворянська тощо. </w:t>
      </w:r>
    </w:p>
    <w:p w:rsidR="00642FB4" w:rsidRDefault="00642FB4">
      <w:pPr>
        <w:spacing w:before="60" w:after="60" w:line="288" w:lineRule="auto"/>
        <w:ind w:firstLine="706"/>
        <w:jc w:val="both"/>
        <w:rPr>
          <w:lang w:val="uk-UA" w:eastAsia="en-US"/>
        </w:rPr>
      </w:pPr>
      <w:r>
        <w:rPr>
          <w:lang w:val="uk-UA" w:eastAsia="uk-UA"/>
        </w:rPr>
        <w:t xml:space="preserve">Більшість монументів Одеської області є церквами та соборами. </w:t>
      </w:r>
    </w:p>
    <w:p w:rsidR="00642FB4" w:rsidRDefault="00642FB4">
      <w:pPr>
        <w:spacing w:before="60" w:after="60" w:line="288" w:lineRule="auto"/>
        <w:ind w:firstLine="706"/>
        <w:jc w:val="both"/>
        <w:rPr>
          <w:lang w:val="uk-UA" w:eastAsia="en-US"/>
        </w:rPr>
      </w:pPr>
    </w:p>
    <w:p w:rsidR="00642FB4" w:rsidRDefault="00642FB4">
      <w:pPr>
        <w:numPr>
          <w:ilvl w:val="0"/>
          <w:numId w:val="43"/>
        </w:numPr>
        <w:spacing w:after="200" w:line="276" w:lineRule="auto"/>
        <w:jc w:val="both"/>
        <w:rPr>
          <w:b/>
          <w:bCs/>
          <w:lang w:val="uk-UA" w:eastAsia="en-US"/>
        </w:rPr>
      </w:pPr>
      <w:r>
        <w:rPr>
          <w:b/>
          <w:bCs/>
          <w:lang w:val="uk-UA" w:eastAsia="uk-UA"/>
        </w:rPr>
        <w:t>ІВАНО-ФРАНКІВСЬКА область</w:t>
      </w:r>
    </w:p>
    <w:p w:rsidR="00642FB4" w:rsidRDefault="00642FB4">
      <w:pPr>
        <w:spacing w:before="60" w:after="60" w:line="288" w:lineRule="auto"/>
        <w:ind w:firstLine="706"/>
        <w:jc w:val="both"/>
        <w:rPr>
          <w:lang w:val="uk-UA" w:eastAsia="en-US"/>
        </w:rPr>
      </w:pPr>
      <w:r>
        <w:rPr>
          <w:lang w:val="uk-UA" w:eastAsia="uk-UA"/>
        </w:rPr>
        <w:t xml:space="preserve">Івано-Франківська область розділу з адміністративної точки зору на 14 районів та 5 міст. У всій області є приблизно 85 монументів, які включені в національне культурне надбання. Більшість з них згруповані в Долинському районі – 19 монументів і в Галицькому районі – 14 монументів. Також, як і у разі інших вищезгаданих районах, більшість із них це церкви та собори. </w:t>
      </w:r>
    </w:p>
    <w:p w:rsidR="00642FB4" w:rsidRDefault="00642FB4">
      <w:pPr>
        <w:spacing w:before="60" w:after="60" w:line="288" w:lineRule="auto"/>
        <w:ind w:firstLine="706"/>
        <w:jc w:val="both"/>
        <w:rPr>
          <w:lang w:val="uk-UA" w:eastAsia="en-US"/>
        </w:rPr>
      </w:pPr>
    </w:p>
    <w:p w:rsidR="00642FB4" w:rsidRDefault="00642FB4">
      <w:pPr>
        <w:numPr>
          <w:ilvl w:val="0"/>
          <w:numId w:val="43"/>
        </w:numPr>
        <w:spacing w:after="200" w:line="276" w:lineRule="auto"/>
        <w:jc w:val="both"/>
        <w:rPr>
          <w:b/>
          <w:bCs/>
          <w:lang w:val="uk-UA" w:eastAsia="en-US"/>
        </w:rPr>
      </w:pPr>
      <w:r>
        <w:rPr>
          <w:b/>
          <w:bCs/>
          <w:lang w:val="uk-UA" w:eastAsia="uk-UA"/>
        </w:rPr>
        <w:t xml:space="preserve">ЗАКАРПАТСЬКА область </w:t>
      </w:r>
    </w:p>
    <w:p w:rsidR="00642FB4" w:rsidRDefault="00642FB4">
      <w:pPr>
        <w:spacing w:before="60" w:after="60" w:line="288" w:lineRule="auto"/>
        <w:ind w:firstLine="706"/>
        <w:jc w:val="both"/>
        <w:rPr>
          <w:lang w:val="uk-UA" w:eastAsia="en-US"/>
        </w:rPr>
      </w:pPr>
      <w:r>
        <w:rPr>
          <w:lang w:val="uk-UA" w:eastAsia="uk-UA"/>
        </w:rPr>
        <w:t xml:space="preserve">З адміністративної точки зору Закарпатська область розділена на 13 районів та 5 міст. На території цієї області розташовано 126 монументів, які включені в українську культурну спадщину. Їх велика частина розташована в місті Ужгород – 53 монументи, і в місті Мукачево – 31 монументи, а ці міста є найважливішими містами області. Церкви і собори займають, також, перше місце у категорії монументів. </w:t>
      </w:r>
    </w:p>
    <w:p w:rsidR="00642FB4" w:rsidRDefault="00642FB4">
      <w:pPr>
        <w:autoSpaceDE w:val="0"/>
        <w:autoSpaceDN w:val="0"/>
        <w:adjustRightInd w:val="0"/>
        <w:spacing w:before="60" w:after="60" w:line="288" w:lineRule="auto"/>
        <w:jc w:val="both"/>
        <w:rPr>
          <w:lang w:val="uk-UA"/>
        </w:rPr>
      </w:pPr>
    </w:p>
    <w:p w:rsidR="00642FB4" w:rsidRDefault="00642FB4">
      <w:pPr>
        <w:autoSpaceDE w:val="0"/>
        <w:autoSpaceDN w:val="0"/>
        <w:adjustRightInd w:val="0"/>
        <w:spacing w:before="60" w:after="60" w:line="288" w:lineRule="auto"/>
        <w:jc w:val="both"/>
        <w:rPr>
          <w:lang w:val="uk-UA"/>
        </w:rPr>
        <w:sectPr w:rsidR="00642FB4">
          <w:headerReference w:type="default" r:id="rId138"/>
          <w:footerReference w:type="default" r:id="rId139"/>
          <w:pgSz w:w="11909" w:h="16834" w:code="9"/>
          <w:pgMar w:top="567" w:right="849" w:bottom="567" w:left="1134" w:header="284" w:footer="0" w:gutter="0"/>
          <w:cols w:space="708"/>
          <w:docGrid w:linePitch="360"/>
        </w:sectPr>
      </w:pPr>
    </w:p>
    <w:p w:rsidR="00642FB4" w:rsidRDefault="00642FB4">
      <w:pPr>
        <w:pStyle w:val="Title"/>
        <w:numPr>
          <w:ilvl w:val="0"/>
          <w:numId w:val="5"/>
        </w:numPr>
        <w:jc w:val="both"/>
        <w:rPr>
          <w:rFonts w:ascii="Arial" w:hAnsi="Arial" w:cs="Arial"/>
          <w:sz w:val="24"/>
          <w:szCs w:val="24"/>
          <w:lang w:val="uk-UA"/>
        </w:rPr>
      </w:pPr>
      <w:bookmarkStart w:id="33" w:name="_Toc419199669"/>
      <w:r>
        <w:rPr>
          <w:rFonts w:ascii="Arial" w:hAnsi="Arial" w:cs="Arial"/>
          <w:sz w:val="24"/>
          <w:szCs w:val="24"/>
          <w:lang w:val="uk-UA" w:eastAsia="uk-UA"/>
        </w:rPr>
        <w:t>ЗАВДАННЯ ЗАХИСТУ НАВКОЛИШНЬОГО СЕРЕДОВИЩА, ВСТАНОВЛЕНІ НА МІЖНАРОДНОМУ АБО КОММУНІТАРНОМУ РІВНІ АБО НА РІВНІ СТАТУСУ ЧЛЕНА, ЯКІ Є РЕЛЕВАНТНИМИ ДЛЯ ПРОГРАМИ І ОБРАЗУ В ЯКОМУ ЦІ ЗАВДАННЯ І БУДЬ-ЯКІ АСПЕКТИ СЕРЕДОВИЩА ВРАХОВУВАЛИСЯ Під час РОЗРОБКИ</w:t>
      </w:r>
      <w:bookmarkEnd w:id="33"/>
    </w:p>
    <w:p w:rsidR="00642FB4" w:rsidRDefault="00642FB4">
      <w:pPr>
        <w:ind w:left="720"/>
        <w:jc w:val="both"/>
        <w:rPr>
          <w:rFonts w:eastAsia="EUAlbertina-Regular-Identity-H"/>
          <w:b/>
          <w:bCs/>
          <w:lang w:val="uk-UA" w:eastAsia="en-US"/>
        </w:rPr>
      </w:pPr>
    </w:p>
    <w:p w:rsidR="00642FB4" w:rsidRDefault="00642FB4">
      <w:pPr>
        <w:pStyle w:val="Heading1"/>
        <w:numPr>
          <w:ilvl w:val="0"/>
          <w:numId w:val="27"/>
        </w:numPr>
        <w:ind w:hanging="360"/>
        <w:jc w:val="both"/>
        <w:rPr>
          <w:b w:val="0"/>
          <w:bCs w:val="0"/>
          <w:lang w:val="uk-UA" w:eastAsia="en-US"/>
        </w:rPr>
      </w:pPr>
      <w:bookmarkStart w:id="34" w:name="_Toc419199670"/>
      <w:r>
        <w:rPr>
          <w:rFonts w:ascii="Arial" w:hAnsi="Arial" w:cs="Arial"/>
          <w:sz w:val="24"/>
          <w:szCs w:val="24"/>
          <w:lang w:val="uk-UA" w:eastAsia="uk-UA"/>
        </w:rPr>
        <w:t>РУМУНІЯ</w:t>
      </w:r>
      <w:bookmarkEnd w:id="34"/>
      <w:r>
        <w:rPr>
          <w:b w:val="0"/>
          <w:bCs w:val="0"/>
          <w:lang w:val="uk-UA" w:eastAsia="uk-UA"/>
        </w:rPr>
        <w:br/>
      </w:r>
    </w:p>
    <w:p w:rsidR="00642FB4" w:rsidRDefault="00642FB4">
      <w:pPr>
        <w:spacing w:before="60" w:after="60" w:line="288" w:lineRule="auto"/>
        <w:ind w:left="720"/>
        <w:jc w:val="both"/>
        <w:rPr>
          <w:lang w:val="uk-UA" w:eastAsia="en-US"/>
        </w:rPr>
      </w:pPr>
      <w:r>
        <w:rPr>
          <w:i/>
          <w:iCs/>
          <w:lang w:val="uk-UA" w:eastAsia="uk-UA"/>
        </w:rPr>
        <w:t xml:space="preserve">Партнерська угода з Румунією </w:t>
      </w:r>
    </w:p>
    <w:p w:rsidR="00642FB4" w:rsidRDefault="00642FB4">
      <w:pPr>
        <w:tabs>
          <w:tab w:val="left" w:pos="0"/>
        </w:tabs>
        <w:spacing w:before="60" w:after="60" w:line="288" w:lineRule="auto"/>
        <w:ind w:firstLine="720"/>
        <w:jc w:val="both"/>
        <w:rPr>
          <w:lang w:val="uk-UA" w:eastAsia="en-US"/>
        </w:rPr>
      </w:pPr>
      <w:r>
        <w:rPr>
          <w:lang w:val="uk-UA" w:eastAsia="uk-UA"/>
        </w:rPr>
        <w:t>Партнерська угода (ПУ) між Румунією та Європейським Союзом, затверджена 6 серпня 2014 року, надає стратегічні рамки для реформ і інвестицій, які необхідно зробити в період з 2014 по 2020 рік. Партнерська угода є головним стратегічним документом, який покриває потреби розвитку і встановлює сферу інвестиції для FESI, Румунія, що надається, і ці фонди підраховують приблизно 40 мільярда Євро.</w:t>
      </w:r>
    </w:p>
    <w:p w:rsidR="00642FB4" w:rsidRDefault="00642FB4">
      <w:pPr>
        <w:tabs>
          <w:tab w:val="left" w:pos="0"/>
        </w:tabs>
        <w:spacing w:before="60" w:after="60" w:line="288" w:lineRule="auto"/>
        <w:ind w:firstLine="720"/>
        <w:jc w:val="both"/>
        <w:rPr>
          <w:lang w:val="uk-UA" w:eastAsia="en-US"/>
        </w:rPr>
      </w:pPr>
      <w:r>
        <w:rPr>
          <w:lang w:val="uk-UA" w:eastAsia="uk-UA"/>
        </w:rPr>
        <w:t>Завдання Партнерської угоди сходяться з тематичними стратегічними завданнями IEV, з погляду їх вирівнювання із стратегією ЄС 2020. Головною необхідністю розвитку в тому, що стосується захисту навколишнього середовища і ефективного використання ресурсів, наступні:</w:t>
      </w:r>
    </w:p>
    <w:p w:rsidR="00642FB4" w:rsidRPr="00D14B55" w:rsidRDefault="004A16E2" w:rsidP="00D14B55">
      <w:pPr>
        <w:numPr>
          <w:ilvl w:val="1"/>
          <w:numId w:val="50"/>
        </w:numPr>
        <w:tabs>
          <w:tab w:val="left" w:pos="0"/>
        </w:tabs>
        <w:spacing w:before="60" w:after="60" w:line="288" w:lineRule="auto"/>
        <w:ind w:left="993" w:hanging="284"/>
        <w:jc w:val="both"/>
        <w:rPr>
          <w:lang w:val="uk-UA" w:eastAsia="en-US"/>
        </w:rPr>
      </w:pPr>
      <w:r w:rsidRPr="004A16E2">
        <w:rPr>
          <w:rFonts w:eastAsia="Calibri" w:cs="Arial"/>
          <w:lang w:eastAsia="en-US"/>
        </w:rPr>
        <w:t>розширення доступу населення до послуг водопостачання та водовідведення в контексті положень директиви 98/83 / ЄC за якістю питної води, Директива 91/271 / ЄС щодо очищення міських стічних вод, і Водна рамкова директива 2000/60 / ЄC через плани управління річковими басейнами;</w:t>
      </w:r>
    </w:p>
    <w:p w:rsidR="00642FB4" w:rsidRDefault="00642FB4">
      <w:pPr>
        <w:numPr>
          <w:ilvl w:val="1"/>
          <w:numId w:val="50"/>
        </w:numPr>
        <w:tabs>
          <w:tab w:val="left" w:pos="0"/>
        </w:tabs>
        <w:spacing w:before="60" w:after="60" w:line="288" w:lineRule="auto"/>
        <w:ind w:left="993" w:hanging="284"/>
        <w:jc w:val="both"/>
        <w:rPr>
          <w:lang w:val="uk-UA" w:eastAsia="en-US"/>
        </w:rPr>
      </w:pPr>
      <w:r>
        <w:rPr>
          <w:lang w:val="uk-UA" w:eastAsia="uk-UA"/>
        </w:rPr>
        <w:t xml:space="preserve">виконання і модернізації інфраструктури, необхідної для дотримання зобов'язань, які передбачені в Директиві по відходах і в планах управління відходів і програм по попередженню, які будуть розроблені; </w:t>
      </w:r>
    </w:p>
    <w:p w:rsidR="00642FB4" w:rsidRDefault="00642FB4">
      <w:pPr>
        <w:numPr>
          <w:ilvl w:val="1"/>
          <w:numId w:val="50"/>
        </w:numPr>
        <w:tabs>
          <w:tab w:val="left" w:pos="0"/>
        </w:tabs>
        <w:spacing w:before="60" w:after="60" w:line="288" w:lineRule="auto"/>
        <w:ind w:left="993" w:hanging="284"/>
        <w:jc w:val="both"/>
        <w:rPr>
          <w:lang w:val="uk-UA" w:eastAsia="en-US"/>
        </w:rPr>
      </w:pPr>
      <w:r>
        <w:rPr>
          <w:lang w:val="uk-UA" w:eastAsia="uk-UA"/>
        </w:rPr>
        <w:t xml:space="preserve">захист і збереження природи, зокрема через когерентну і функціональну мережу Природа 2000, підтримка аграрних систем що представляють високу природну цінність і відновлення пошкоджених екосистем; довговічне управління природного надбання Румунії, зокрема пейзажів, сільськогосподарських земель, лісів, внутрішніх вод і зон побережжя, захищених і біологічної різноманітності; </w:t>
      </w:r>
    </w:p>
    <w:p w:rsidR="00642FB4" w:rsidRDefault="00642FB4">
      <w:pPr>
        <w:numPr>
          <w:ilvl w:val="1"/>
          <w:numId w:val="50"/>
        </w:numPr>
        <w:tabs>
          <w:tab w:val="left" w:pos="0"/>
        </w:tabs>
        <w:spacing w:before="60" w:after="60" w:line="288" w:lineRule="auto"/>
        <w:ind w:left="993" w:hanging="284"/>
        <w:jc w:val="both"/>
        <w:rPr>
          <w:lang w:val="uk-UA" w:eastAsia="en-US"/>
        </w:rPr>
      </w:pPr>
      <w:r>
        <w:rPr>
          <w:lang w:val="uk-UA" w:eastAsia="uk-UA"/>
        </w:rPr>
        <w:t xml:space="preserve">розвиток і поліпшення оцінки і контролю за якістю повітря; </w:t>
      </w:r>
    </w:p>
    <w:p w:rsidR="00642FB4" w:rsidRDefault="00642FB4">
      <w:pPr>
        <w:numPr>
          <w:ilvl w:val="1"/>
          <w:numId w:val="50"/>
        </w:numPr>
        <w:tabs>
          <w:tab w:val="left" w:pos="0"/>
        </w:tabs>
        <w:spacing w:before="60" w:after="60" w:line="288" w:lineRule="auto"/>
        <w:ind w:left="993" w:hanging="284"/>
        <w:jc w:val="both"/>
        <w:rPr>
          <w:lang w:val="uk-UA" w:eastAsia="en-US"/>
        </w:rPr>
      </w:pPr>
      <w:r>
        <w:rPr>
          <w:lang w:val="uk-UA" w:eastAsia="uk-UA"/>
        </w:rPr>
        <w:t xml:space="preserve">поліпшення міського транспорту і, отже, скорочення забруднення; </w:t>
      </w:r>
    </w:p>
    <w:p w:rsidR="00642FB4" w:rsidRDefault="00642FB4">
      <w:pPr>
        <w:numPr>
          <w:ilvl w:val="1"/>
          <w:numId w:val="50"/>
        </w:numPr>
        <w:tabs>
          <w:tab w:val="left" w:pos="0"/>
        </w:tabs>
        <w:spacing w:before="60" w:after="60" w:line="288" w:lineRule="auto"/>
        <w:ind w:left="993" w:hanging="284"/>
        <w:jc w:val="both"/>
        <w:rPr>
          <w:lang w:val="uk-UA" w:eastAsia="en-US"/>
        </w:rPr>
      </w:pPr>
      <w:r>
        <w:rPr>
          <w:lang w:val="uk-UA" w:eastAsia="uk-UA"/>
        </w:rPr>
        <w:t xml:space="preserve">вирішення положення покинутих і забруднених територій, а також управління нинішніх джерел забруднення; </w:t>
      </w:r>
    </w:p>
    <w:p w:rsidR="00642FB4" w:rsidRDefault="00642FB4">
      <w:pPr>
        <w:numPr>
          <w:ilvl w:val="1"/>
          <w:numId w:val="50"/>
        </w:numPr>
        <w:tabs>
          <w:tab w:val="left" w:pos="0"/>
        </w:tabs>
        <w:spacing w:before="60" w:after="60" w:line="288" w:lineRule="auto"/>
        <w:ind w:left="993" w:hanging="284"/>
        <w:jc w:val="both"/>
        <w:rPr>
          <w:lang w:val="uk-UA" w:eastAsia="en-US"/>
        </w:rPr>
      </w:pPr>
      <w:r>
        <w:rPr>
          <w:lang w:val="uk-UA" w:eastAsia="uk-UA"/>
        </w:rPr>
        <w:t xml:space="preserve">збереження і захист культурної спадщини; </w:t>
      </w:r>
    </w:p>
    <w:p w:rsidR="00642FB4" w:rsidRDefault="00642FB4">
      <w:pPr>
        <w:numPr>
          <w:ilvl w:val="1"/>
          <w:numId w:val="50"/>
        </w:numPr>
        <w:tabs>
          <w:tab w:val="left" w:pos="0"/>
        </w:tabs>
        <w:spacing w:before="60" w:after="60" w:line="288" w:lineRule="auto"/>
        <w:ind w:left="993" w:hanging="284"/>
        <w:jc w:val="both"/>
        <w:rPr>
          <w:lang w:val="uk-UA" w:eastAsia="en-US"/>
        </w:rPr>
      </w:pPr>
      <w:r>
        <w:rPr>
          <w:lang w:val="uk-UA" w:eastAsia="uk-UA"/>
        </w:rPr>
        <w:t xml:space="preserve">скорочення ризику відмови від сільськогосподарської діяльності; </w:t>
      </w:r>
    </w:p>
    <w:p w:rsidR="00642FB4" w:rsidRDefault="00642FB4">
      <w:pPr>
        <w:numPr>
          <w:ilvl w:val="1"/>
          <w:numId w:val="50"/>
        </w:numPr>
        <w:tabs>
          <w:tab w:val="left" w:pos="0"/>
        </w:tabs>
        <w:spacing w:before="60" w:after="60" w:line="288" w:lineRule="auto"/>
        <w:ind w:left="993" w:hanging="284"/>
        <w:jc w:val="both"/>
        <w:rPr>
          <w:lang w:val="uk-UA" w:eastAsia="en-US"/>
        </w:rPr>
      </w:pPr>
      <w:r>
        <w:rPr>
          <w:lang w:val="uk-UA" w:eastAsia="uk-UA"/>
        </w:rPr>
        <w:t xml:space="preserve">розвиток публічних установ за допомогою застосування Плану інтегрованого менеджменту; </w:t>
      </w:r>
    </w:p>
    <w:p w:rsidR="00642FB4" w:rsidRDefault="00642FB4">
      <w:pPr>
        <w:tabs>
          <w:tab w:val="left" w:pos="0"/>
        </w:tabs>
        <w:spacing w:before="60" w:after="60" w:line="288" w:lineRule="auto"/>
        <w:ind w:firstLine="709"/>
        <w:jc w:val="both"/>
        <w:rPr>
          <w:lang w:val="uk-UA" w:eastAsia="en-US"/>
        </w:rPr>
      </w:pPr>
      <w:r>
        <w:rPr>
          <w:lang w:val="uk-UA" w:eastAsia="uk-UA"/>
        </w:rPr>
        <w:t>Згідно констатації аналізу труднощів в розвитку і попередженні екстрених випадків, головними потребами розвитку є:</w:t>
      </w:r>
    </w:p>
    <w:p w:rsidR="00642FB4" w:rsidRDefault="00642FB4">
      <w:pPr>
        <w:numPr>
          <w:ilvl w:val="1"/>
          <w:numId w:val="51"/>
        </w:numPr>
        <w:tabs>
          <w:tab w:val="left" w:pos="0"/>
        </w:tabs>
        <w:spacing w:before="60" w:after="60" w:line="288" w:lineRule="auto"/>
        <w:ind w:left="993" w:hanging="284"/>
        <w:jc w:val="both"/>
        <w:rPr>
          <w:lang w:val="uk-UA" w:eastAsia="en-US"/>
        </w:rPr>
      </w:pPr>
      <w:r>
        <w:rPr>
          <w:lang w:val="uk-UA" w:eastAsia="uk-UA"/>
        </w:rPr>
        <w:t xml:space="preserve">поліпшення здатності Румунії передбачати, попереджати і реагувати в екстремальних природних або антропогенних випадках; </w:t>
      </w:r>
    </w:p>
    <w:p w:rsidR="00642FB4" w:rsidRDefault="00642FB4">
      <w:pPr>
        <w:numPr>
          <w:ilvl w:val="1"/>
          <w:numId w:val="51"/>
        </w:numPr>
        <w:tabs>
          <w:tab w:val="left" w:pos="0"/>
        </w:tabs>
        <w:spacing w:before="60" w:after="60" w:line="288" w:lineRule="auto"/>
        <w:ind w:left="993" w:hanging="284"/>
        <w:jc w:val="both"/>
        <w:rPr>
          <w:lang w:val="uk-UA" w:eastAsia="en-US"/>
        </w:rPr>
      </w:pPr>
      <w:r>
        <w:rPr>
          <w:lang w:val="uk-UA" w:eastAsia="uk-UA"/>
        </w:rPr>
        <w:t xml:space="preserve">поліпшення адаптації і стійкості Румунії до негативних наслідків кліматичних змін і, зокрема, до підвищених випадків екстремальних високих температур, засухи, ерозії і повеням в рамках Національної стратегії кліматичних змін; </w:t>
      </w:r>
    </w:p>
    <w:p w:rsidR="00642FB4" w:rsidRDefault="00642FB4">
      <w:pPr>
        <w:numPr>
          <w:ilvl w:val="1"/>
          <w:numId w:val="51"/>
        </w:numPr>
        <w:tabs>
          <w:tab w:val="left" w:pos="0"/>
        </w:tabs>
        <w:spacing w:before="60" w:after="60" w:line="288" w:lineRule="auto"/>
        <w:ind w:left="993" w:hanging="284"/>
        <w:jc w:val="both"/>
        <w:rPr>
          <w:lang w:val="uk-UA" w:eastAsia="en-US"/>
        </w:rPr>
      </w:pPr>
      <w:r>
        <w:rPr>
          <w:lang w:val="uk-UA" w:eastAsia="uk-UA"/>
        </w:rPr>
        <w:t xml:space="preserve">поліпшення адаптації і стійкості Румунії до інших природних і антропогенних випадків; </w:t>
      </w:r>
    </w:p>
    <w:p w:rsidR="00642FB4" w:rsidRDefault="00642FB4">
      <w:pPr>
        <w:numPr>
          <w:ilvl w:val="1"/>
          <w:numId w:val="51"/>
        </w:numPr>
        <w:tabs>
          <w:tab w:val="left" w:pos="0"/>
        </w:tabs>
        <w:spacing w:before="60" w:after="60" w:line="288" w:lineRule="auto"/>
        <w:ind w:left="993" w:hanging="284"/>
        <w:jc w:val="both"/>
        <w:rPr>
          <w:lang w:val="uk-UA" w:eastAsia="en-US"/>
        </w:rPr>
      </w:pPr>
      <w:r>
        <w:rPr>
          <w:lang w:val="uk-UA" w:eastAsia="uk-UA"/>
        </w:rPr>
        <w:t>адаптація сільськогосподарської практики для поліпшення стійкості до кліматичних змін; служба консультації повинна супроводжувати вживання заходів на рівні використання;</w:t>
      </w:r>
    </w:p>
    <w:p w:rsidR="00642FB4" w:rsidRDefault="00642FB4">
      <w:pPr>
        <w:numPr>
          <w:ilvl w:val="1"/>
          <w:numId w:val="51"/>
        </w:numPr>
        <w:tabs>
          <w:tab w:val="left" w:pos="0"/>
        </w:tabs>
        <w:spacing w:before="60" w:after="60" w:line="288" w:lineRule="auto"/>
        <w:ind w:left="993" w:hanging="284"/>
        <w:jc w:val="both"/>
        <w:rPr>
          <w:i/>
          <w:iCs/>
          <w:lang w:val="uk-UA" w:eastAsia="en-US"/>
        </w:rPr>
      </w:pPr>
      <w:r>
        <w:rPr>
          <w:lang w:val="uk-UA" w:eastAsia="uk-UA"/>
        </w:rPr>
        <w:t>підвищення ефективності використання води в сільському господарстві сприяє адаптації до кліматичних змін.</w:t>
      </w:r>
    </w:p>
    <w:p w:rsidR="00642FB4" w:rsidRDefault="00642FB4">
      <w:pPr>
        <w:tabs>
          <w:tab w:val="left" w:pos="0"/>
        </w:tabs>
        <w:spacing w:before="60" w:after="60" w:line="288" w:lineRule="auto"/>
        <w:ind w:left="720"/>
        <w:jc w:val="both"/>
        <w:rPr>
          <w:i/>
          <w:iCs/>
          <w:lang w:val="uk-UA" w:eastAsia="en-US"/>
        </w:rPr>
      </w:pPr>
    </w:p>
    <w:p w:rsidR="00642FB4" w:rsidRDefault="00642FB4">
      <w:pPr>
        <w:tabs>
          <w:tab w:val="left" w:pos="0"/>
        </w:tabs>
        <w:spacing w:before="60" w:after="60" w:line="288" w:lineRule="auto"/>
        <w:ind w:left="720"/>
        <w:jc w:val="both"/>
        <w:rPr>
          <w:i/>
          <w:iCs/>
          <w:lang w:val="uk-UA" w:eastAsia="en-US"/>
        </w:rPr>
      </w:pPr>
      <w:r>
        <w:rPr>
          <w:i/>
          <w:iCs/>
          <w:lang w:val="uk-UA" w:eastAsia="uk-UA"/>
        </w:rPr>
        <w:t>Національна програма реформ для Румунії (PNR)</w:t>
      </w:r>
    </w:p>
    <w:p w:rsidR="00642FB4" w:rsidRDefault="00642FB4">
      <w:pPr>
        <w:spacing w:before="60" w:after="60" w:line="288" w:lineRule="auto"/>
        <w:ind w:firstLine="720"/>
        <w:jc w:val="both"/>
        <w:rPr>
          <w:lang w:val="uk-UA" w:eastAsia="en-US"/>
        </w:rPr>
      </w:pPr>
      <w:r>
        <w:rPr>
          <w:lang w:val="uk-UA" w:eastAsia="uk-UA"/>
        </w:rPr>
        <w:t>Цей стратегічний документ встановлює рамки для головних пріоритетів і реформ, які необхідно зробити на короткий і середні терміни для Румунії для виконання завдань Стратегії Європа 2020. Національна програма реформ включає специфічні заходи в різних сферах політики, необхідні для підтримки економічного зростання і для створення робочих місць. Зосереджена на най екстреніших заходах для Румунії, Національна програма реформ надає особливу увагу проблемам макроекономічного управління і стабільності. Мета полягає в стимулюванні конкурентоспроможності, продуктивності і економічного зростання, соціальному об'єднанні, територіальній і економічній конвергенції для скорочення відмінностей між економіками країн членів Європейського Союзу.</w:t>
      </w:r>
    </w:p>
    <w:p w:rsidR="00642FB4" w:rsidRDefault="00642FB4">
      <w:pPr>
        <w:spacing w:before="60" w:after="60" w:line="288" w:lineRule="auto"/>
        <w:ind w:firstLine="720"/>
        <w:jc w:val="both"/>
        <w:rPr>
          <w:lang w:val="uk-UA" w:eastAsia="en-US"/>
        </w:rPr>
      </w:pPr>
      <w:r>
        <w:rPr>
          <w:lang w:val="uk-UA" w:eastAsia="uk-UA"/>
        </w:rPr>
        <w:t xml:space="preserve">Загалом, стратегічні тематичні завдання ENI CBC співпадають із заходами, які передбачені Національною програмою реформ, за винятком двох з них, OT3 – </w:t>
      </w:r>
      <w:r>
        <w:rPr>
          <w:i/>
          <w:iCs/>
          <w:lang w:val="uk-UA" w:eastAsia="uk-UA"/>
        </w:rPr>
        <w:t xml:space="preserve">Просування культури і консервація місцевого історичного надбання </w:t>
      </w:r>
      <w:r>
        <w:rPr>
          <w:lang w:val="uk-UA" w:eastAsia="uk-UA"/>
        </w:rPr>
        <w:t xml:space="preserve">і OT10 – </w:t>
      </w:r>
      <w:r>
        <w:rPr>
          <w:i/>
          <w:iCs/>
          <w:lang w:val="uk-UA" w:eastAsia="uk-UA"/>
        </w:rPr>
        <w:t>Просування управління кордоном та безпека кордону</w:t>
      </w:r>
      <w:r>
        <w:rPr>
          <w:lang w:val="uk-UA" w:eastAsia="uk-UA"/>
        </w:rPr>
        <w:t>, які не є істотними для Національної програми реформ.</w:t>
      </w:r>
    </w:p>
    <w:p w:rsidR="00642FB4" w:rsidRDefault="00642FB4">
      <w:pPr>
        <w:spacing w:before="60" w:after="60" w:line="288" w:lineRule="auto"/>
        <w:ind w:firstLine="720"/>
        <w:jc w:val="both"/>
        <w:rPr>
          <w:lang w:val="uk-UA" w:eastAsia="en-US"/>
        </w:rPr>
      </w:pPr>
    </w:p>
    <w:p w:rsidR="00642FB4" w:rsidRDefault="00642FB4">
      <w:pPr>
        <w:spacing w:before="60" w:after="60" w:line="288" w:lineRule="auto"/>
        <w:ind w:firstLine="720"/>
        <w:jc w:val="both"/>
        <w:rPr>
          <w:lang w:val="uk-UA" w:eastAsia="en-US"/>
        </w:rPr>
      </w:pPr>
      <w:r>
        <w:rPr>
          <w:i/>
          <w:iCs/>
          <w:lang w:val="uk-UA" w:eastAsia="uk-UA"/>
        </w:rPr>
        <w:t>Національна стратегія кліматичних змін 2013 - 2020</w:t>
      </w:r>
    </w:p>
    <w:p w:rsidR="00642FB4" w:rsidRDefault="00642FB4">
      <w:pPr>
        <w:spacing w:before="60" w:after="60" w:line="288" w:lineRule="auto"/>
        <w:ind w:firstLine="720"/>
        <w:jc w:val="both"/>
        <w:rPr>
          <w:lang w:val="uk-UA" w:eastAsia="en-US"/>
        </w:rPr>
      </w:pPr>
      <w:r>
        <w:rPr>
          <w:lang w:val="uk-UA" w:eastAsia="uk-UA"/>
        </w:rPr>
        <w:t xml:space="preserve">Враховуючи політичну еволюцію Європейського Союзу у сфері кліматичних змін, було ухвалено Рішення уряду Румунії № 529/2013, друга Національна стратегія кліматичних змін (SNSC) 2013ч2020, яка переслідує два напрями розвитку: </w:t>
      </w:r>
      <w:r>
        <w:rPr>
          <w:i/>
          <w:iCs/>
          <w:lang w:val="uk-UA" w:eastAsia="uk-UA"/>
        </w:rPr>
        <w:t xml:space="preserve">скорочення викидів газів з парниковим ефектом </w:t>
      </w:r>
      <w:r>
        <w:rPr>
          <w:lang w:val="uk-UA" w:eastAsia="uk-UA"/>
        </w:rPr>
        <w:t xml:space="preserve">і збільшення здатності затримки діоксиду вуглецю через природні поглинаючі резервуари і </w:t>
      </w:r>
      <w:r>
        <w:rPr>
          <w:i/>
          <w:iCs/>
          <w:lang w:val="uk-UA" w:eastAsia="uk-UA"/>
        </w:rPr>
        <w:t>адаптація до негативних наслідків</w:t>
      </w:r>
      <w:r>
        <w:rPr>
          <w:lang w:val="uk-UA" w:eastAsia="uk-UA"/>
        </w:rPr>
        <w:t>, які неминучі у разі кліматичних змін природних і антропогенних систем.</w:t>
      </w:r>
    </w:p>
    <w:p w:rsidR="00642FB4" w:rsidRDefault="00642FB4">
      <w:pPr>
        <w:spacing w:before="60" w:after="60" w:line="288" w:lineRule="auto"/>
        <w:ind w:firstLine="720"/>
        <w:jc w:val="both"/>
        <w:rPr>
          <w:lang w:val="uk-UA" w:eastAsia="en-US"/>
        </w:rPr>
      </w:pPr>
      <w:r>
        <w:rPr>
          <w:lang w:val="uk-UA" w:eastAsia="uk-UA"/>
        </w:rPr>
        <w:t>Генеральне завдання стратегії полягає в інтеграції зобов'язань, які витікають із застосування законодавчого пакету енергії кліматичних змін і обґрунтовує принципи, які лежатимуть в основі розробки планів і програм дії на секторальному рівні, встановлюючи генеральні і специфічні завдання, які необхідно буде досягти через майбутні заходи і дії, залежно від конкретної специфіки кожного сектора окремо.</w:t>
      </w:r>
    </w:p>
    <w:p w:rsidR="00642FB4" w:rsidRDefault="00642FB4">
      <w:pPr>
        <w:spacing w:before="60" w:after="60" w:line="288" w:lineRule="auto"/>
        <w:ind w:firstLine="720"/>
        <w:jc w:val="both"/>
        <w:rPr>
          <w:lang w:val="uk-UA" w:eastAsia="en-US"/>
        </w:rPr>
      </w:pPr>
      <w:r>
        <w:rPr>
          <w:lang w:val="uk-UA" w:eastAsia="uk-UA"/>
        </w:rPr>
        <w:t>Національна стратегія кліматичних змін (SNSC) ілюструє ті дві складові ключові частини кліматичних зусиль: попередження і боротьби з ефектами кліматичних змін (за допомогою мір, направлених на скорочення викидів газів з парниковим ефектом, – викиди GES) і адекватної адаптації і з мінімальними збитками в контексті кліматичних змін, що вже проходять.</w:t>
      </w:r>
    </w:p>
    <w:p w:rsidR="00642FB4" w:rsidRDefault="00642FB4">
      <w:pPr>
        <w:spacing w:before="60" w:after="60" w:line="288" w:lineRule="auto"/>
        <w:ind w:firstLine="720"/>
        <w:jc w:val="both"/>
        <w:rPr>
          <w:lang w:val="uk-UA" w:eastAsia="en-US"/>
        </w:rPr>
      </w:pPr>
      <w:r>
        <w:rPr>
          <w:lang w:val="uk-UA" w:eastAsia="uk-UA"/>
        </w:rPr>
        <w:t>Складова скорочення викидів GES виявляє сектори економіки в яких необхідні спеціальні заходи для скорочення викидів GES (енергія, промислові процеси, сільське господарство, використання земельних ділянок, зміна використання земельних ділянок, лісівництво, управління відходами). До того ж передбачені загальні дані і інформація міри участі кожного сектора у викидах GES, образ в якому людська діяльність (через виробничі процеси або споживання / використання), разом з натуральними процесами приводять до викидів, і пропонує ключові заходи, які необхідно упровадити в кожному секторі з метою скорочення викидів GES.</w:t>
      </w:r>
    </w:p>
    <w:p w:rsidR="00642FB4" w:rsidRDefault="00642FB4">
      <w:pPr>
        <w:spacing w:before="60" w:after="60" w:line="288" w:lineRule="auto"/>
        <w:ind w:firstLine="720"/>
        <w:jc w:val="both"/>
        <w:rPr>
          <w:lang w:val="uk-UA" w:eastAsia="en-US"/>
        </w:rPr>
      </w:pPr>
      <w:r>
        <w:rPr>
          <w:lang w:val="uk-UA" w:eastAsia="uk-UA"/>
        </w:rPr>
        <w:t>Завдання адаптації, що становить, до ефектів кліматичних змін полягає в збільшенні можливості адаптації до реальних або потенційних ефектів кліматичних змін, через встановлення стратегічного напряму на національному рівні, які можуть керувати розвитком політики на рівні сектора, здійснення дій і розвиток здатності, необхідної для періодичного оновлення. Ця складова підтримує наступні дії:</w:t>
      </w:r>
    </w:p>
    <w:p w:rsidR="00642FB4" w:rsidRDefault="00642FB4">
      <w:pPr>
        <w:numPr>
          <w:ilvl w:val="0"/>
          <w:numId w:val="58"/>
        </w:numPr>
        <w:spacing w:before="60" w:after="60" w:line="288" w:lineRule="auto"/>
        <w:ind w:left="993" w:hanging="284"/>
        <w:jc w:val="both"/>
        <w:rPr>
          <w:lang w:val="uk-UA" w:eastAsia="en-US"/>
        </w:rPr>
      </w:pPr>
      <w:r>
        <w:rPr>
          <w:lang w:val="uk-UA" w:eastAsia="uk-UA"/>
        </w:rPr>
        <w:t>активне спостереження за впливом кліматичних змін, а також соціальна та економічна вразливість, що супроводжується;</w:t>
      </w:r>
    </w:p>
    <w:p w:rsidR="00642FB4" w:rsidRDefault="00642FB4">
      <w:pPr>
        <w:numPr>
          <w:ilvl w:val="0"/>
          <w:numId w:val="58"/>
        </w:numPr>
        <w:spacing w:before="60" w:after="60" w:line="288" w:lineRule="auto"/>
        <w:ind w:left="993" w:hanging="284"/>
        <w:jc w:val="both"/>
        <w:rPr>
          <w:lang w:val="uk-UA" w:eastAsia="en-US"/>
        </w:rPr>
      </w:pPr>
      <w:r>
        <w:rPr>
          <w:lang w:val="uk-UA" w:eastAsia="uk-UA"/>
        </w:rPr>
        <w:t>інтеграція мір адаптації до ефектів кліматичних змін в стратегії розвитку і політики на рівні сектора, а також гармонізація цих мір між собою;</w:t>
      </w:r>
    </w:p>
    <w:p w:rsidR="00642FB4" w:rsidRDefault="00642FB4">
      <w:pPr>
        <w:numPr>
          <w:ilvl w:val="0"/>
          <w:numId w:val="58"/>
        </w:numPr>
        <w:spacing w:before="60" w:after="60" w:line="288" w:lineRule="auto"/>
        <w:ind w:left="993" w:hanging="284"/>
        <w:jc w:val="both"/>
        <w:rPr>
          <w:lang w:val="uk-UA" w:eastAsia="en-US"/>
        </w:rPr>
      </w:pPr>
      <w:r>
        <w:rPr>
          <w:lang w:val="uk-UA" w:eastAsia="uk-UA"/>
        </w:rPr>
        <w:t>ідентифікація екстрених мір адаптації до ефектів кліматичних змін в критичних соціальних і економічних секторах.</w:t>
      </w:r>
    </w:p>
    <w:p w:rsidR="00642FB4" w:rsidRDefault="00642FB4">
      <w:pPr>
        <w:spacing w:before="60" w:after="60" w:line="288" w:lineRule="auto"/>
        <w:ind w:firstLine="720"/>
        <w:jc w:val="both"/>
        <w:rPr>
          <w:lang w:val="uk-UA" w:eastAsia="en-US"/>
        </w:rPr>
      </w:pPr>
      <w:r>
        <w:rPr>
          <w:lang w:val="uk-UA" w:eastAsia="uk-UA"/>
        </w:rPr>
        <w:t>Національна складова адаптації до кліматичних змінам заохочує виявлення мір, дій і рішень, які необхідно упровадити відповідно до необхідності, що існує на національному рівні, з існуючими ресурсами і вимогами дослідження, з метою обмеження оцінних негативних наслідків кліматичних сценаріїв на середній і довгий термін. Заходи, дії і виявлені рішення впроваджуватимуться через співпрацю між установами і через забезпечення необхідної технічної підтримки.</w:t>
      </w:r>
    </w:p>
    <w:p w:rsidR="00642FB4" w:rsidRDefault="00642FB4">
      <w:pPr>
        <w:spacing w:before="60" w:after="60" w:line="288" w:lineRule="auto"/>
        <w:ind w:firstLine="720"/>
        <w:jc w:val="both"/>
        <w:rPr>
          <w:lang w:val="uk-UA" w:eastAsia="en-US"/>
        </w:rPr>
      </w:pPr>
      <w:r>
        <w:rPr>
          <w:lang w:val="uk-UA" w:eastAsia="uk-UA"/>
        </w:rPr>
        <w:t xml:space="preserve">Національна стратегія кліматичних змін (SNSC) надає орієнтовну підтримку по заходах і політиках, які необхідно прийняти, використовуючи структуральні і інвестиційні європейські фонди з майбутнього фінансового періоду (2014 ч 2020). </w:t>
      </w:r>
    </w:p>
    <w:p w:rsidR="00642FB4" w:rsidRDefault="00642FB4">
      <w:pPr>
        <w:spacing w:before="60" w:after="60" w:line="288" w:lineRule="auto"/>
        <w:ind w:firstLine="720"/>
        <w:jc w:val="both"/>
        <w:rPr>
          <w:lang w:val="uk-UA" w:eastAsia="en-US"/>
        </w:rPr>
      </w:pPr>
      <w:r>
        <w:rPr>
          <w:lang w:val="uk-UA" w:eastAsia="uk-UA"/>
        </w:rPr>
        <w:t>Національна стратегія кліматичних змін (SNSC) сприятиме довговічному використанню природних ресурсів, скороченню викидів газів з парниковим эфектом в нашій країні і захисті біологічної різноманітності і природних екосистем.</w:t>
      </w:r>
    </w:p>
    <w:p w:rsidR="00642FB4" w:rsidRDefault="00642FB4">
      <w:pPr>
        <w:spacing w:before="60" w:after="60" w:line="288" w:lineRule="auto"/>
        <w:ind w:firstLine="720"/>
        <w:jc w:val="both"/>
        <w:rPr>
          <w:lang w:val="uk-UA" w:eastAsia="en-US"/>
        </w:rPr>
      </w:pPr>
      <w:r>
        <w:rPr>
          <w:lang w:val="uk-UA" w:eastAsia="uk-UA"/>
        </w:rPr>
        <w:t xml:space="preserve">Виконання завдань, включених в Національну стратегію кліматичних змін (SNSC) 2013 ч 2020, сприятиме довговічному використанню природних ресурсів, скороченню викидів газів з парниковим ефектом в нашій країні, захисту біологічної різноманітності і природних екосистем і збереженню на довгий термін соціального добробуту, за допомогою створення нових робочих місць в специфічних секторах. </w:t>
      </w:r>
    </w:p>
    <w:p w:rsidR="00642FB4" w:rsidRDefault="00642FB4">
      <w:pPr>
        <w:spacing w:before="60" w:after="60" w:line="288" w:lineRule="auto"/>
        <w:ind w:firstLine="720"/>
        <w:jc w:val="both"/>
        <w:rPr>
          <w:lang w:val="uk-UA" w:eastAsia="en-US"/>
        </w:rPr>
      </w:pPr>
    </w:p>
    <w:p w:rsidR="00642FB4" w:rsidRDefault="00642FB4">
      <w:pPr>
        <w:spacing w:before="60" w:after="60" w:line="288" w:lineRule="auto"/>
        <w:ind w:firstLine="720"/>
        <w:jc w:val="both"/>
        <w:rPr>
          <w:i/>
          <w:iCs/>
          <w:lang w:val="uk-UA" w:eastAsia="en-US"/>
        </w:rPr>
      </w:pPr>
      <w:r>
        <w:rPr>
          <w:i/>
          <w:iCs/>
          <w:lang w:val="uk-UA" w:eastAsia="uk-UA"/>
        </w:rPr>
        <w:t xml:space="preserve">Національна стратегія менеджменту ризику повеней на середній і довгий термін </w:t>
      </w:r>
    </w:p>
    <w:p w:rsidR="00642FB4" w:rsidRDefault="00642FB4">
      <w:pPr>
        <w:spacing w:before="60" w:after="60" w:line="288" w:lineRule="auto"/>
        <w:ind w:firstLine="720"/>
        <w:jc w:val="both"/>
        <w:rPr>
          <w:lang w:val="uk-UA" w:eastAsia="en-US"/>
        </w:rPr>
      </w:pPr>
      <w:r>
        <w:rPr>
          <w:lang w:val="uk-UA" w:eastAsia="uk-UA"/>
        </w:rPr>
        <w:t xml:space="preserve">Національна стратегія менеджменту ризику повеней на середній і довгий термін (SNMRI) на середній і довгий термін (період 2010 ч 2035) була затверджена Рішенням уряду Румунії № 846/2010, пройшовши процедуру SEA, і її головне завдання полягає в попередженні і скороченні наслідків повеней на життя і здоров'я людей, соціальної і економічної діяльності і навколишнього середовища. Стратегія стосується інтегрованого управління води і супроводжуючих ресурсів: облаштування території і міський розвиток, захист природи, сільськогосподарський розвиток і розвиток лісу, захист транспортної інфраструктури, будівництва і туристичних зон, індивідуального захисту тощо. </w:t>
      </w:r>
    </w:p>
    <w:p w:rsidR="00642FB4" w:rsidRDefault="00642FB4">
      <w:pPr>
        <w:spacing w:before="60" w:after="60" w:line="288" w:lineRule="auto"/>
        <w:ind w:firstLine="720"/>
        <w:jc w:val="both"/>
        <w:rPr>
          <w:lang w:val="uk-UA" w:eastAsia="en-US"/>
        </w:rPr>
      </w:pPr>
      <w:r>
        <w:rPr>
          <w:lang w:val="uk-UA" w:eastAsia="uk-UA"/>
        </w:rPr>
        <w:t>Національна стратегія менеджменту риски повеней має наступні завдання:</w:t>
      </w:r>
    </w:p>
    <w:p w:rsidR="00642FB4" w:rsidRDefault="00642FB4">
      <w:pPr>
        <w:spacing w:before="60" w:after="60" w:line="288" w:lineRule="auto"/>
        <w:ind w:left="993" w:hanging="273"/>
        <w:jc w:val="both"/>
        <w:rPr>
          <w:lang w:val="uk-UA" w:eastAsia="en-US"/>
        </w:rPr>
      </w:pPr>
      <w:r>
        <w:rPr>
          <w:lang w:val="uk-UA" w:eastAsia="uk-UA"/>
        </w:rPr>
        <w:t xml:space="preserve">• </w:t>
      </w:r>
      <w:r>
        <w:rPr>
          <w:i/>
          <w:iCs/>
          <w:lang w:val="uk-UA" w:eastAsia="uk-UA"/>
        </w:rPr>
        <w:t xml:space="preserve">соціальні завдання </w:t>
      </w:r>
      <w:r>
        <w:rPr>
          <w:lang w:val="uk-UA" w:eastAsia="uk-UA"/>
        </w:rPr>
        <w:t>– попередження і мінімізація ризику повені населення і людських поселень, попередження і мінімізація ризику населення публічних / коммунітарного майна (лікарень, поліклінік, шкіл тощо) і зон відпочинку, мінімізація пошкодження здоров'я населення унаслідок впливу феномена повені і забруднення, яке супроводжує повінь.</w:t>
      </w:r>
    </w:p>
    <w:p w:rsidR="00642FB4" w:rsidRDefault="00642FB4">
      <w:pPr>
        <w:spacing w:before="60" w:after="60" w:line="288" w:lineRule="auto"/>
        <w:ind w:left="993" w:hanging="142"/>
        <w:jc w:val="both"/>
        <w:rPr>
          <w:lang w:val="uk-UA" w:eastAsia="en-US"/>
        </w:rPr>
      </w:pPr>
      <w:r>
        <w:rPr>
          <w:lang w:val="uk-UA" w:eastAsia="uk-UA"/>
        </w:rPr>
        <w:t xml:space="preserve">• </w:t>
      </w:r>
      <w:r>
        <w:rPr>
          <w:i/>
          <w:iCs/>
          <w:lang w:val="uk-UA" w:eastAsia="uk-UA"/>
        </w:rPr>
        <w:t xml:space="preserve">економічні завдання </w:t>
      </w:r>
      <w:r>
        <w:rPr>
          <w:lang w:val="uk-UA" w:eastAsia="uk-UA"/>
        </w:rPr>
        <w:t xml:space="preserve">– попередження і мінімізація економічних втрат за допомогою скорочення ризику повені населених зон, економічних об'єктів і віщого через забезпечення захисту населених пунктів від зростання рівня води з можливістю перевищення 1% для сільських зон і 10%, для сільськогосподарських зон, диференційовані по різних сценаріях часу. </w:t>
      </w:r>
    </w:p>
    <w:p w:rsidR="00642FB4" w:rsidRDefault="00642FB4">
      <w:pPr>
        <w:spacing w:before="60" w:after="60" w:line="288" w:lineRule="auto"/>
        <w:ind w:left="993" w:hanging="142"/>
        <w:jc w:val="both"/>
        <w:rPr>
          <w:lang w:val="uk-UA" w:eastAsia="en-US"/>
        </w:rPr>
      </w:pPr>
      <w:r>
        <w:rPr>
          <w:lang w:val="uk-UA" w:eastAsia="uk-UA"/>
        </w:rPr>
        <w:t xml:space="preserve">• </w:t>
      </w:r>
      <w:r>
        <w:rPr>
          <w:i/>
          <w:iCs/>
          <w:lang w:val="uk-UA" w:eastAsia="uk-UA"/>
        </w:rPr>
        <w:t xml:space="preserve">завдання середовища </w:t>
      </w:r>
      <w:r>
        <w:rPr>
          <w:lang w:val="uk-UA" w:eastAsia="uk-UA"/>
        </w:rPr>
        <w:t xml:space="preserve">– задоволення вимог Директиви по воді Європейського Союзу, уникнення псування і антропогенного впливу в геоморфологію водних басейнів, попередження забруднення водних потоків і підземних вод унаслідок повені і їх ефектів на якість екології водних потоків; захист і поліпшення якості земельних ділянок, а там де це можливо, стимулювання зміни сільськогосподарської практики для попередження і мінімізації витоку і повені, що супроводжуються, унаслідок інтенсивних сільськогосподарських робіт; захист і збереження історичного надбання, монументів, захищених територій і екосистем; захист і поліпшення специфіки навколишнього середовища і його естетичної зовнішності; мінімізація або попередження впливу кліматичних змін на появу феномена повені. </w:t>
      </w:r>
    </w:p>
    <w:p w:rsidR="00642FB4" w:rsidRDefault="00642FB4">
      <w:pPr>
        <w:spacing w:before="60" w:after="60" w:line="288" w:lineRule="auto"/>
        <w:ind w:firstLine="720"/>
        <w:jc w:val="both"/>
        <w:rPr>
          <w:lang w:val="uk-UA" w:eastAsia="en-US"/>
        </w:rPr>
      </w:pPr>
      <w:r>
        <w:rPr>
          <w:lang w:val="uk-UA" w:eastAsia="uk-UA"/>
        </w:rPr>
        <w:t>На підставі Національної стратегії менеджменту ризику повеней на середній і довгий термін (SNMRI) були розроблені Плани для попередження, захисту і зменшення ефектів повені (PPPDEI), згідно вимогам Директиви 2007/60/ЕС (Директива повені), з метою скорочення ризику події природних лих (повеней) з наслідками на населення, через впровадження мір попередження в самих уразливих зонах, на середній термін (2020). Плани для попередження, захисту і зменшення ефектів повені будуть завершені в період 2014 ч 2015, і складуть основу схем, необхідних для забезпечення захисту населення від повені, для захисту майна, власності і культурних цінностей в кожному водному басейні / водному просторі. На їх підставі розроблятимуться Плани облаштування водних басейнів і Плани менеджменту ризику повені.</w:t>
      </w:r>
    </w:p>
    <w:p w:rsidR="00642FB4" w:rsidRDefault="00642FB4">
      <w:pPr>
        <w:spacing w:before="60" w:after="60" w:line="288" w:lineRule="auto"/>
        <w:ind w:firstLine="720"/>
        <w:jc w:val="both"/>
        <w:rPr>
          <w:lang w:val="uk-UA" w:eastAsia="en-US"/>
        </w:rPr>
      </w:pPr>
    </w:p>
    <w:p w:rsidR="00642FB4" w:rsidRDefault="00642FB4">
      <w:pPr>
        <w:spacing w:before="60" w:after="60" w:line="288" w:lineRule="auto"/>
        <w:ind w:firstLine="720"/>
        <w:jc w:val="both"/>
        <w:rPr>
          <w:i/>
          <w:iCs/>
          <w:lang w:val="uk-UA" w:eastAsia="en-US"/>
        </w:rPr>
      </w:pPr>
      <w:r>
        <w:rPr>
          <w:i/>
          <w:iCs/>
          <w:lang w:val="uk-UA" w:eastAsia="uk-UA"/>
        </w:rPr>
        <w:t>Менеджмент відходів</w:t>
      </w:r>
    </w:p>
    <w:p w:rsidR="00642FB4" w:rsidRDefault="00642FB4">
      <w:pPr>
        <w:spacing w:before="60" w:after="60" w:line="288" w:lineRule="auto"/>
        <w:ind w:firstLine="720"/>
        <w:jc w:val="both"/>
        <w:rPr>
          <w:lang w:val="uk-UA" w:eastAsia="en-US"/>
        </w:rPr>
      </w:pPr>
      <w:r>
        <w:rPr>
          <w:lang w:val="uk-UA" w:eastAsia="uk-UA"/>
        </w:rPr>
        <w:t xml:space="preserve">З метою забезпечення ефективного менеджменту відходів, враховуватимуться всі релевантні законодавчі положення: </w:t>
      </w:r>
    </w:p>
    <w:p w:rsidR="00642FB4" w:rsidRDefault="00642FB4">
      <w:pPr>
        <w:numPr>
          <w:ilvl w:val="0"/>
          <w:numId w:val="59"/>
        </w:numPr>
        <w:spacing w:before="60" w:after="60" w:line="288" w:lineRule="auto"/>
        <w:jc w:val="both"/>
        <w:rPr>
          <w:lang w:val="uk-UA" w:eastAsia="en-US"/>
        </w:rPr>
      </w:pPr>
      <w:r>
        <w:rPr>
          <w:i/>
          <w:iCs/>
          <w:lang w:val="uk-UA" w:eastAsia="uk-UA"/>
        </w:rPr>
        <w:t xml:space="preserve">Угода про приєднання – Розділ Середовище </w:t>
      </w:r>
      <w:r>
        <w:rPr>
          <w:lang w:val="uk-UA" w:eastAsia="uk-UA"/>
        </w:rPr>
        <w:t>– зобов'язання, узяти на себе Румунією в секторі відходів детально викладені на рівні кожного повіту в рамках Планів впровадження Директив Європейського Союзу;</w:t>
      </w:r>
    </w:p>
    <w:p w:rsidR="00642FB4" w:rsidRDefault="00642FB4">
      <w:pPr>
        <w:numPr>
          <w:ilvl w:val="0"/>
          <w:numId w:val="59"/>
        </w:numPr>
        <w:spacing w:before="60" w:after="60" w:line="288" w:lineRule="auto"/>
        <w:jc w:val="both"/>
        <w:rPr>
          <w:lang w:val="uk-UA" w:eastAsia="en-US"/>
        </w:rPr>
      </w:pPr>
      <w:r>
        <w:rPr>
          <w:i/>
          <w:iCs/>
          <w:lang w:val="uk-UA" w:eastAsia="uk-UA"/>
        </w:rPr>
        <w:t>POS Середовище – Пріоритетний напрям 2</w:t>
      </w:r>
      <w:r>
        <w:rPr>
          <w:lang w:val="uk-UA" w:eastAsia="uk-UA"/>
        </w:rPr>
        <w:t>, важлива сфера втручання 1 – «Розвиток інтегрованих систем менеджменту відходів і розширення інфраструктури менеджменту відходів»;</w:t>
      </w:r>
    </w:p>
    <w:p w:rsidR="00642FB4" w:rsidRDefault="00642FB4">
      <w:pPr>
        <w:numPr>
          <w:ilvl w:val="0"/>
          <w:numId w:val="59"/>
        </w:numPr>
        <w:spacing w:before="60" w:after="60" w:line="288" w:lineRule="auto"/>
        <w:jc w:val="both"/>
        <w:rPr>
          <w:lang w:val="uk-UA" w:eastAsia="en-US"/>
        </w:rPr>
      </w:pPr>
      <w:r>
        <w:rPr>
          <w:i/>
          <w:iCs/>
          <w:lang w:val="uk-UA" w:eastAsia="uk-UA"/>
        </w:rPr>
        <w:t xml:space="preserve">Національна стратегія управління відходами </w:t>
      </w:r>
      <w:r>
        <w:rPr>
          <w:lang w:val="uk-UA" w:eastAsia="uk-UA"/>
        </w:rPr>
        <w:t>(SNGD), затверджена Рішенням уряду Румунії № 1470/2004, складає основний інструмент через який забезпечується впровадження до Румунії політики Європейського Союзу у сфері відходів. Генеральне завдання Національної стратегія управління відходами полягає в створенні необхідних рамок для розвитку і впровадження інтегрованої системи управління відходами, яка повинна бути ефективною з екологічної і економічною точки зору, і повинна забезпечити захист здоров'я населення і навколишнього середовища.</w:t>
      </w:r>
    </w:p>
    <w:p w:rsidR="00642FB4" w:rsidRDefault="00642FB4">
      <w:pPr>
        <w:numPr>
          <w:ilvl w:val="0"/>
          <w:numId w:val="59"/>
        </w:numPr>
        <w:spacing w:before="60" w:after="60" w:line="288" w:lineRule="auto"/>
        <w:jc w:val="both"/>
        <w:rPr>
          <w:lang w:val="uk-UA" w:eastAsia="en-US"/>
        </w:rPr>
      </w:pPr>
      <w:r>
        <w:rPr>
          <w:i/>
          <w:iCs/>
          <w:lang w:val="uk-UA" w:eastAsia="uk-UA"/>
        </w:rPr>
        <w:t xml:space="preserve">Національний план управління відходами </w:t>
      </w:r>
      <w:r>
        <w:rPr>
          <w:lang w:val="uk-UA" w:eastAsia="uk-UA"/>
        </w:rPr>
        <w:t>(PNGD), затверджений Рішенням уряду Румунії № 1470/2004, є планом впровадження національної стратегії, за допомогою адекватних дій і засобів для підпорядкування коммунітарного аквісу навколишнього середовища у сфері управління відходами;</w:t>
      </w:r>
    </w:p>
    <w:p w:rsidR="00642FB4" w:rsidRDefault="00642FB4">
      <w:pPr>
        <w:numPr>
          <w:ilvl w:val="0"/>
          <w:numId w:val="59"/>
        </w:numPr>
        <w:spacing w:before="60" w:after="60" w:line="288" w:lineRule="auto"/>
        <w:jc w:val="both"/>
        <w:rPr>
          <w:lang w:val="uk-UA" w:eastAsia="en-US"/>
        </w:rPr>
      </w:pPr>
      <w:r>
        <w:rPr>
          <w:i/>
          <w:iCs/>
          <w:lang w:val="uk-UA" w:eastAsia="uk-UA"/>
        </w:rPr>
        <w:t>Регіональний план управління відходами для Області 1 – Північ – Схід</w:t>
      </w:r>
      <w:r>
        <w:rPr>
          <w:lang w:val="uk-UA" w:eastAsia="uk-UA"/>
        </w:rPr>
        <w:t>, затверджений Наказом MMGA № 1364/1499/2006.</w:t>
      </w:r>
    </w:p>
    <w:p w:rsidR="00642FB4" w:rsidRDefault="00642FB4">
      <w:pPr>
        <w:spacing w:before="60" w:after="60" w:line="288" w:lineRule="auto"/>
        <w:ind w:firstLine="720"/>
        <w:jc w:val="both"/>
        <w:rPr>
          <w:lang w:val="uk-UA" w:eastAsia="en-US"/>
        </w:rPr>
      </w:pPr>
    </w:p>
    <w:p w:rsidR="00642FB4" w:rsidRDefault="00642FB4">
      <w:pPr>
        <w:spacing w:before="60" w:after="60" w:line="288" w:lineRule="auto"/>
        <w:ind w:left="720" w:firstLine="720"/>
        <w:jc w:val="both"/>
        <w:rPr>
          <w:i/>
          <w:iCs/>
          <w:lang w:val="uk-UA" w:eastAsia="en-US"/>
        </w:rPr>
      </w:pPr>
      <w:r>
        <w:rPr>
          <w:i/>
          <w:iCs/>
          <w:lang w:val="uk-UA" w:eastAsia="uk-UA"/>
        </w:rPr>
        <w:t>План регіонального розвитку Північ – Схід 2014 ч 2020</w:t>
      </w:r>
    </w:p>
    <w:p w:rsidR="00642FB4" w:rsidRDefault="00642FB4">
      <w:pPr>
        <w:spacing w:before="60" w:after="60" w:line="288" w:lineRule="auto"/>
        <w:ind w:firstLine="720"/>
        <w:jc w:val="both"/>
        <w:rPr>
          <w:lang w:val="uk-UA" w:eastAsia="en-US"/>
        </w:rPr>
      </w:pPr>
      <w:r>
        <w:rPr>
          <w:lang w:val="uk-UA" w:eastAsia="uk-UA"/>
        </w:rPr>
        <w:t xml:space="preserve">Стратегія виявила чотири стратегічні пріоритети для Північно-східного регіону Румунії: </w:t>
      </w:r>
    </w:p>
    <w:p w:rsidR="00642FB4" w:rsidRDefault="00642FB4">
      <w:pPr>
        <w:numPr>
          <w:ilvl w:val="0"/>
          <w:numId w:val="12"/>
        </w:numPr>
        <w:spacing w:before="60" w:after="60" w:line="288" w:lineRule="auto"/>
        <w:ind w:left="1080"/>
        <w:jc w:val="both"/>
        <w:rPr>
          <w:lang w:val="uk-UA"/>
        </w:rPr>
      </w:pPr>
      <w:r>
        <w:rPr>
          <w:lang w:val="uk-UA" w:eastAsia="uk-UA"/>
        </w:rPr>
        <w:t xml:space="preserve">Поліпшення людського капіталу; </w:t>
      </w:r>
    </w:p>
    <w:p w:rsidR="00642FB4" w:rsidRDefault="00642FB4">
      <w:pPr>
        <w:numPr>
          <w:ilvl w:val="0"/>
          <w:numId w:val="12"/>
        </w:numPr>
        <w:spacing w:before="60" w:after="60" w:line="288" w:lineRule="auto"/>
        <w:ind w:left="1080"/>
        <w:jc w:val="both"/>
        <w:rPr>
          <w:lang w:val="uk-UA"/>
        </w:rPr>
      </w:pPr>
      <w:r>
        <w:rPr>
          <w:lang w:val="uk-UA" w:eastAsia="uk-UA"/>
        </w:rPr>
        <w:t xml:space="preserve">Розвиток сучасної інфраструктури; </w:t>
      </w:r>
    </w:p>
    <w:p w:rsidR="00642FB4" w:rsidRDefault="00642FB4">
      <w:pPr>
        <w:numPr>
          <w:ilvl w:val="0"/>
          <w:numId w:val="12"/>
        </w:numPr>
        <w:spacing w:before="60" w:after="60" w:line="288" w:lineRule="auto"/>
        <w:ind w:left="1080"/>
        <w:jc w:val="both"/>
        <w:rPr>
          <w:lang w:val="uk-UA"/>
        </w:rPr>
      </w:pPr>
      <w:r>
        <w:rPr>
          <w:lang w:val="uk-UA" w:eastAsia="uk-UA"/>
        </w:rPr>
        <w:t xml:space="preserve">Підтримка конкурентоспроможної економіки та місцевого розвитку; </w:t>
      </w:r>
    </w:p>
    <w:p w:rsidR="00642FB4" w:rsidRDefault="00642FB4">
      <w:pPr>
        <w:numPr>
          <w:ilvl w:val="0"/>
          <w:numId w:val="12"/>
        </w:numPr>
        <w:spacing w:before="60" w:after="60" w:line="288" w:lineRule="auto"/>
        <w:ind w:left="1080"/>
        <w:jc w:val="both"/>
        <w:rPr>
          <w:lang w:val="uk-UA"/>
        </w:rPr>
      </w:pPr>
      <w:r>
        <w:rPr>
          <w:lang w:val="uk-UA" w:eastAsia="uk-UA"/>
        </w:rPr>
        <w:t>Оптимізація використання і захисту природних ресурсів.</w:t>
      </w:r>
    </w:p>
    <w:p w:rsidR="00642FB4" w:rsidRDefault="00642FB4">
      <w:pPr>
        <w:spacing w:before="60" w:after="60" w:line="288" w:lineRule="auto"/>
        <w:ind w:firstLine="720"/>
        <w:jc w:val="both"/>
        <w:rPr>
          <w:lang w:val="uk-UA" w:eastAsia="en-US"/>
        </w:rPr>
      </w:pPr>
      <w:r>
        <w:rPr>
          <w:lang w:val="uk-UA" w:eastAsia="uk-UA"/>
        </w:rPr>
        <w:t>Більшість завдань, специфічних цій стратегії, сходяться із стратегічними тематичними завданнями ENI CBC і їх пріоритетами.</w:t>
      </w:r>
    </w:p>
    <w:p w:rsidR="00642FB4" w:rsidRDefault="00642FB4">
      <w:pPr>
        <w:spacing w:before="60" w:after="60" w:line="288" w:lineRule="auto"/>
        <w:ind w:firstLine="720"/>
        <w:jc w:val="both"/>
        <w:rPr>
          <w:lang w:val="uk-UA" w:eastAsia="en-US"/>
        </w:rPr>
      </w:pPr>
    </w:p>
    <w:p w:rsidR="00642FB4" w:rsidRDefault="00642FB4">
      <w:pPr>
        <w:spacing w:before="60" w:after="60" w:line="288" w:lineRule="auto"/>
        <w:ind w:firstLine="720"/>
        <w:jc w:val="both"/>
        <w:rPr>
          <w:i/>
          <w:iCs/>
          <w:lang w:val="uk-UA" w:eastAsia="en-US"/>
        </w:rPr>
      </w:pPr>
      <w:r>
        <w:rPr>
          <w:i/>
          <w:iCs/>
          <w:lang w:val="uk-UA" w:eastAsia="uk-UA"/>
        </w:rPr>
        <w:t>План регіонального розвитку Південь – Захід 2014 ч 2020</w:t>
      </w:r>
    </w:p>
    <w:p w:rsidR="00642FB4" w:rsidRDefault="00642FB4">
      <w:pPr>
        <w:spacing w:before="60" w:after="60" w:line="288" w:lineRule="auto"/>
        <w:ind w:firstLine="720"/>
        <w:jc w:val="both"/>
        <w:rPr>
          <w:lang w:val="uk-UA" w:eastAsia="en-US"/>
        </w:rPr>
      </w:pPr>
      <w:r>
        <w:rPr>
          <w:lang w:val="uk-UA" w:eastAsia="uk-UA"/>
        </w:rPr>
        <w:t xml:space="preserve">Стратегічний документ (в даний час в процесі консультації) виявив десять пріоритетів розвитку для південно-західного регіону Румунії, так, як слідує: </w:t>
      </w:r>
    </w:p>
    <w:p w:rsidR="00642FB4" w:rsidRDefault="00642FB4">
      <w:pPr>
        <w:numPr>
          <w:ilvl w:val="0"/>
          <w:numId w:val="12"/>
        </w:numPr>
        <w:spacing w:before="60" w:after="60" w:line="288" w:lineRule="auto"/>
        <w:ind w:left="1080"/>
        <w:jc w:val="both"/>
        <w:rPr>
          <w:lang w:val="uk-UA"/>
        </w:rPr>
      </w:pPr>
      <w:r>
        <w:rPr>
          <w:lang w:val="uk-UA" w:eastAsia="uk-UA"/>
        </w:rPr>
        <w:t>Інтегрований у довготривалий міський розвиток;</w:t>
      </w:r>
    </w:p>
    <w:p w:rsidR="00642FB4" w:rsidRDefault="00642FB4">
      <w:pPr>
        <w:numPr>
          <w:ilvl w:val="0"/>
          <w:numId w:val="12"/>
        </w:numPr>
        <w:spacing w:before="60" w:after="60" w:line="288" w:lineRule="auto"/>
        <w:ind w:left="1080"/>
        <w:jc w:val="both"/>
        <w:rPr>
          <w:lang w:val="uk-UA"/>
        </w:rPr>
      </w:pPr>
      <w:r>
        <w:rPr>
          <w:lang w:val="uk-UA" w:eastAsia="uk-UA"/>
        </w:rPr>
        <w:t>Розвиток обласної інфраструктури транспорту;</w:t>
      </w:r>
    </w:p>
    <w:p w:rsidR="00642FB4" w:rsidRDefault="00642FB4">
      <w:pPr>
        <w:numPr>
          <w:ilvl w:val="0"/>
          <w:numId w:val="12"/>
        </w:numPr>
        <w:spacing w:before="60" w:after="60" w:line="288" w:lineRule="auto"/>
        <w:ind w:left="1080"/>
        <w:jc w:val="both"/>
        <w:rPr>
          <w:lang w:val="uk-UA"/>
        </w:rPr>
      </w:pPr>
      <w:r>
        <w:rPr>
          <w:lang w:val="uk-UA" w:eastAsia="uk-UA"/>
        </w:rPr>
        <w:t>Поліпшення регіональної економічної конкурентоспроможності, в контексті просування розумної спеціалізації;</w:t>
      </w:r>
    </w:p>
    <w:p w:rsidR="00642FB4" w:rsidRDefault="00642FB4">
      <w:pPr>
        <w:numPr>
          <w:ilvl w:val="0"/>
          <w:numId w:val="12"/>
        </w:numPr>
        <w:spacing w:before="60" w:after="60" w:line="288" w:lineRule="auto"/>
        <w:ind w:left="1080"/>
        <w:jc w:val="both"/>
        <w:rPr>
          <w:lang w:val="uk-UA"/>
        </w:rPr>
      </w:pPr>
      <w:r>
        <w:rPr>
          <w:lang w:val="uk-UA" w:eastAsia="uk-UA"/>
        </w:rPr>
        <w:t>Поліпшення якості туризму на регіональному рівні;</w:t>
      </w:r>
    </w:p>
    <w:p w:rsidR="00642FB4" w:rsidRDefault="00642FB4">
      <w:pPr>
        <w:numPr>
          <w:ilvl w:val="0"/>
          <w:numId w:val="12"/>
        </w:numPr>
        <w:spacing w:before="60" w:after="60" w:line="288" w:lineRule="auto"/>
        <w:ind w:left="1080"/>
        <w:jc w:val="both"/>
        <w:rPr>
          <w:lang w:val="uk-UA"/>
        </w:rPr>
      </w:pPr>
      <w:r>
        <w:rPr>
          <w:lang w:val="uk-UA" w:eastAsia="uk-UA"/>
        </w:rPr>
        <w:t>Збереження і захист навколишнього середовища;</w:t>
      </w:r>
    </w:p>
    <w:p w:rsidR="00642FB4" w:rsidRDefault="00642FB4">
      <w:pPr>
        <w:numPr>
          <w:ilvl w:val="0"/>
          <w:numId w:val="12"/>
        </w:numPr>
        <w:spacing w:before="60" w:after="60" w:line="288" w:lineRule="auto"/>
        <w:ind w:left="1080"/>
        <w:jc w:val="both"/>
        <w:rPr>
          <w:lang w:val="uk-UA"/>
        </w:rPr>
      </w:pPr>
      <w:r>
        <w:rPr>
          <w:lang w:val="uk-UA" w:eastAsia="uk-UA"/>
        </w:rPr>
        <w:t>Поліпшення енергетичної ефективності і використання ресурсів, що відновлюються;</w:t>
      </w:r>
    </w:p>
    <w:p w:rsidR="00642FB4" w:rsidRDefault="00642FB4">
      <w:pPr>
        <w:numPr>
          <w:ilvl w:val="0"/>
          <w:numId w:val="12"/>
        </w:numPr>
        <w:spacing w:before="60" w:after="60" w:line="288" w:lineRule="auto"/>
        <w:ind w:left="1080"/>
        <w:jc w:val="both"/>
        <w:rPr>
          <w:lang w:val="uk-UA"/>
        </w:rPr>
      </w:pPr>
      <w:r>
        <w:rPr>
          <w:lang w:val="uk-UA" w:eastAsia="uk-UA"/>
        </w:rPr>
        <w:t>Поліпшення якості життя через освіту, здоров'я і соціальне включення;</w:t>
      </w:r>
    </w:p>
    <w:p w:rsidR="00642FB4" w:rsidRDefault="00642FB4">
      <w:pPr>
        <w:numPr>
          <w:ilvl w:val="0"/>
          <w:numId w:val="12"/>
        </w:numPr>
        <w:spacing w:before="60" w:after="60" w:line="288" w:lineRule="auto"/>
        <w:ind w:left="1080"/>
        <w:jc w:val="both"/>
        <w:rPr>
          <w:lang w:val="uk-UA"/>
        </w:rPr>
      </w:pPr>
      <w:r>
        <w:rPr>
          <w:lang w:val="uk-UA" w:eastAsia="uk-UA"/>
        </w:rPr>
        <w:t xml:space="preserve">Повернення ресурсів в сільські зони і модернізація  сільської економіки; </w:t>
      </w:r>
    </w:p>
    <w:p w:rsidR="00642FB4" w:rsidRDefault="00642FB4">
      <w:pPr>
        <w:numPr>
          <w:ilvl w:val="0"/>
          <w:numId w:val="12"/>
        </w:numPr>
        <w:spacing w:before="60" w:after="60" w:line="288" w:lineRule="auto"/>
        <w:ind w:left="1080"/>
        <w:jc w:val="both"/>
        <w:rPr>
          <w:lang w:val="uk-UA"/>
        </w:rPr>
      </w:pPr>
      <w:r>
        <w:rPr>
          <w:lang w:val="uk-UA" w:eastAsia="uk-UA"/>
        </w:rPr>
        <w:t>Поліпшення людських ресурсів на регіональному рівні в контексті розумної регіональної спеціалізації;</w:t>
      </w:r>
    </w:p>
    <w:p w:rsidR="00642FB4" w:rsidRDefault="00642FB4">
      <w:pPr>
        <w:numPr>
          <w:ilvl w:val="0"/>
          <w:numId w:val="12"/>
        </w:numPr>
        <w:spacing w:before="60" w:after="60" w:line="288" w:lineRule="auto"/>
        <w:ind w:left="1080"/>
        <w:jc w:val="both"/>
        <w:rPr>
          <w:lang w:val="uk-UA"/>
        </w:rPr>
      </w:pPr>
      <w:r>
        <w:rPr>
          <w:lang w:val="uk-UA" w:eastAsia="uk-UA"/>
        </w:rPr>
        <w:t>Просування транскордонної і міжрегіональної співпраці.</w:t>
      </w:r>
    </w:p>
    <w:p w:rsidR="00642FB4" w:rsidRDefault="00642FB4">
      <w:pPr>
        <w:spacing w:before="60" w:after="60" w:line="288" w:lineRule="auto"/>
        <w:ind w:firstLine="720"/>
        <w:jc w:val="both"/>
        <w:rPr>
          <w:lang w:val="uk-UA" w:eastAsia="en-US"/>
        </w:rPr>
      </w:pPr>
      <w:r>
        <w:rPr>
          <w:lang w:val="uk-UA" w:eastAsia="uk-UA"/>
        </w:rPr>
        <w:t>Навіть якщо ці пріоритети розвитку іноді сформульовані по різному від завдань Плану транскордонної співпраці, заходи, які включені в План регіонального розвитку сильно співпадають із стратегічними тематичними завданнями ENI CBC.</w:t>
      </w:r>
    </w:p>
    <w:p w:rsidR="00642FB4" w:rsidRDefault="00642FB4">
      <w:pPr>
        <w:spacing w:before="60" w:after="60" w:line="288" w:lineRule="auto"/>
        <w:ind w:firstLine="720"/>
        <w:jc w:val="both"/>
        <w:rPr>
          <w:lang w:val="uk-UA" w:eastAsia="en-US"/>
        </w:rPr>
      </w:pPr>
    </w:p>
    <w:p w:rsidR="00642FB4" w:rsidRDefault="00642FB4">
      <w:pPr>
        <w:pStyle w:val="Heading1"/>
        <w:numPr>
          <w:ilvl w:val="0"/>
          <w:numId w:val="27"/>
        </w:numPr>
        <w:ind w:hanging="360"/>
        <w:jc w:val="both"/>
        <w:rPr>
          <w:rFonts w:ascii="Arial" w:hAnsi="Arial" w:cs="Arial"/>
          <w:sz w:val="24"/>
          <w:szCs w:val="24"/>
          <w:lang w:val="uk-UA"/>
        </w:rPr>
      </w:pPr>
      <w:bookmarkStart w:id="35" w:name="_Toc419199671"/>
      <w:r>
        <w:rPr>
          <w:rFonts w:ascii="Arial" w:hAnsi="Arial" w:cs="Arial"/>
          <w:sz w:val="24"/>
          <w:szCs w:val="24"/>
          <w:lang w:val="uk-UA" w:eastAsia="uk-UA"/>
        </w:rPr>
        <w:t>УКРАЇНА</w:t>
      </w:r>
      <w:bookmarkEnd w:id="35"/>
      <w:r>
        <w:rPr>
          <w:rFonts w:ascii="Arial" w:hAnsi="Arial" w:cs="Arial"/>
          <w:sz w:val="24"/>
          <w:szCs w:val="24"/>
          <w:lang w:val="uk-UA" w:eastAsia="uk-UA"/>
        </w:rPr>
        <w:t xml:space="preserve"> </w:t>
      </w:r>
    </w:p>
    <w:p w:rsidR="00642FB4" w:rsidRDefault="00642FB4">
      <w:pPr>
        <w:spacing w:before="60" w:after="60" w:line="288" w:lineRule="auto"/>
        <w:jc w:val="both"/>
        <w:rPr>
          <w:b/>
          <w:bCs/>
          <w:lang w:val="uk-UA" w:eastAsia="en-US"/>
        </w:rPr>
      </w:pPr>
    </w:p>
    <w:p w:rsidR="00642FB4" w:rsidRDefault="00642F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i/>
          <w:iCs/>
          <w:lang w:val="uk-UA" w:eastAsia="en-US"/>
        </w:rPr>
      </w:pPr>
      <w:r>
        <w:rPr>
          <w:i/>
          <w:iCs/>
          <w:lang w:val="uk-UA" w:eastAsia="uk-UA"/>
        </w:rPr>
        <w:t>Державна стратегія регіонального розвитку на період до 2020 року</w:t>
      </w:r>
    </w:p>
    <w:p w:rsidR="00642FB4" w:rsidRDefault="00642FB4">
      <w:pPr>
        <w:spacing w:before="60" w:after="60" w:line="288" w:lineRule="auto"/>
        <w:ind w:firstLine="720"/>
        <w:jc w:val="both"/>
        <w:rPr>
          <w:lang w:val="uk-UA" w:eastAsia="en-US"/>
        </w:rPr>
      </w:pPr>
    </w:p>
    <w:p w:rsidR="00642FB4" w:rsidRDefault="00642FB4">
      <w:pPr>
        <w:spacing w:before="60" w:after="60" w:line="288" w:lineRule="auto"/>
        <w:ind w:firstLine="720"/>
        <w:jc w:val="both"/>
        <w:rPr>
          <w:lang w:val="uk-UA" w:eastAsia="en-US"/>
        </w:rPr>
      </w:pPr>
      <w:r>
        <w:rPr>
          <w:lang w:val="uk-UA" w:eastAsia="uk-UA"/>
        </w:rPr>
        <w:t>Стратегія відзначає ризики і виклики, які виникли починаючи з 2014 року, унаслідок зовнішнього впливу Російської Федерації щодо Криму, Севастополя і східних регіонів України. Цей документ був складений відповідно до стандартів Європейського Союзу, враховуючи тенденції модернізації урбанізації і відкриття пересування робочої сили.</w:t>
      </w:r>
    </w:p>
    <w:p w:rsidR="00642FB4" w:rsidRDefault="00642FB4">
      <w:pPr>
        <w:spacing w:before="60" w:after="60" w:line="288" w:lineRule="auto"/>
        <w:ind w:firstLine="720"/>
        <w:jc w:val="both"/>
        <w:rPr>
          <w:lang w:val="uk-UA" w:eastAsia="en-US"/>
        </w:rPr>
      </w:pPr>
      <w:r>
        <w:rPr>
          <w:lang w:val="uk-UA" w:eastAsia="uk-UA"/>
        </w:rPr>
        <w:t xml:space="preserve">Стратегія визначає завдання регіональних політик і ключові завдання властей і структур управління. Уряд України розділяє підхід Європейського Союзу щодо уникнення збільшення регіональної невідповідності, але визнає і певну обмеженість в ресурсах, необхідних для зусиль, зроблених в цьому напрямку. </w:t>
      </w:r>
    </w:p>
    <w:p w:rsidR="00642FB4" w:rsidRDefault="00642FB4">
      <w:pPr>
        <w:spacing w:before="60" w:after="60" w:line="288" w:lineRule="auto"/>
        <w:ind w:firstLine="720"/>
        <w:jc w:val="both"/>
        <w:rPr>
          <w:lang w:val="uk-UA" w:eastAsia="en-US"/>
        </w:rPr>
      </w:pPr>
      <w:bookmarkStart w:id="36" w:name="OLE_LINK28"/>
      <w:bookmarkStart w:id="37" w:name="OLE_LINK29"/>
      <w:r>
        <w:rPr>
          <w:lang w:val="uk-UA" w:eastAsia="uk-UA"/>
        </w:rPr>
        <w:t>Головними завданнями Стратегії є: збільшення конкурентоспроможності в регіонах, хороше управління і децентралізація влади і консолідована координація в таких сферах як транспорт і інфраструктура, економічний розвиток і інвестиції, підтримка підприємництва, ринок робочої сили, освіта, наука і інновація.</w:t>
      </w:r>
    </w:p>
    <w:bookmarkEnd w:id="36"/>
    <w:bookmarkEnd w:id="37"/>
    <w:p w:rsidR="00642FB4" w:rsidRDefault="00642FB4">
      <w:pPr>
        <w:spacing w:before="60" w:after="60" w:line="288" w:lineRule="auto"/>
        <w:ind w:firstLine="720"/>
        <w:jc w:val="both"/>
        <w:rPr>
          <w:lang w:val="uk-UA" w:eastAsia="en-US"/>
        </w:rPr>
      </w:pPr>
      <w:r>
        <w:rPr>
          <w:lang w:val="uk-UA" w:eastAsia="uk-UA"/>
        </w:rPr>
        <w:t>Збільшення конкурентоспроможності регіонів відповідно до Стратегії, може бути досягнута через поліпшення доступу в регіони, зокрема через розвиток транспортних мереж, застосування нових технологій, забезпечуючи захист навколишнього середовища і покращуючи економічну діяльність країни. Стратегія підкреслює, також, необхідність ефективної взаємодії із зовнішніми механізмами підтримки (наприклад, ENI). Завдання стратегії полягають в диверсифікації джерел виробництва енергії, збільшення енергетичної ефективності, модернізації промисловості, яка переслідує зміцнення енергетичної ефективності, заміну природного газу з джерелами енергії, що відновлюються, або альтернативним паливом.</w:t>
      </w:r>
    </w:p>
    <w:p w:rsidR="00642FB4" w:rsidRDefault="00642FB4">
      <w:pPr>
        <w:spacing w:before="60" w:after="60" w:line="288" w:lineRule="auto"/>
        <w:ind w:firstLine="720"/>
        <w:jc w:val="both"/>
        <w:rPr>
          <w:lang w:val="uk-UA" w:eastAsia="en-US"/>
        </w:rPr>
      </w:pPr>
      <w:r>
        <w:rPr>
          <w:lang w:val="uk-UA" w:eastAsia="uk-UA"/>
        </w:rPr>
        <w:t>Виконання в хороших умовах політик у сфері регіонального розвитку може виконуватися через децентралізацію влади і координацію діяльності між центральними властями і органами правління.</w:t>
      </w:r>
    </w:p>
    <w:p w:rsidR="00642FB4" w:rsidRDefault="00642FB4">
      <w:pPr>
        <w:spacing w:before="60" w:after="60" w:line="288" w:lineRule="auto"/>
        <w:ind w:firstLine="720"/>
        <w:jc w:val="both"/>
        <w:rPr>
          <w:lang w:val="uk-UA" w:eastAsia="en-US"/>
        </w:rPr>
      </w:pPr>
      <w:r>
        <w:rPr>
          <w:lang w:val="uk-UA" w:eastAsia="uk-UA"/>
        </w:rPr>
        <w:t>Додатковим пріоритетом є розвиток безпеки кордонів і ефективне управління кордонами в регіонах, що є сусідами з Росією. У цьому сенсі стратегія припускає плани дії з поліпшення економічного стану в лімітрофних регіонах, розвиток інфраструктури поблизу прикордонних зон і співпраця з місцевими общинами берегових країн.</w:t>
      </w:r>
    </w:p>
    <w:p w:rsidR="00642FB4" w:rsidRDefault="00642FB4">
      <w:pPr>
        <w:pStyle w:val="a"/>
        <w:spacing w:before="0"/>
        <w:ind w:firstLine="0"/>
        <w:jc w:val="both"/>
        <w:rPr>
          <w:rFonts w:ascii="Times New Roman" w:hAnsi="Times New Roman"/>
          <w:sz w:val="22"/>
          <w:szCs w:val="22"/>
        </w:rPr>
      </w:pPr>
    </w:p>
    <w:p w:rsidR="00642FB4" w:rsidRDefault="00642FB4">
      <w:pPr>
        <w:pStyle w:val="Heading1"/>
        <w:numPr>
          <w:ilvl w:val="0"/>
          <w:numId w:val="27"/>
        </w:numPr>
        <w:ind w:hanging="360"/>
        <w:jc w:val="both"/>
        <w:rPr>
          <w:rFonts w:ascii="Arial" w:hAnsi="Arial" w:cs="Arial"/>
          <w:sz w:val="24"/>
          <w:szCs w:val="24"/>
          <w:lang w:val="uk-UA"/>
        </w:rPr>
      </w:pPr>
      <w:bookmarkStart w:id="38" w:name="n18"/>
      <w:bookmarkStart w:id="39" w:name="n19"/>
      <w:bookmarkStart w:id="40" w:name="n20"/>
      <w:bookmarkStart w:id="41" w:name="n21"/>
      <w:bookmarkStart w:id="42" w:name="n23"/>
      <w:bookmarkStart w:id="43" w:name="n24"/>
      <w:bookmarkStart w:id="44" w:name="n25"/>
      <w:bookmarkStart w:id="45" w:name="_Toc419199672"/>
      <w:bookmarkEnd w:id="38"/>
      <w:bookmarkEnd w:id="39"/>
      <w:bookmarkEnd w:id="40"/>
      <w:bookmarkEnd w:id="41"/>
      <w:bookmarkEnd w:id="42"/>
      <w:bookmarkEnd w:id="43"/>
      <w:bookmarkEnd w:id="44"/>
      <w:r>
        <w:rPr>
          <w:rFonts w:ascii="Arial" w:hAnsi="Arial" w:cs="Arial"/>
          <w:sz w:val="24"/>
          <w:szCs w:val="24"/>
          <w:lang w:val="uk-UA" w:eastAsia="uk-UA"/>
        </w:rPr>
        <w:t>ЄВРОПЕЙСЬКИЙ СОЮЗ</w:t>
      </w:r>
      <w:bookmarkEnd w:id="45"/>
      <w:r>
        <w:rPr>
          <w:rFonts w:ascii="Arial" w:hAnsi="Arial" w:cs="Arial"/>
          <w:sz w:val="24"/>
          <w:szCs w:val="24"/>
          <w:lang w:val="uk-UA" w:eastAsia="uk-UA"/>
        </w:rPr>
        <w:t xml:space="preserve"> </w:t>
      </w:r>
    </w:p>
    <w:p w:rsidR="00642FB4" w:rsidRDefault="00642FB4">
      <w:pPr>
        <w:spacing w:before="60" w:after="60" w:line="288" w:lineRule="auto"/>
        <w:ind w:firstLine="720"/>
        <w:jc w:val="both"/>
        <w:rPr>
          <w:lang w:val="uk-UA" w:eastAsia="en-US"/>
        </w:rPr>
      </w:pPr>
    </w:p>
    <w:p w:rsidR="00642FB4" w:rsidRDefault="00642FB4">
      <w:pPr>
        <w:spacing w:before="60" w:after="60" w:line="288" w:lineRule="auto"/>
        <w:ind w:firstLine="720"/>
        <w:jc w:val="both"/>
        <w:rPr>
          <w:i/>
          <w:iCs/>
          <w:lang w:val="uk-UA" w:eastAsia="en-US"/>
        </w:rPr>
      </w:pPr>
      <w:r>
        <w:rPr>
          <w:i/>
          <w:iCs/>
          <w:lang w:val="uk-UA" w:eastAsia="uk-UA"/>
        </w:rPr>
        <w:t>Європа 2020</w:t>
      </w:r>
    </w:p>
    <w:p w:rsidR="00642FB4" w:rsidRDefault="00642FB4">
      <w:pPr>
        <w:spacing w:before="60" w:after="60" w:line="288" w:lineRule="auto"/>
        <w:ind w:firstLine="720"/>
        <w:jc w:val="both"/>
        <w:rPr>
          <w:lang w:val="uk-UA" w:eastAsia="en-US"/>
        </w:rPr>
      </w:pPr>
      <w:r>
        <w:rPr>
          <w:lang w:val="uk-UA" w:eastAsia="uk-UA"/>
        </w:rPr>
        <w:t>Європа 2020 була випущена в 2010 році і визначає стратегію збільшення протягом десяти років робочих місць, за допомогою створення в рамках Європейського Союзу наступних умов економічного зростання:</w:t>
      </w:r>
    </w:p>
    <w:p w:rsidR="00642FB4" w:rsidRDefault="00642FB4">
      <w:pPr>
        <w:numPr>
          <w:ilvl w:val="0"/>
          <w:numId w:val="12"/>
        </w:numPr>
        <w:spacing w:before="60" w:after="60" w:line="288" w:lineRule="auto"/>
        <w:ind w:left="1080"/>
        <w:jc w:val="both"/>
        <w:rPr>
          <w:lang w:val="uk-UA"/>
        </w:rPr>
      </w:pPr>
      <w:r>
        <w:rPr>
          <w:lang w:val="uk-UA" w:eastAsia="uk-UA"/>
        </w:rPr>
        <w:t>Розум (інтелігентність), за допомогою ефективніших вкладень в освіту, дослідження і інновації;</w:t>
      </w:r>
    </w:p>
    <w:p w:rsidR="00642FB4" w:rsidRDefault="00642FB4">
      <w:pPr>
        <w:numPr>
          <w:ilvl w:val="0"/>
          <w:numId w:val="12"/>
        </w:numPr>
        <w:spacing w:before="60" w:after="60" w:line="288" w:lineRule="auto"/>
        <w:ind w:left="1080"/>
        <w:jc w:val="both"/>
        <w:rPr>
          <w:lang w:val="uk-UA"/>
        </w:rPr>
      </w:pPr>
      <w:r>
        <w:rPr>
          <w:lang w:val="uk-UA" w:eastAsia="uk-UA"/>
        </w:rPr>
        <w:t>Довговічність, за допомогою орієнтації до економії з низьким викидом вуглецю;</w:t>
      </w:r>
    </w:p>
    <w:p w:rsidR="00642FB4" w:rsidRDefault="00642FB4">
      <w:pPr>
        <w:numPr>
          <w:ilvl w:val="0"/>
          <w:numId w:val="12"/>
        </w:numPr>
        <w:spacing w:before="60" w:after="60" w:line="288" w:lineRule="auto"/>
        <w:ind w:left="1080"/>
        <w:jc w:val="both"/>
        <w:rPr>
          <w:lang w:val="uk-UA"/>
        </w:rPr>
      </w:pPr>
      <w:r>
        <w:rPr>
          <w:lang w:val="uk-UA" w:eastAsia="uk-UA"/>
        </w:rPr>
        <w:t>Включно, з сильним акцентом на створення робочих місць і скорочення убогості.</w:t>
      </w:r>
    </w:p>
    <w:p w:rsidR="00642FB4" w:rsidRDefault="00642FB4">
      <w:pPr>
        <w:spacing w:before="60" w:after="60" w:line="288" w:lineRule="auto"/>
        <w:ind w:left="720"/>
        <w:jc w:val="both"/>
        <w:rPr>
          <w:lang w:val="uk-UA" w:eastAsia="en-US"/>
        </w:rPr>
      </w:pPr>
      <w:r>
        <w:rPr>
          <w:lang w:val="uk-UA" w:eastAsia="uk-UA"/>
        </w:rPr>
        <w:t>Завдання Стратегії ЄС 2020 зосереджені на:</w:t>
      </w:r>
    </w:p>
    <w:p w:rsidR="00642FB4" w:rsidRDefault="00642FB4">
      <w:pPr>
        <w:numPr>
          <w:ilvl w:val="0"/>
          <w:numId w:val="12"/>
        </w:numPr>
        <w:spacing w:before="60" w:after="60" w:line="288" w:lineRule="auto"/>
        <w:ind w:left="1080"/>
        <w:jc w:val="both"/>
        <w:rPr>
          <w:lang w:val="uk-UA"/>
        </w:rPr>
      </w:pPr>
      <w:r>
        <w:rPr>
          <w:lang w:val="uk-UA" w:eastAsia="uk-UA"/>
        </w:rPr>
        <w:t>Зайнятість робочої сили;</w:t>
      </w:r>
    </w:p>
    <w:p w:rsidR="00642FB4" w:rsidRDefault="00642FB4">
      <w:pPr>
        <w:numPr>
          <w:ilvl w:val="0"/>
          <w:numId w:val="12"/>
        </w:numPr>
        <w:spacing w:before="60" w:after="60" w:line="288" w:lineRule="auto"/>
        <w:ind w:left="1080"/>
        <w:jc w:val="both"/>
        <w:rPr>
          <w:lang w:val="uk-UA"/>
        </w:rPr>
      </w:pPr>
      <w:r>
        <w:rPr>
          <w:lang w:val="uk-UA" w:eastAsia="uk-UA"/>
        </w:rPr>
        <w:t>Дослідженні і розвитку;</w:t>
      </w:r>
    </w:p>
    <w:p w:rsidR="00642FB4" w:rsidRDefault="00642FB4">
      <w:pPr>
        <w:numPr>
          <w:ilvl w:val="0"/>
          <w:numId w:val="12"/>
        </w:numPr>
        <w:spacing w:before="60" w:after="60" w:line="288" w:lineRule="auto"/>
        <w:ind w:left="1080"/>
        <w:jc w:val="both"/>
        <w:rPr>
          <w:lang w:val="uk-UA"/>
        </w:rPr>
      </w:pPr>
      <w:r>
        <w:rPr>
          <w:lang w:val="uk-UA" w:eastAsia="uk-UA"/>
        </w:rPr>
        <w:t xml:space="preserve">Кліматичних змінах і довговічній енергії; </w:t>
      </w:r>
    </w:p>
    <w:p w:rsidR="00642FB4" w:rsidRDefault="00642FB4">
      <w:pPr>
        <w:numPr>
          <w:ilvl w:val="0"/>
          <w:numId w:val="12"/>
        </w:numPr>
        <w:spacing w:before="60" w:after="60" w:line="288" w:lineRule="auto"/>
        <w:ind w:left="1080"/>
        <w:jc w:val="both"/>
        <w:rPr>
          <w:lang w:val="uk-UA"/>
        </w:rPr>
      </w:pPr>
      <w:r>
        <w:rPr>
          <w:lang w:val="uk-UA" w:eastAsia="uk-UA"/>
        </w:rPr>
        <w:t>Освіті;</w:t>
      </w:r>
    </w:p>
    <w:p w:rsidR="00642FB4" w:rsidRDefault="00642FB4">
      <w:pPr>
        <w:numPr>
          <w:ilvl w:val="0"/>
          <w:numId w:val="12"/>
        </w:numPr>
        <w:spacing w:before="60" w:after="60" w:line="288" w:lineRule="auto"/>
        <w:ind w:left="1080"/>
        <w:jc w:val="both"/>
        <w:rPr>
          <w:lang w:val="uk-UA"/>
        </w:rPr>
      </w:pPr>
      <w:r>
        <w:rPr>
          <w:lang w:val="uk-UA" w:eastAsia="uk-UA"/>
        </w:rPr>
        <w:t>Боротьбі з убогістю і соціальна згуртованість.</w:t>
      </w:r>
    </w:p>
    <w:p w:rsidR="00642FB4" w:rsidRDefault="00642FB4">
      <w:pPr>
        <w:spacing w:before="60" w:after="60" w:line="288" w:lineRule="auto"/>
        <w:ind w:left="720"/>
        <w:jc w:val="both"/>
        <w:rPr>
          <w:i/>
          <w:iCs/>
          <w:lang w:val="uk-UA" w:eastAsia="en-US"/>
        </w:rPr>
      </w:pPr>
    </w:p>
    <w:p w:rsidR="00642FB4" w:rsidRDefault="00642FB4">
      <w:pPr>
        <w:spacing w:before="60" w:after="60" w:line="288" w:lineRule="auto"/>
        <w:ind w:firstLine="720"/>
        <w:jc w:val="both"/>
        <w:rPr>
          <w:lang w:val="uk-UA" w:eastAsia="en-US"/>
        </w:rPr>
      </w:pPr>
      <w:r>
        <w:rPr>
          <w:i/>
          <w:iCs/>
          <w:lang w:val="uk-UA" w:eastAsia="uk-UA"/>
        </w:rPr>
        <w:t xml:space="preserve">Стратегія Дунаю </w:t>
      </w:r>
    </w:p>
    <w:p w:rsidR="00642FB4" w:rsidRDefault="00642FB4">
      <w:pPr>
        <w:spacing w:before="60" w:after="60" w:line="288" w:lineRule="auto"/>
        <w:ind w:firstLine="720"/>
        <w:jc w:val="both"/>
        <w:rPr>
          <w:lang w:val="uk-UA" w:eastAsia="en-US"/>
        </w:rPr>
      </w:pPr>
      <w:r>
        <w:rPr>
          <w:lang w:val="uk-UA" w:eastAsia="uk-UA"/>
        </w:rPr>
        <w:t xml:space="preserve">У 2011 році Рада Європи прийняла за пропозицією Румунії і Австрії макро регіональну стратегію для стимуляції розвитку регіону басейну Дунаю. Стратегія переслідує створення синергії і координації між політиками і існуючими ініціативами, які мають місце в регіоні басейну Дунаю, зокрема в 14 країнах, серед яких Румунія, Республіка Молдова і Україна. </w:t>
      </w:r>
    </w:p>
    <w:p w:rsidR="00642FB4" w:rsidRDefault="00642FB4">
      <w:pPr>
        <w:spacing w:before="60" w:after="60" w:line="288" w:lineRule="auto"/>
        <w:ind w:firstLine="720"/>
        <w:jc w:val="both"/>
        <w:rPr>
          <w:lang w:val="uk-UA" w:eastAsia="en-US"/>
        </w:rPr>
      </w:pPr>
      <w:r>
        <w:rPr>
          <w:lang w:val="uk-UA" w:eastAsia="uk-UA"/>
        </w:rPr>
        <w:t>Стратегія базується на чотирьох великих «стовпах»:</w:t>
      </w:r>
    </w:p>
    <w:p w:rsidR="00642FB4" w:rsidRDefault="00642FB4">
      <w:pPr>
        <w:numPr>
          <w:ilvl w:val="0"/>
          <w:numId w:val="52"/>
        </w:numPr>
        <w:spacing w:before="60" w:after="60" w:line="288" w:lineRule="auto"/>
        <w:jc w:val="both"/>
        <w:rPr>
          <w:lang w:val="uk-UA" w:eastAsia="en-US"/>
        </w:rPr>
      </w:pPr>
      <w:r>
        <w:rPr>
          <w:lang w:val="uk-UA" w:eastAsia="uk-UA"/>
        </w:rPr>
        <w:t>взаємозв'язані регіони Дунаю;</w:t>
      </w:r>
    </w:p>
    <w:p w:rsidR="00642FB4" w:rsidRDefault="00642FB4">
      <w:pPr>
        <w:numPr>
          <w:ilvl w:val="0"/>
          <w:numId w:val="52"/>
        </w:numPr>
        <w:spacing w:before="60" w:after="60" w:line="288" w:lineRule="auto"/>
        <w:jc w:val="both"/>
        <w:rPr>
          <w:lang w:val="uk-UA" w:eastAsia="en-US"/>
        </w:rPr>
      </w:pPr>
      <w:r>
        <w:rPr>
          <w:lang w:val="uk-UA" w:eastAsia="uk-UA"/>
        </w:rPr>
        <w:t>захист навколишнього середовища в регіоні Дунаю;</w:t>
      </w:r>
    </w:p>
    <w:p w:rsidR="00642FB4" w:rsidRDefault="00642FB4">
      <w:pPr>
        <w:numPr>
          <w:ilvl w:val="0"/>
          <w:numId w:val="52"/>
        </w:numPr>
        <w:spacing w:before="60" w:after="60" w:line="288" w:lineRule="auto"/>
        <w:jc w:val="both"/>
        <w:rPr>
          <w:lang w:val="uk-UA" w:eastAsia="en-US"/>
        </w:rPr>
      </w:pPr>
      <w:r>
        <w:rPr>
          <w:lang w:val="uk-UA" w:eastAsia="uk-UA"/>
        </w:rPr>
        <w:t>збільшення добробуту в регіоні Дунаю;</w:t>
      </w:r>
    </w:p>
    <w:p w:rsidR="00642FB4" w:rsidRDefault="00642FB4">
      <w:pPr>
        <w:numPr>
          <w:ilvl w:val="0"/>
          <w:numId w:val="52"/>
        </w:numPr>
        <w:spacing w:before="60" w:after="60" w:line="288" w:lineRule="auto"/>
        <w:jc w:val="both"/>
        <w:rPr>
          <w:lang w:val="uk-UA" w:eastAsia="en-US"/>
        </w:rPr>
      </w:pPr>
      <w:r>
        <w:rPr>
          <w:lang w:val="uk-UA" w:eastAsia="uk-UA"/>
        </w:rPr>
        <w:t>зміцнення регіону Дунаю.</w:t>
      </w:r>
    </w:p>
    <w:p w:rsidR="00642FB4" w:rsidRDefault="00642FB4">
      <w:pPr>
        <w:spacing w:before="60" w:after="60" w:line="288" w:lineRule="auto"/>
        <w:ind w:firstLine="720"/>
        <w:jc w:val="both"/>
        <w:rPr>
          <w:lang w:val="uk-UA" w:eastAsia="en-US"/>
        </w:rPr>
      </w:pPr>
      <w:r>
        <w:rPr>
          <w:lang w:val="uk-UA" w:eastAsia="uk-UA"/>
        </w:rPr>
        <w:t>Кожному «стовпу» Стратегії відповідає специфічні сфери дії, що групуються на 11 пріоритетних сферах, кожна з яких координується 2 (двома) країнами / ландами з регіону, відповідно:</w:t>
      </w:r>
    </w:p>
    <w:p w:rsidR="00642FB4" w:rsidRDefault="00642FB4">
      <w:pPr>
        <w:spacing w:before="60" w:after="60" w:line="288" w:lineRule="auto"/>
        <w:ind w:firstLine="720"/>
        <w:jc w:val="both"/>
        <w:rPr>
          <w:i/>
          <w:iCs/>
          <w:lang w:val="uk-UA" w:eastAsia="en-US"/>
        </w:rPr>
      </w:pPr>
      <w:r>
        <w:rPr>
          <w:i/>
          <w:iCs/>
          <w:lang w:val="uk-UA" w:eastAsia="uk-UA"/>
        </w:rPr>
        <w:t>A. Взаємозв'язані регіони Дунаю</w:t>
      </w:r>
    </w:p>
    <w:p w:rsidR="00642FB4" w:rsidRDefault="00642FB4">
      <w:pPr>
        <w:numPr>
          <w:ilvl w:val="0"/>
          <w:numId w:val="53"/>
        </w:numPr>
        <w:spacing w:before="60" w:after="60" w:line="288" w:lineRule="auto"/>
        <w:jc w:val="both"/>
        <w:rPr>
          <w:lang w:val="uk-UA" w:eastAsia="en-US"/>
        </w:rPr>
      </w:pPr>
      <w:r>
        <w:rPr>
          <w:lang w:val="uk-UA" w:eastAsia="uk-UA"/>
        </w:rPr>
        <w:t xml:space="preserve">Поліпшення мобільності і всіх можливостей:  </w:t>
      </w:r>
    </w:p>
    <w:p w:rsidR="00642FB4" w:rsidRDefault="00642FB4">
      <w:pPr>
        <w:spacing w:before="60" w:after="60" w:line="288" w:lineRule="auto"/>
        <w:ind w:firstLine="1701"/>
        <w:jc w:val="both"/>
        <w:rPr>
          <w:lang w:val="uk-UA" w:eastAsia="en-US"/>
        </w:rPr>
      </w:pPr>
      <w:r>
        <w:rPr>
          <w:lang w:val="uk-UA" w:eastAsia="uk-UA"/>
        </w:rPr>
        <w:t>а. внутрішні судноплавні шляхи; (</w:t>
      </w:r>
      <w:r>
        <w:rPr>
          <w:i/>
          <w:iCs/>
          <w:lang w:val="uk-UA" w:eastAsia="uk-UA"/>
        </w:rPr>
        <w:t>Австрія і Румунія</w:t>
      </w:r>
      <w:r>
        <w:rPr>
          <w:lang w:val="uk-UA" w:eastAsia="uk-UA"/>
        </w:rPr>
        <w:t xml:space="preserve">); </w:t>
      </w:r>
    </w:p>
    <w:p w:rsidR="00642FB4" w:rsidRDefault="00642FB4">
      <w:pPr>
        <w:spacing w:before="60" w:after="60" w:line="288" w:lineRule="auto"/>
        <w:ind w:firstLine="1701"/>
        <w:jc w:val="both"/>
        <w:rPr>
          <w:lang w:val="uk-UA" w:eastAsia="en-US"/>
        </w:rPr>
      </w:pPr>
      <w:r>
        <w:rPr>
          <w:lang w:val="uk-UA" w:eastAsia="uk-UA"/>
        </w:rPr>
        <w:t>b. автодорожній, залізничний і повітряний зв'язок; (</w:t>
      </w:r>
      <w:r>
        <w:rPr>
          <w:i/>
          <w:iCs/>
          <w:lang w:val="uk-UA" w:eastAsia="uk-UA"/>
        </w:rPr>
        <w:t>Словенія і Сербія</w:t>
      </w:r>
      <w:r>
        <w:rPr>
          <w:lang w:val="uk-UA" w:eastAsia="uk-UA"/>
        </w:rPr>
        <w:t xml:space="preserve">) </w:t>
      </w:r>
    </w:p>
    <w:p w:rsidR="00642FB4" w:rsidRDefault="00642FB4">
      <w:pPr>
        <w:numPr>
          <w:ilvl w:val="0"/>
          <w:numId w:val="54"/>
        </w:numPr>
        <w:spacing w:before="60" w:after="60" w:line="288" w:lineRule="auto"/>
        <w:jc w:val="both"/>
        <w:rPr>
          <w:lang w:val="uk-UA" w:eastAsia="en-US"/>
        </w:rPr>
      </w:pPr>
      <w:r>
        <w:rPr>
          <w:lang w:val="uk-UA" w:eastAsia="uk-UA"/>
        </w:rPr>
        <w:t>Стимуляція довговічної енергії; (</w:t>
      </w:r>
      <w:r>
        <w:rPr>
          <w:i/>
          <w:iCs/>
          <w:lang w:val="uk-UA" w:eastAsia="uk-UA"/>
        </w:rPr>
        <w:t>Угорщина і Чехія</w:t>
      </w:r>
      <w:r>
        <w:rPr>
          <w:lang w:val="uk-UA" w:eastAsia="uk-UA"/>
        </w:rPr>
        <w:t xml:space="preserve">); </w:t>
      </w:r>
    </w:p>
    <w:p w:rsidR="00642FB4" w:rsidRDefault="00642FB4">
      <w:pPr>
        <w:numPr>
          <w:ilvl w:val="0"/>
          <w:numId w:val="54"/>
        </w:numPr>
        <w:spacing w:before="60" w:after="60" w:line="288" w:lineRule="auto"/>
        <w:jc w:val="both"/>
        <w:rPr>
          <w:lang w:val="uk-UA" w:eastAsia="en-US"/>
        </w:rPr>
      </w:pPr>
      <w:r>
        <w:rPr>
          <w:lang w:val="uk-UA" w:eastAsia="uk-UA"/>
        </w:rPr>
        <w:t>Просування культури і туризму, безпосередніх контактів між людьми; (</w:t>
      </w:r>
      <w:r>
        <w:rPr>
          <w:i/>
          <w:iCs/>
          <w:lang w:val="uk-UA" w:eastAsia="uk-UA"/>
        </w:rPr>
        <w:t>Румунія і Болгарія</w:t>
      </w:r>
      <w:r>
        <w:rPr>
          <w:lang w:val="uk-UA" w:eastAsia="uk-UA"/>
        </w:rPr>
        <w:t xml:space="preserve">); </w:t>
      </w:r>
    </w:p>
    <w:p w:rsidR="00642FB4" w:rsidRDefault="00642FB4">
      <w:pPr>
        <w:spacing w:before="60" w:after="60" w:line="288" w:lineRule="auto"/>
        <w:ind w:firstLine="720"/>
        <w:jc w:val="both"/>
        <w:rPr>
          <w:lang w:val="uk-UA" w:eastAsia="en-US"/>
        </w:rPr>
      </w:pPr>
      <w:r>
        <w:rPr>
          <w:lang w:val="uk-UA" w:eastAsia="uk-UA"/>
        </w:rPr>
        <w:t>B. Захист навколишнього середовища в регіоні Дунаю</w:t>
      </w:r>
    </w:p>
    <w:p w:rsidR="00642FB4" w:rsidRDefault="00642FB4">
      <w:pPr>
        <w:numPr>
          <w:ilvl w:val="0"/>
          <w:numId w:val="55"/>
        </w:numPr>
        <w:spacing w:before="60" w:after="60" w:line="288" w:lineRule="auto"/>
        <w:jc w:val="both"/>
        <w:rPr>
          <w:lang w:val="uk-UA" w:eastAsia="en-US"/>
        </w:rPr>
      </w:pPr>
      <w:r>
        <w:rPr>
          <w:lang w:val="uk-UA" w:eastAsia="uk-UA"/>
        </w:rPr>
        <w:t>Відновлення і зміст якості води; (</w:t>
      </w:r>
      <w:r>
        <w:rPr>
          <w:i/>
          <w:iCs/>
          <w:lang w:val="uk-UA" w:eastAsia="uk-UA"/>
        </w:rPr>
        <w:t>Угорщина і Словаччина</w:t>
      </w:r>
      <w:r>
        <w:rPr>
          <w:lang w:val="uk-UA" w:eastAsia="uk-UA"/>
        </w:rPr>
        <w:t xml:space="preserve">); </w:t>
      </w:r>
    </w:p>
    <w:p w:rsidR="00642FB4" w:rsidRDefault="00642FB4">
      <w:pPr>
        <w:numPr>
          <w:ilvl w:val="0"/>
          <w:numId w:val="55"/>
        </w:numPr>
        <w:spacing w:before="60" w:after="60" w:line="288" w:lineRule="auto"/>
        <w:jc w:val="both"/>
        <w:rPr>
          <w:lang w:val="uk-UA" w:eastAsia="en-US"/>
        </w:rPr>
      </w:pPr>
      <w:r>
        <w:rPr>
          <w:lang w:val="uk-UA" w:eastAsia="uk-UA"/>
        </w:rPr>
        <w:t>Управління ризику середовища; (</w:t>
      </w:r>
      <w:r>
        <w:rPr>
          <w:i/>
          <w:iCs/>
          <w:lang w:val="uk-UA" w:eastAsia="uk-UA"/>
        </w:rPr>
        <w:t>Угорщина і Румунія</w:t>
      </w:r>
      <w:r>
        <w:rPr>
          <w:lang w:val="uk-UA" w:eastAsia="uk-UA"/>
        </w:rPr>
        <w:t xml:space="preserve">); </w:t>
      </w:r>
    </w:p>
    <w:p w:rsidR="00642FB4" w:rsidRDefault="00642FB4">
      <w:pPr>
        <w:numPr>
          <w:ilvl w:val="0"/>
          <w:numId w:val="55"/>
        </w:numPr>
        <w:spacing w:before="60" w:after="60" w:line="288" w:lineRule="auto"/>
        <w:jc w:val="both"/>
        <w:rPr>
          <w:lang w:val="uk-UA" w:eastAsia="en-US"/>
        </w:rPr>
      </w:pPr>
      <w:r>
        <w:rPr>
          <w:lang w:val="uk-UA" w:eastAsia="uk-UA"/>
        </w:rPr>
        <w:t>Збереження біологічної різноманітності, пейзажів і якості води і ґрунту (</w:t>
      </w:r>
      <w:r>
        <w:rPr>
          <w:i/>
          <w:iCs/>
          <w:lang w:val="uk-UA" w:eastAsia="uk-UA"/>
        </w:rPr>
        <w:t>Баварія і Хорватія</w:t>
      </w:r>
      <w:r>
        <w:rPr>
          <w:lang w:val="uk-UA" w:eastAsia="uk-UA"/>
        </w:rPr>
        <w:t>);</w:t>
      </w:r>
    </w:p>
    <w:p w:rsidR="00642FB4" w:rsidRDefault="00642FB4">
      <w:pPr>
        <w:spacing w:before="60" w:after="60" w:line="288" w:lineRule="auto"/>
        <w:ind w:firstLine="720"/>
        <w:jc w:val="both"/>
        <w:rPr>
          <w:lang w:val="uk-UA" w:eastAsia="en-US"/>
        </w:rPr>
      </w:pPr>
      <w:r>
        <w:rPr>
          <w:lang w:val="uk-UA" w:eastAsia="uk-UA"/>
        </w:rPr>
        <w:t>C. збільшення добробуту в регіоні Дунаю</w:t>
      </w:r>
    </w:p>
    <w:p w:rsidR="00642FB4" w:rsidRDefault="00642FB4">
      <w:pPr>
        <w:numPr>
          <w:ilvl w:val="0"/>
          <w:numId w:val="56"/>
        </w:numPr>
        <w:spacing w:before="60" w:after="60" w:line="288" w:lineRule="auto"/>
        <w:jc w:val="both"/>
        <w:rPr>
          <w:lang w:val="uk-UA" w:eastAsia="en-US"/>
        </w:rPr>
      </w:pPr>
      <w:r>
        <w:rPr>
          <w:lang w:val="uk-UA" w:eastAsia="uk-UA"/>
        </w:rPr>
        <w:t>Розвиток суспільства, заснованого на пізнанні через дослідження, освіта і інформаційних технологіях; (</w:t>
      </w:r>
      <w:r>
        <w:rPr>
          <w:i/>
          <w:iCs/>
          <w:lang w:val="uk-UA" w:eastAsia="uk-UA"/>
        </w:rPr>
        <w:t>Сербія і Словаччина</w:t>
      </w:r>
      <w:r>
        <w:rPr>
          <w:lang w:val="uk-UA" w:eastAsia="uk-UA"/>
        </w:rPr>
        <w:t xml:space="preserve">); </w:t>
      </w:r>
    </w:p>
    <w:p w:rsidR="00642FB4" w:rsidRDefault="00642FB4">
      <w:pPr>
        <w:numPr>
          <w:ilvl w:val="0"/>
          <w:numId w:val="56"/>
        </w:numPr>
        <w:spacing w:before="60" w:after="60" w:line="288" w:lineRule="auto"/>
        <w:jc w:val="both"/>
        <w:rPr>
          <w:lang w:val="uk-UA" w:eastAsia="en-US"/>
        </w:rPr>
      </w:pPr>
      <w:r>
        <w:rPr>
          <w:lang w:val="uk-UA" w:eastAsia="uk-UA"/>
        </w:rPr>
        <w:t>Підтримка конкурентоспроможності підприємств, зокрема розвиток кластерів; (</w:t>
      </w:r>
      <w:r>
        <w:rPr>
          <w:i/>
          <w:iCs/>
          <w:lang w:val="uk-UA" w:eastAsia="uk-UA"/>
        </w:rPr>
        <w:t xml:space="preserve">Хорватія і </w:t>
      </w:r>
      <w:r>
        <w:rPr>
          <w:rStyle w:val="Emphasis"/>
        </w:rPr>
        <w:t>Ба́ден</w:t>
      </w:r>
      <w:r>
        <w:rPr>
          <w:rStyle w:val="st"/>
        </w:rPr>
        <w:t>-</w:t>
      </w:r>
      <w:r>
        <w:rPr>
          <w:rStyle w:val="Emphasis"/>
        </w:rPr>
        <w:t>Вю́ртемберг</w:t>
      </w:r>
      <w:r>
        <w:rPr>
          <w:lang w:val="uk-UA" w:eastAsia="uk-UA"/>
        </w:rPr>
        <w:t>)</w:t>
      </w:r>
    </w:p>
    <w:p w:rsidR="00642FB4" w:rsidRDefault="00642FB4">
      <w:pPr>
        <w:numPr>
          <w:ilvl w:val="0"/>
          <w:numId w:val="56"/>
        </w:numPr>
        <w:spacing w:before="60" w:after="60" w:line="288" w:lineRule="auto"/>
        <w:jc w:val="both"/>
        <w:rPr>
          <w:lang w:val="uk-UA" w:eastAsia="en-US"/>
        </w:rPr>
      </w:pPr>
      <w:r>
        <w:rPr>
          <w:lang w:val="uk-UA" w:eastAsia="uk-UA"/>
        </w:rPr>
        <w:t>Інвестиція в людей і здатність; (</w:t>
      </w:r>
      <w:r>
        <w:rPr>
          <w:i/>
          <w:iCs/>
          <w:lang w:val="uk-UA" w:eastAsia="uk-UA"/>
        </w:rPr>
        <w:t>Австрія і Республіка Молдова</w:t>
      </w:r>
      <w:r>
        <w:rPr>
          <w:lang w:val="uk-UA" w:eastAsia="uk-UA"/>
        </w:rPr>
        <w:t>)</w:t>
      </w:r>
    </w:p>
    <w:p w:rsidR="00642FB4" w:rsidRDefault="00642FB4">
      <w:pPr>
        <w:spacing w:before="60" w:after="60" w:line="288" w:lineRule="auto"/>
        <w:ind w:firstLine="720"/>
        <w:jc w:val="both"/>
        <w:rPr>
          <w:lang w:val="uk-UA" w:eastAsia="en-US"/>
        </w:rPr>
      </w:pPr>
      <w:r>
        <w:rPr>
          <w:lang w:val="uk-UA" w:eastAsia="uk-UA"/>
        </w:rPr>
        <w:t>D. зміцнення регіону Дунаю</w:t>
      </w:r>
    </w:p>
    <w:p w:rsidR="00642FB4" w:rsidRDefault="00642FB4">
      <w:pPr>
        <w:numPr>
          <w:ilvl w:val="0"/>
          <w:numId w:val="57"/>
        </w:numPr>
        <w:spacing w:before="60" w:after="60" w:line="288" w:lineRule="auto"/>
        <w:jc w:val="both"/>
        <w:rPr>
          <w:lang w:val="uk-UA" w:eastAsia="en-US"/>
        </w:rPr>
      </w:pPr>
      <w:r>
        <w:rPr>
          <w:lang w:val="uk-UA" w:eastAsia="uk-UA"/>
        </w:rPr>
        <w:t>Поліпшення інституційної здатності і співпраці; (</w:t>
      </w:r>
      <w:r>
        <w:rPr>
          <w:i/>
          <w:iCs/>
          <w:lang w:val="uk-UA" w:eastAsia="uk-UA"/>
        </w:rPr>
        <w:t>Австрія і Словенія</w:t>
      </w:r>
      <w:r>
        <w:rPr>
          <w:lang w:val="uk-UA" w:eastAsia="uk-UA"/>
        </w:rPr>
        <w:t>).</w:t>
      </w:r>
    </w:p>
    <w:p w:rsidR="00642FB4" w:rsidRDefault="00642FB4">
      <w:pPr>
        <w:spacing w:before="60" w:after="60" w:line="288" w:lineRule="auto"/>
        <w:ind w:firstLine="720"/>
        <w:jc w:val="both"/>
        <w:rPr>
          <w:lang w:val="uk-UA" w:eastAsia="en-US"/>
        </w:rPr>
      </w:pPr>
      <w:r>
        <w:rPr>
          <w:lang w:val="uk-UA" w:eastAsia="uk-UA"/>
        </w:rPr>
        <w:t>Спільна співпраця з метою просування безпеки і для вирішення проблем, пов'язаних з організованою злочинністю і важкими злочинами. (</w:t>
      </w:r>
      <w:r>
        <w:rPr>
          <w:i/>
          <w:iCs/>
          <w:lang w:val="uk-UA" w:eastAsia="uk-UA"/>
        </w:rPr>
        <w:t>Баварія і Болгарія</w:t>
      </w:r>
      <w:r>
        <w:rPr>
          <w:lang w:val="uk-UA" w:eastAsia="uk-UA"/>
        </w:rPr>
        <w:t>). Більшість стратегічних тематичних завдань ENI CBC, за винятком соціальної згуртованості і місцевого управління представлені в цій стратегії. Серед пріоритетних напрямків, які стосуються і аспектів / діяльності Програми транскордонної співпраці налічується:</w:t>
      </w:r>
    </w:p>
    <w:p w:rsidR="00642FB4" w:rsidRDefault="00642FB4">
      <w:pPr>
        <w:spacing w:before="60" w:after="60" w:line="288" w:lineRule="auto"/>
        <w:ind w:firstLine="720"/>
        <w:jc w:val="both"/>
        <w:rPr>
          <w:lang w:val="uk-UA" w:eastAsia="en-US"/>
        </w:rPr>
      </w:pPr>
      <w:r>
        <w:rPr>
          <w:lang w:val="uk-UA" w:eastAsia="uk-UA"/>
        </w:rPr>
        <w:t>- з'єднання (інтермодальний транспорт, культура і туризм, енергетичні мережі);</w:t>
      </w:r>
    </w:p>
    <w:p w:rsidR="00642FB4" w:rsidRDefault="00642FB4">
      <w:pPr>
        <w:spacing w:before="60" w:after="60" w:line="288" w:lineRule="auto"/>
        <w:ind w:firstLine="720"/>
        <w:jc w:val="both"/>
        <w:rPr>
          <w:lang w:val="uk-UA" w:eastAsia="en-US"/>
        </w:rPr>
      </w:pPr>
      <w:r>
        <w:rPr>
          <w:lang w:val="uk-UA" w:eastAsia="uk-UA"/>
        </w:rPr>
        <w:t>- захист навколишнього середовища (менеджмент водних ресурсів, захист біологічної різноманітності і менеджмент ризиків);</w:t>
      </w:r>
    </w:p>
    <w:p w:rsidR="00642FB4" w:rsidRDefault="00642FB4">
      <w:pPr>
        <w:spacing w:before="60" w:after="60" w:line="288" w:lineRule="auto"/>
        <w:ind w:firstLine="720"/>
        <w:jc w:val="both"/>
        <w:rPr>
          <w:lang w:val="uk-UA" w:eastAsia="en-US"/>
        </w:rPr>
      </w:pPr>
      <w:r>
        <w:rPr>
          <w:lang w:val="uk-UA" w:eastAsia="uk-UA"/>
        </w:rPr>
        <w:t>- збільшення добробуту регіону Дунай (освіта, дослідження, конкурентоспроможність);</w:t>
      </w:r>
    </w:p>
    <w:p w:rsidR="00642FB4" w:rsidRDefault="00642FB4">
      <w:pPr>
        <w:spacing w:before="60" w:after="60" w:line="288" w:lineRule="auto"/>
        <w:ind w:firstLine="720"/>
        <w:jc w:val="both"/>
        <w:rPr>
          <w:lang w:val="uk-UA" w:eastAsia="en-US"/>
        </w:rPr>
      </w:pPr>
      <w:r>
        <w:rPr>
          <w:lang w:val="uk-UA" w:eastAsia="uk-UA"/>
        </w:rPr>
        <w:t>- поліпшення системи управління (відомча здатність і внутрішня безпека).</w:t>
      </w:r>
    </w:p>
    <w:p w:rsidR="00642FB4" w:rsidRDefault="00642FB4">
      <w:pPr>
        <w:spacing w:before="60" w:after="60" w:line="288" w:lineRule="auto"/>
        <w:ind w:firstLine="720"/>
        <w:jc w:val="both"/>
        <w:rPr>
          <w:lang w:val="uk-UA" w:eastAsia="en-US"/>
        </w:rPr>
      </w:pPr>
      <w:r>
        <w:rPr>
          <w:lang w:val="uk-UA" w:eastAsia="uk-UA"/>
        </w:rPr>
        <w:t>Враховуючи країни, що беруть участь, і регіональний масштаб Стратегії Дунаю, це інтегрований підхід з Програмою транскордонної співпраці для спільної підтримки додаткових мір.</w:t>
      </w:r>
    </w:p>
    <w:p w:rsidR="00642FB4" w:rsidRDefault="00642FB4">
      <w:pPr>
        <w:spacing w:before="60" w:after="60" w:line="288" w:lineRule="auto"/>
        <w:ind w:firstLine="720"/>
        <w:jc w:val="both"/>
        <w:rPr>
          <w:lang w:val="uk-UA" w:eastAsia="en-US"/>
        </w:rPr>
      </w:pPr>
    </w:p>
    <w:p w:rsidR="00642FB4" w:rsidRDefault="00642FB4">
      <w:pPr>
        <w:spacing w:before="60" w:after="60" w:line="288" w:lineRule="auto"/>
        <w:ind w:firstLine="720"/>
        <w:jc w:val="both"/>
        <w:rPr>
          <w:i/>
          <w:iCs/>
          <w:lang w:val="uk-UA" w:eastAsia="en-US"/>
        </w:rPr>
      </w:pPr>
      <w:r>
        <w:rPr>
          <w:i/>
          <w:iCs/>
          <w:lang w:val="uk-UA" w:eastAsia="uk-UA"/>
        </w:rPr>
        <w:t xml:space="preserve">Східне партнерство </w:t>
      </w:r>
    </w:p>
    <w:p w:rsidR="00642FB4" w:rsidRDefault="00642FB4">
      <w:pPr>
        <w:spacing w:before="60" w:after="60" w:line="288" w:lineRule="auto"/>
        <w:ind w:firstLine="720"/>
        <w:jc w:val="both"/>
        <w:rPr>
          <w:lang w:val="uk-UA" w:eastAsia="en-US"/>
        </w:rPr>
      </w:pPr>
      <w:r>
        <w:rPr>
          <w:lang w:val="uk-UA" w:eastAsia="uk-UA"/>
        </w:rPr>
        <w:t xml:space="preserve">Представлення східного масштабу </w:t>
      </w:r>
      <w:r>
        <w:rPr>
          <w:i/>
          <w:iCs/>
          <w:lang w:val="uk-UA" w:eastAsia="uk-UA"/>
        </w:rPr>
        <w:t>Європейської політики сусідства</w:t>
      </w:r>
      <w:r>
        <w:rPr>
          <w:lang w:val="uk-UA" w:eastAsia="uk-UA"/>
        </w:rPr>
        <w:t xml:space="preserve">, було розпочате на саміті, який пройшов в Празі в 2009 році, і було знов підтверджене в 2011 році і пізніше в 2013. Її мета полягає в поглибленні і зміцненні відносин між Європейським Союзом і тими шістьма східними сусідами: Вірменія, Азербайджан, Білорусія, Грузія, Республіка Молдова і Україна. </w:t>
      </w:r>
    </w:p>
    <w:p w:rsidR="00642FB4" w:rsidRDefault="00642FB4">
      <w:pPr>
        <w:spacing w:before="60" w:after="60" w:line="288" w:lineRule="auto"/>
        <w:ind w:firstLine="720"/>
        <w:jc w:val="both"/>
        <w:rPr>
          <w:lang w:val="uk-UA" w:eastAsia="en-US"/>
        </w:rPr>
      </w:pPr>
      <w:r>
        <w:rPr>
          <w:lang w:val="uk-UA" w:eastAsia="uk-UA"/>
        </w:rPr>
        <w:t xml:space="preserve">Східне партнерство структурується на серії ініціатив, так, як слідує: </w:t>
      </w:r>
    </w:p>
    <w:p w:rsidR="00642FB4" w:rsidRDefault="00642FB4">
      <w:pPr>
        <w:numPr>
          <w:ilvl w:val="0"/>
          <w:numId w:val="12"/>
        </w:numPr>
        <w:spacing w:before="60" w:after="60" w:line="288" w:lineRule="auto"/>
        <w:ind w:left="1080"/>
        <w:jc w:val="both"/>
        <w:rPr>
          <w:lang w:val="uk-UA"/>
        </w:rPr>
      </w:pPr>
      <w:r>
        <w:rPr>
          <w:lang w:val="uk-UA" w:eastAsia="uk-UA"/>
        </w:rPr>
        <w:t>Інтегрована система управління кордонами;</w:t>
      </w:r>
    </w:p>
    <w:p w:rsidR="00642FB4" w:rsidRDefault="00642FB4">
      <w:pPr>
        <w:numPr>
          <w:ilvl w:val="0"/>
          <w:numId w:val="12"/>
        </w:numPr>
        <w:spacing w:before="60" w:after="60" w:line="288" w:lineRule="auto"/>
        <w:ind w:left="1080"/>
        <w:jc w:val="both"/>
        <w:rPr>
          <w:lang w:val="uk-UA"/>
        </w:rPr>
      </w:pPr>
      <w:r>
        <w:rPr>
          <w:lang w:val="uk-UA" w:eastAsia="uk-UA"/>
        </w:rPr>
        <w:t xml:space="preserve">Малі та середні підприємства (МСП); </w:t>
      </w:r>
    </w:p>
    <w:p w:rsidR="00642FB4" w:rsidRDefault="00642FB4">
      <w:pPr>
        <w:numPr>
          <w:ilvl w:val="0"/>
          <w:numId w:val="12"/>
        </w:numPr>
        <w:spacing w:before="60" w:after="60" w:line="288" w:lineRule="auto"/>
        <w:ind w:left="1080"/>
        <w:jc w:val="both"/>
        <w:rPr>
          <w:lang w:val="uk-UA"/>
        </w:rPr>
      </w:pPr>
      <w:r>
        <w:rPr>
          <w:lang w:val="uk-UA" w:eastAsia="uk-UA"/>
        </w:rPr>
        <w:t xml:space="preserve">Регіональні ринки енергії і енергетична ефективність; </w:t>
      </w:r>
    </w:p>
    <w:p w:rsidR="00642FB4" w:rsidRDefault="00642FB4">
      <w:pPr>
        <w:numPr>
          <w:ilvl w:val="0"/>
          <w:numId w:val="12"/>
        </w:numPr>
        <w:spacing w:before="60" w:after="60" w:line="288" w:lineRule="auto"/>
        <w:ind w:left="1080"/>
        <w:jc w:val="both"/>
        <w:rPr>
          <w:lang w:val="uk-UA"/>
        </w:rPr>
      </w:pPr>
      <w:r>
        <w:rPr>
          <w:lang w:val="uk-UA" w:eastAsia="uk-UA"/>
        </w:rPr>
        <w:t xml:space="preserve">Диверсифікація постачання енергією; </w:t>
      </w:r>
    </w:p>
    <w:p w:rsidR="00642FB4" w:rsidRDefault="00642FB4">
      <w:pPr>
        <w:numPr>
          <w:ilvl w:val="0"/>
          <w:numId w:val="12"/>
        </w:numPr>
        <w:spacing w:before="60" w:after="60" w:line="288" w:lineRule="auto"/>
        <w:ind w:left="1080"/>
        <w:jc w:val="both"/>
        <w:rPr>
          <w:lang w:val="uk-UA"/>
        </w:rPr>
      </w:pPr>
      <w:r>
        <w:rPr>
          <w:lang w:val="uk-UA" w:eastAsia="uk-UA"/>
        </w:rPr>
        <w:t xml:space="preserve">Попередження, підготовка і відповідь у разі природних катаклізмів або які були викликані людиною; </w:t>
      </w:r>
    </w:p>
    <w:p w:rsidR="00642FB4" w:rsidRDefault="00642FB4">
      <w:pPr>
        <w:numPr>
          <w:ilvl w:val="0"/>
          <w:numId w:val="12"/>
        </w:numPr>
        <w:spacing w:before="60" w:after="60" w:line="288" w:lineRule="auto"/>
        <w:ind w:left="1080"/>
        <w:jc w:val="both"/>
        <w:rPr>
          <w:lang w:val="uk-UA"/>
        </w:rPr>
      </w:pPr>
      <w:r>
        <w:rPr>
          <w:lang w:val="uk-UA" w:eastAsia="uk-UA"/>
        </w:rPr>
        <w:t>Захист навколишнього середовища.</w:t>
      </w:r>
    </w:p>
    <w:p w:rsidR="00642FB4" w:rsidRDefault="00642FB4">
      <w:pPr>
        <w:spacing w:before="60" w:after="60" w:line="288" w:lineRule="auto"/>
        <w:ind w:left="1080"/>
        <w:jc w:val="both"/>
        <w:rPr>
          <w:lang w:val="uk-UA" w:eastAsia="en-US"/>
        </w:rPr>
      </w:pPr>
    </w:p>
    <w:p w:rsidR="00642FB4" w:rsidRDefault="00642FB4">
      <w:pPr>
        <w:spacing w:before="60" w:after="60" w:line="288" w:lineRule="auto"/>
        <w:ind w:left="90" w:firstLine="630"/>
        <w:jc w:val="both"/>
        <w:rPr>
          <w:lang w:val="uk-UA" w:eastAsia="en-US"/>
        </w:rPr>
      </w:pPr>
      <w:r>
        <w:rPr>
          <w:lang w:val="uk-UA" w:eastAsia="uk-UA"/>
        </w:rPr>
        <w:t>Для впровадження тематичних завдань Програми УКРАЇНА-ЄС, враховуватимуться директиви, рішення і регламенти Європейського Союзу щодо якості повітря, поверхневих і ґрунтових вод, ґрунту і надр, кліматичні зміни, менеджмент відходів, здоров'я населення, біологічна різноманітність, збереження культурного населення, ефективне використання ресурсів або національного законодавства (Румунія, і відповідно Україна), якщо воно обмежувальне.</w:t>
      </w:r>
    </w:p>
    <w:p w:rsidR="00642FB4" w:rsidRDefault="00642FB4">
      <w:pPr>
        <w:spacing w:before="60" w:after="60" w:line="288" w:lineRule="auto"/>
        <w:ind w:left="720" w:firstLine="720"/>
        <w:jc w:val="both"/>
        <w:rPr>
          <w:lang w:val="uk-UA" w:eastAsia="en-US"/>
        </w:rPr>
      </w:pPr>
    </w:p>
    <w:p w:rsidR="00642FB4" w:rsidRDefault="00642FB4">
      <w:pPr>
        <w:spacing w:before="60" w:after="60" w:line="288" w:lineRule="auto"/>
        <w:ind w:firstLine="709"/>
        <w:jc w:val="both"/>
        <w:rPr>
          <w:lang w:val="uk-UA" w:eastAsia="en-US"/>
        </w:rPr>
      </w:pPr>
      <w:r>
        <w:rPr>
          <w:lang w:val="uk-UA" w:eastAsia="uk-UA"/>
        </w:rPr>
        <w:t>Розвиток вказівних дій програми враховуватиме заходи, які необхідні для виконання вимог Конвенції Організації Об'єднаних Націй по кліматичних змінах і Кіотського протоколу. Також, необхідно враховувати і всі інші політики або національні або європейські стратегії щодо адаптації або скорочення ефектів кліматичних змін.</w:t>
      </w:r>
    </w:p>
    <w:p w:rsidR="00642FB4" w:rsidRDefault="00642FB4">
      <w:pPr>
        <w:spacing w:before="60" w:after="60" w:line="288" w:lineRule="auto"/>
        <w:ind w:firstLine="709"/>
        <w:jc w:val="both"/>
        <w:rPr>
          <w:lang w:val="uk-UA" w:eastAsia="en-US"/>
        </w:rPr>
      </w:pPr>
      <w:r>
        <w:rPr>
          <w:lang w:val="uk-UA" w:eastAsia="uk-UA"/>
        </w:rPr>
        <w:t xml:space="preserve">Проекти, які просуватимуться через відповідну діяльність програми повинні дотримувати законні рамки і положення Двосторонньої угоди між Румунією і Україною у сфері господарювання води, а саме </w:t>
      </w:r>
      <w:r>
        <w:rPr>
          <w:i/>
          <w:iCs/>
          <w:lang w:val="uk-UA" w:eastAsia="uk-UA"/>
        </w:rPr>
        <w:t>Угода між Урядом Румунії і Урядом України щодо співпраці у сфері господарювання прикордонних вод</w:t>
      </w:r>
      <w:r>
        <w:rPr>
          <w:lang w:val="uk-UA" w:eastAsia="uk-UA"/>
        </w:rPr>
        <w:t>, підписане 30 вересня 1997 року в місті Галаць, і ратифікована Законом № 16/1999.</w:t>
      </w:r>
    </w:p>
    <w:p w:rsidR="00642FB4" w:rsidRDefault="00642FB4">
      <w:pPr>
        <w:spacing w:before="60" w:after="60" w:line="288" w:lineRule="auto"/>
        <w:ind w:firstLine="709"/>
        <w:jc w:val="both"/>
        <w:rPr>
          <w:lang w:val="uk-UA" w:eastAsia="en-US"/>
        </w:rPr>
      </w:pPr>
    </w:p>
    <w:p w:rsidR="00642FB4" w:rsidRDefault="00642FB4">
      <w:pPr>
        <w:spacing w:before="60" w:after="60" w:line="288" w:lineRule="auto"/>
        <w:ind w:firstLine="709"/>
        <w:jc w:val="both"/>
        <w:rPr>
          <w:lang w:val="uk-UA" w:eastAsia="en-US"/>
        </w:rPr>
        <w:sectPr w:rsidR="00642FB4">
          <w:headerReference w:type="default" r:id="rId140"/>
          <w:footerReference w:type="default" r:id="rId141"/>
          <w:pgSz w:w="11909" w:h="16834" w:code="9"/>
          <w:pgMar w:top="567" w:right="849" w:bottom="567" w:left="1134" w:header="284" w:footer="0" w:gutter="0"/>
          <w:cols w:space="708"/>
          <w:docGrid w:linePitch="360"/>
        </w:sectPr>
      </w:pPr>
    </w:p>
    <w:bookmarkEnd w:id="32"/>
    <w:p w:rsidR="00642FB4" w:rsidRDefault="00642FB4">
      <w:pPr>
        <w:rPr>
          <w:lang w:val="uk-UA"/>
        </w:rPr>
      </w:pPr>
    </w:p>
    <w:p w:rsidR="00642FB4" w:rsidRPr="001D2B9A" w:rsidRDefault="00642FB4" w:rsidP="001D2B9A">
      <w:pPr>
        <w:pStyle w:val="Title"/>
        <w:numPr>
          <w:ilvl w:val="0"/>
          <w:numId w:val="5"/>
        </w:numPr>
        <w:rPr>
          <w:rFonts w:ascii="Arial" w:hAnsi="Arial" w:cs="Arial"/>
          <w:sz w:val="24"/>
          <w:szCs w:val="24"/>
          <w:lang w:bidi="uk-UA"/>
        </w:rPr>
      </w:pPr>
      <w:bookmarkStart w:id="46" w:name="_Toc419199673"/>
      <w:bookmarkStart w:id="47" w:name="_Toc412114140"/>
      <w:bookmarkStart w:id="48" w:name="_Toc418279314"/>
      <w:r w:rsidRPr="001D2B9A">
        <w:rPr>
          <w:rFonts w:ascii="Arial" w:hAnsi="Arial" w:cs="Arial"/>
          <w:sz w:val="24"/>
          <w:szCs w:val="24"/>
          <w:lang w:bidi="uk-UA"/>
        </w:rPr>
        <w:t xml:space="preserve">МОЖЛИВІСТЬ ЗНАЧНОГО </w:t>
      </w:r>
      <w:r w:rsidRPr="001D2B9A">
        <w:rPr>
          <w:rFonts w:ascii="Arial" w:eastAsia="Calibri" w:hAnsi="Arial" w:cs="Arial"/>
          <w:sz w:val="24"/>
          <w:szCs w:val="24"/>
          <w:lang w:bidi="uk-UA"/>
        </w:rPr>
        <w:t>ВПЛИВУ НА НАВКОЛИШНЄ СЕРЕДОВИЩЕ</w:t>
      </w:r>
      <w:r w:rsidRPr="001D2B9A">
        <w:rPr>
          <w:rFonts w:ascii="Arial" w:hAnsi="Arial" w:cs="Arial"/>
          <w:sz w:val="24"/>
          <w:szCs w:val="24"/>
          <w:lang w:bidi="uk-UA"/>
        </w:rPr>
        <w:t>, В ТОМУ ЧИСЛІ З ТАКИХ ПИТАНЬ, ЯК БІОРІЗНОМАНІТТЯ, НАСЕЛЕННЯ, ЗДОРОВ'Я ЛЮДИНИ, ФАУНИ, ФЛОРИ, ҐРУНТУ, ВОДИ, ПОВІТРЯ, КЛІМАТИЧНИХ ФАКТОРІВ, МАТЕРІАЛЬНИХ ЦІННОСТЕЙ, КУЛЬТУРНОЇ СПАДЩИНИ, ВКЛЮЧАЮЧИ АРХІТЕКТУРНУ І АРХЕОЛОГІЧНУ СПАДЩИНУ, ПЕЙЗАЖ І ВЗАЄМОДІЯ МІЖ ЦИМИ ФАКТОРАМИ</w:t>
      </w:r>
      <w:bookmarkEnd w:id="46"/>
    </w:p>
    <w:p w:rsidR="00642FB4" w:rsidRDefault="00642FB4">
      <w:pPr>
        <w:jc w:val="both"/>
        <w:rPr>
          <w:rFonts w:cs="Arial"/>
          <w:b/>
          <w:lang w:val="uk-UA" w:bidi="uk-UA"/>
        </w:rPr>
      </w:pPr>
    </w:p>
    <w:p w:rsidR="00642FB4" w:rsidRDefault="00642FB4">
      <w:pPr>
        <w:ind w:firstLine="720"/>
        <w:jc w:val="both"/>
        <w:rPr>
          <w:rFonts w:cs="Arial"/>
          <w:b/>
          <w:lang w:val="uk-UA" w:bidi="uk-UA"/>
        </w:rPr>
      </w:pPr>
    </w:p>
    <w:p w:rsidR="00642FB4" w:rsidRDefault="00642FB4">
      <w:pPr>
        <w:spacing w:before="60" w:after="60" w:line="288" w:lineRule="auto"/>
        <w:jc w:val="both"/>
        <w:rPr>
          <w:rFonts w:cs="Arial"/>
          <w:b/>
          <w:lang w:val="uk-UA" w:eastAsia="uk-UA" w:bidi="uk-UA"/>
        </w:rPr>
      </w:pPr>
      <w:r>
        <w:rPr>
          <w:rFonts w:cs="Arial"/>
          <w:b/>
          <w:lang w:val="uk-UA" w:eastAsia="uk-UA" w:bidi="uk-UA"/>
        </w:rPr>
        <w:t>ТЦ 2 - ПІДТРИМКА ОСВІТИ, ДОСЛІДЖЕНЬ, РОЗВІТКУ ТА ТЕХОЛОГІЧНИХ ІННОВАЦІЙ</w:t>
      </w:r>
    </w:p>
    <w:p w:rsidR="00642FB4" w:rsidRDefault="00642FB4">
      <w:pPr>
        <w:spacing w:before="60" w:after="60" w:line="288" w:lineRule="auto"/>
        <w:jc w:val="both"/>
        <w:rPr>
          <w:rFonts w:cs="Arial"/>
          <w:i/>
          <w:lang w:val="uk-UA" w:eastAsia="uk-UA" w:bidi="uk-UA"/>
        </w:rPr>
      </w:pPr>
      <w:r>
        <w:rPr>
          <w:rFonts w:cs="Arial"/>
          <w:i/>
          <w:lang w:val="uk-UA" w:eastAsia="uk-UA" w:bidi="uk-UA"/>
        </w:rPr>
        <w:t>Мета 1: Розвиток системи освіти та підтримка досліджень та інновацій в галузі Програми шляхом сприяння співробітництва на місцевому, регіональному та центральному рівні.</w:t>
      </w:r>
    </w:p>
    <w:p w:rsidR="00642FB4" w:rsidRDefault="00642FB4">
      <w:pPr>
        <w:spacing w:before="60" w:after="60" w:line="288" w:lineRule="auto"/>
        <w:jc w:val="both"/>
        <w:rPr>
          <w:rFonts w:cs="Arial"/>
          <w:i/>
          <w:lang w:val="uk-UA" w:eastAsia="uk-UA" w:bidi="uk-UA"/>
        </w:rPr>
      </w:pPr>
    </w:p>
    <w:p w:rsidR="00642FB4" w:rsidRDefault="00642FB4">
      <w:pPr>
        <w:spacing w:before="60" w:after="60" w:line="288" w:lineRule="auto"/>
        <w:jc w:val="both"/>
        <w:rPr>
          <w:rFonts w:cs="Arial"/>
          <w:b/>
          <w:lang w:val="uk-UA" w:eastAsia="uk-UA" w:bidi="uk-UA"/>
        </w:rPr>
      </w:pPr>
      <w:r>
        <w:rPr>
          <w:rFonts w:cs="Arial"/>
          <w:b/>
          <w:lang w:val="uk-UA" w:eastAsia="uk-UA" w:bidi="uk-UA"/>
        </w:rPr>
        <w:t>Пріоритет 1.1 - Інституційне співробітництво в галузі освіти для розширення доступу до освіти та підвищення якості освіти</w:t>
      </w:r>
    </w:p>
    <w:tbl>
      <w:tblPr>
        <w:tblW w:w="97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4790"/>
        <w:gridCol w:w="2422"/>
        <w:gridCol w:w="1987"/>
      </w:tblGrid>
      <w:tr w:rsidR="00642FB4">
        <w:trPr>
          <w:tblHeader/>
          <w:jc w:val="center"/>
        </w:trPr>
        <w:tc>
          <w:tcPr>
            <w:tcW w:w="545"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bookmarkStart w:id="49" w:name="_Toc413833669"/>
            <w:bookmarkStart w:id="50" w:name="_Toc414266793"/>
            <w:r>
              <w:rPr>
                <w:rFonts w:cs="Arial"/>
                <w:b/>
                <w:lang w:val="uk-UA" w:eastAsia="uk-UA" w:bidi="uk-UA"/>
              </w:rPr>
              <w:t xml:space="preserve">№ </w:t>
            </w:r>
            <w:bookmarkEnd w:id="49"/>
            <w:bookmarkEnd w:id="50"/>
          </w:p>
        </w:tc>
        <w:tc>
          <w:tcPr>
            <w:tcW w:w="5121"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 xml:space="preserve">Індикативна діяльність </w:t>
            </w:r>
          </w:p>
        </w:tc>
        <w:tc>
          <w:tcPr>
            <w:tcW w:w="205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Екологічні аспекти і завдання, які розглядатимуться</w:t>
            </w:r>
          </w:p>
        </w:tc>
        <w:tc>
          <w:tcPr>
            <w:tcW w:w="2018"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Потенційний вплив</w:t>
            </w:r>
          </w:p>
        </w:tc>
      </w:tr>
      <w:tr w:rsidR="00642FB4">
        <w:trPr>
          <w:jc w:val="center"/>
        </w:trPr>
        <w:tc>
          <w:tcPr>
            <w:tcW w:w="545"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bookmarkStart w:id="51" w:name="_Toc413833678"/>
            <w:bookmarkStart w:id="52" w:name="_Toc414266802"/>
            <w:r>
              <w:rPr>
                <w:rFonts w:cs="Arial"/>
                <w:lang w:val="uk-UA" w:eastAsia="uk-UA" w:bidi="uk-UA"/>
              </w:rPr>
              <w:t>1.</w:t>
            </w:r>
            <w:bookmarkEnd w:id="51"/>
            <w:bookmarkEnd w:id="52"/>
          </w:p>
        </w:tc>
        <w:tc>
          <w:tcPr>
            <w:tcW w:w="5121"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Спільне планування та розробка освітніх стратегій</w:t>
            </w:r>
          </w:p>
        </w:tc>
        <w:tc>
          <w:tcPr>
            <w:tcW w:w="205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2018"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jc w:val="center"/>
        </w:trPr>
        <w:tc>
          <w:tcPr>
            <w:tcW w:w="545" w:type="dxa"/>
            <w:vMerge w:val="restart"/>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bookmarkStart w:id="53" w:name="_Toc413833681"/>
            <w:bookmarkStart w:id="54" w:name="_Toc414266805"/>
            <w:r>
              <w:rPr>
                <w:rFonts w:cs="Arial"/>
                <w:lang w:val="uk-UA" w:eastAsia="uk-UA" w:bidi="uk-UA"/>
              </w:rPr>
              <w:t>2.</w:t>
            </w:r>
            <w:bookmarkEnd w:id="53"/>
            <w:bookmarkEnd w:id="54"/>
          </w:p>
        </w:tc>
        <w:tc>
          <w:tcPr>
            <w:tcW w:w="5121"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Обмін досвідом, обміни між викладачами, передача передового досвіду між установами по обидва сторони кордону з метою підвищення ефективності освіти шляхом диверсифікації навчальних програм для працівників в освітній системі:</w:t>
            </w:r>
          </w:p>
        </w:tc>
        <w:tc>
          <w:tcPr>
            <w:tcW w:w="2054" w:type="dxa"/>
            <w:tcBorders>
              <w:top w:val="single" w:sz="4" w:space="0" w:color="auto"/>
              <w:left w:val="single" w:sz="4" w:space="0" w:color="auto"/>
              <w:bottom w:val="single" w:sz="4" w:space="0" w:color="auto"/>
              <w:right w:val="single" w:sz="4" w:space="0" w:color="auto"/>
            </w:tcBorders>
            <w:vAlign w:val="center"/>
          </w:tcPr>
          <w:p w:rsidR="00642FB4" w:rsidRDefault="00642FB4">
            <w:pPr>
              <w:jc w:val="both"/>
              <w:rPr>
                <w:rFonts w:cs="Arial"/>
                <w:lang w:val="uk-UA" w:eastAsia="uk-UA" w:bidi="uk-UA"/>
              </w:rPr>
            </w:pPr>
          </w:p>
        </w:tc>
        <w:tc>
          <w:tcPr>
            <w:tcW w:w="2018" w:type="dxa"/>
            <w:tcBorders>
              <w:top w:val="single" w:sz="4" w:space="0" w:color="auto"/>
              <w:left w:val="single" w:sz="4" w:space="0" w:color="auto"/>
              <w:bottom w:val="single" w:sz="4" w:space="0" w:color="auto"/>
              <w:right w:val="single" w:sz="4" w:space="0" w:color="auto"/>
            </w:tcBorders>
            <w:vAlign w:val="center"/>
          </w:tcPr>
          <w:p w:rsidR="00642FB4" w:rsidRDefault="00642FB4">
            <w:pPr>
              <w:jc w:val="both"/>
              <w:rPr>
                <w:rFonts w:cs="Arial"/>
                <w:lang w:val="uk-UA" w:eastAsia="uk-UA" w:bidi="uk-UA"/>
              </w:rPr>
            </w:pPr>
          </w:p>
        </w:tc>
      </w:tr>
      <w:tr w:rsidR="00642FB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42FB4" w:rsidRDefault="00642FB4">
            <w:pPr>
              <w:rPr>
                <w:rFonts w:cs="Arial"/>
                <w:lang w:val="uk-UA" w:eastAsia="uk-UA" w:bidi="uk-UA"/>
              </w:rPr>
            </w:pPr>
          </w:p>
        </w:tc>
        <w:tc>
          <w:tcPr>
            <w:tcW w:w="5121"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 розвиток  шкільної системи, шкільного менеджменту, розвиток відносин між школою та суспільством</w:t>
            </w:r>
          </w:p>
        </w:tc>
        <w:tc>
          <w:tcPr>
            <w:tcW w:w="205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2018"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42FB4" w:rsidRDefault="00642FB4">
            <w:pPr>
              <w:rPr>
                <w:rFonts w:cs="Arial"/>
                <w:lang w:val="uk-UA" w:eastAsia="uk-UA" w:bidi="uk-UA"/>
              </w:rPr>
            </w:pPr>
          </w:p>
        </w:tc>
        <w:tc>
          <w:tcPr>
            <w:tcW w:w="5121" w:type="dxa"/>
            <w:tcBorders>
              <w:top w:val="single" w:sz="4" w:space="0" w:color="auto"/>
              <w:left w:val="single" w:sz="4" w:space="0" w:color="auto"/>
              <w:bottom w:val="single" w:sz="4" w:space="0" w:color="auto"/>
              <w:right w:val="single" w:sz="4" w:space="0" w:color="auto"/>
            </w:tcBorders>
            <w:vAlign w:val="center"/>
            <w:hideMark/>
          </w:tcPr>
          <w:p w:rsidR="00642FB4" w:rsidRDefault="00642FB4">
            <w:pPr>
              <w:ind w:left="41" w:hanging="41"/>
              <w:jc w:val="both"/>
              <w:rPr>
                <w:rFonts w:cs="Arial"/>
                <w:lang w:val="uk-UA" w:eastAsia="uk-UA" w:bidi="uk-UA"/>
              </w:rPr>
            </w:pPr>
            <w:r>
              <w:rPr>
                <w:rFonts w:cs="Arial"/>
                <w:lang w:val="uk-UA" w:eastAsia="uk-UA" w:bidi="uk-UA"/>
              </w:rPr>
              <w:t>- розробка і застосування інноваційних методів навчання для підвищення кваліфікації викладачів, для полегшення навчання і підвищення вмотивованості студентів</w:t>
            </w:r>
          </w:p>
        </w:tc>
        <w:tc>
          <w:tcPr>
            <w:tcW w:w="205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2018"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jc w:val="center"/>
        </w:trPr>
        <w:tc>
          <w:tcPr>
            <w:tcW w:w="545"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bookmarkStart w:id="55" w:name="_Toc413833687"/>
            <w:bookmarkStart w:id="56" w:name="_Toc414266811"/>
            <w:r>
              <w:rPr>
                <w:rFonts w:cs="Arial"/>
                <w:lang w:val="uk-UA" w:eastAsia="uk-UA" w:bidi="uk-UA"/>
              </w:rPr>
              <w:t>3.</w:t>
            </w:r>
            <w:bookmarkEnd w:id="55"/>
            <w:bookmarkEnd w:id="56"/>
          </w:p>
        </w:tc>
        <w:tc>
          <w:tcPr>
            <w:tcW w:w="5121"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Розробка спільних освітніх програм в області підприємництва, програми, які стимулюють творчість, інновації та роблять громадян більш активними</w:t>
            </w:r>
          </w:p>
        </w:tc>
        <w:tc>
          <w:tcPr>
            <w:tcW w:w="205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2018"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jc w:val="center"/>
        </w:trPr>
        <w:tc>
          <w:tcPr>
            <w:tcW w:w="545"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bookmarkStart w:id="57" w:name="_Toc413833691"/>
            <w:bookmarkStart w:id="58" w:name="_Toc414266815"/>
            <w:r>
              <w:rPr>
                <w:rFonts w:cs="Arial"/>
                <w:lang w:val="uk-UA" w:eastAsia="uk-UA" w:bidi="uk-UA"/>
              </w:rPr>
              <w:t>4.</w:t>
            </w:r>
            <w:bookmarkEnd w:id="57"/>
            <w:bookmarkEnd w:id="58"/>
          </w:p>
        </w:tc>
        <w:tc>
          <w:tcPr>
            <w:tcW w:w="5121"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 xml:space="preserve"> Реабілітація / модернізація / розширення / придбання обладнання для розвитку освітньої інфраструктури та забезпечення матеріальних передумов для отримання якісної освіти та підвищення участі в освітньому процесі.</w:t>
            </w:r>
          </w:p>
        </w:tc>
        <w:tc>
          <w:tcPr>
            <w:tcW w:w="2054"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p>
          <w:p w:rsidR="00642FB4" w:rsidRDefault="00642FB4">
            <w:pPr>
              <w:jc w:val="both"/>
              <w:rPr>
                <w:rFonts w:cs="Arial"/>
                <w:lang w:val="uk-UA" w:eastAsia="uk-UA" w:bidi="uk-UA"/>
              </w:rPr>
            </w:pPr>
            <w:r>
              <w:rPr>
                <w:rFonts w:cs="Arial"/>
                <w:lang w:val="uk-UA" w:eastAsia="uk-UA" w:bidi="uk-UA"/>
              </w:rPr>
              <w:t>Ефективне використання ресурсів</w:t>
            </w:r>
          </w:p>
          <w:p w:rsidR="00642FB4" w:rsidRDefault="00642FB4">
            <w:pPr>
              <w:jc w:val="both"/>
              <w:rPr>
                <w:rFonts w:cs="Arial"/>
                <w:lang w:val="uk-UA" w:eastAsia="uk-UA" w:bidi="uk-UA"/>
              </w:rPr>
            </w:pPr>
            <w:r>
              <w:rPr>
                <w:rFonts w:cs="Arial"/>
                <w:lang w:val="uk-UA" w:eastAsia="uk-UA" w:bidi="uk-UA"/>
              </w:rPr>
              <w:t>Менеджмент  відходів</w:t>
            </w:r>
          </w:p>
        </w:tc>
        <w:tc>
          <w:tcPr>
            <w:tcW w:w="2018"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Позитивний</w:t>
            </w:r>
          </w:p>
          <w:p w:rsidR="00642FB4" w:rsidRDefault="00642FB4">
            <w:pPr>
              <w:jc w:val="both"/>
              <w:rPr>
                <w:rFonts w:cs="Arial"/>
                <w:lang w:val="uk-UA" w:eastAsia="uk-UA" w:bidi="uk-UA"/>
              </w:rPr>
            </w:pPr>
            <w:r>
              <w:rPr>
                <w:rFonts w:cs="Arial"/>
                <w:lang w:val="uk-UA" w:eastAsia="uk-UA" w:bidi="uk-UA"/>
              </w:rPr>
              <w:t>Низьке споживання енергії, сировини, небезпечних речовин</w:t>
            </w:r>
          </w:p>
          <w:p w:rsidR="00642FB4" w:rsidRDefault="00642FB4">
            <w:pPr>
              <w:jc w:val="both"/>
              <w:rPr>
                <w:rFonts w:cs="Arial"/>
                <w:lang w:val="uk-UA" w:eastAsia="uk-UA" w:bidi="uk-UA"/>
              </w:rPr>
            </w:pPr>
            <w:r>
              <w:rPr>
                <w:rFonts w:cs="Arial"/>
                <w:lang w:val="uk-UA" w:eastAsia="uk-UA" w:bidi="uk-UA"/>
              </w:rPr>
              <w:t>Відновлення / утилізація відходів</w:t>
            </w:r>
          </w:p>
        </w:tc>
      </w:tr>
      <w:tr w:rsidR="00642FB4">
        <w:trPr>
          <w:jc w:val="center"/>
        </w:trPr>
        <w:tc>
          <w:tcPr>
            <w:tcW w:w="545" w:type="dxa"/>
            <w:vMerge w:val="restart"/>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bookmarkStart w:id="59" w:name="_Toc413833697"/>
            <w:bookmarkStart w:id="60" w:name="_Toc414266821"/>
            <w:r>
              <w:rPr>
                <w:rFonts w:cs="Arial"/>
                <w:lang w:val="uk-UA" w:eastAsia="uk-UA" w:bidi="uk-UA"/>
              </w:rPr>
              <w:t>5.</w:t>
            </w:r>
            <w:bookmarkEnd w:id="59"/>
            <w:bookmarkEnd w:id="60"/>
          </w:p>
        </w:tc>
        <w:tc>
          <w:tcPr>
            <w:tcW w:w="5121"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Розробка та впровадження партнерських відносин між освітніми установами на обох сторонах кордону для:</w:t>
            </w:r>
          </w:p>
        </w:tc>
        <w:tc>
          <w:tcPr>
            <w:tcW w:w="2054" w:type="dxa"/>
            <w:tcBorders>
              <w:top w:val="single" w:sz="4" w:space="0" w:color="auto"/>
              <w:left w:val="single" w:sz="4" w:space="0" w:color="auto"/>
              <w:bottom w:val="single" w:sz="4" w:space="0" w:color="auto"/>
              <w:right w:val="single" w:sz="4" w:space="0" w:color="auto"/>
            </w:tcBorders>
            <w:vAlign w:val="center"/>
          </w:tcPr>
          <w:p w:rsidR="00642FB4" w:rsidRDefault="00642FB4">
            <w:pPr>
              <w:jc w:val="both"/>
              <w:rPr>
                <w:rFonts w:cs="Arial"/>
                <w:lang w:val="uk-UA" w:eastAsia="uk-UA" w:bidi="uk-UA"/>
              </w:rPr>
            </w:pPr>
          </w:p>
        </w:tc>
        <w:tc>
          <w:tcPr>
            <w:tcW w:w="2018" w:type="dxa"/>
            <w:tcBorders>
              <w:top w:val="single" w:sz="4" w:space="0" w:color="auto"/>
              <w:left w:val="single" w:sz="4" w:space="0" w:color="auto"/>
              <w:bottom w:val="single" w:sz="4" w:space="0" w:color="auto"/>
              <w:right w:val="single" w:sz="4" w:space="0" w:color="auto"/>
            </w:tcBorders>
            <w:vAlign w:val="center"/>
          </w:tcPr>
          <w:p w:rsidR="00642FB4" w:rsidRDefault="00642FB4">
            <w:pPr>
              <w:jc w:val="both"/>
              <w:rPr>
                <w:rFonts w:cs="Arial"/>
                <w:lang w:val="uk-UA" w:eastAsia="uk-UA" w:bidi="uk-UA"/>
              </w:rPr>
            </w:pPr>
          </w:p>
        </w:tc>
      </w:tr>
      <w:tr w:rsidR="00642FB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42FB4" w:rsidRDefault="00642FB4">
            <w:pPr>
              <w:rPr>
                <w:rFonts w:cs="Arial"/>
                <w:lang w:val="uk-UA" w:eastAsia="uk-UA" w:bidi="uk-UA"/>
              </w:rPr>
            </w:pPr>
          </w:p>
        </w:tc>
        <w:tc>
          <w:tcPr>
            <w:tcW w:w="5121"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bookmarkStart w:id="61" w:name="_Toc413833698"/>
            <w:bookmarkStart w:id="62" w:name="_Toc414266822"/>
            <w:r>
              <w:rPr>
                <w:rFonts w:cs="Arial"/>
                <w:lang w:val="uk-UA" w:eastAsia="uk-UA" w:bidi="uk-UA"/>
              </w:rPr>
              <w:t xml:space="preserve">- </w:t>
            </w:r>
            <w:bookmarkEnd w:id="61"/>
            <w:bookmarkEnd w:id="62"/>
            <w:r>
              <w:rPr>
                <w:rFonts w:cs="Arial"/>
                <w:lang w:val="uk-UA" w:eastAsia="uk-UA" w:bidi="uk-UA"/>
              </w:rPr>
              <w:t>запобігання і коректування явища відсіву учнів та раннього залишення школи в рамках комплексних програм (у тому числі через інформаційні кампаній для усвідомлення), щоб запобігти вибуття учнів з курсів і заохочувати їх участь в шкільному процесі та реінтеграції тих, хто покинув систему освіти до закінчення  освіти</w:t>
            </w:r>
          </w:p>
        </w:tc>
        <w:tc>
          <w:tcPr>
            <w:tcW w:w="205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2018"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42FB4" w:rsidRDefault="00642FB4">
            <w:pPr>
              <w:rPr>
                <w:rFonts w:cs="Arial"/>
                <w:lang w:val="uk-UA" w:eastAsia="uk-UA" w:bidi="uk-UA"/>
              </w:rPr>
            </w:pPr>
          </w:p>
        </w:tc>
        <w:tc>
          <w:tcPr>
            <w:tcW w:w="5121"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 розробка програм "після школи" та позакласних заходів</w:t>
            </w:r>
          </w:p>
        </w:tc>
        <w:tc>
          <w:tcPr>
            <w:tcW w:w="205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2018"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jc w:val="center"/>
        </w:trPr>
        <w:tc>
          <w:tcPr>
            <w:tcW w:w="545" w:type="dxa"/>
            <w:vMerge w:val="restart"/>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bookmarkStart w:id="63" w:name="_Toc413833703"/>
            <w:bookmarkStart w:id="64" w:name="_Toc414266827"/>
            <w:r>
              <w:rPr>
                <w:rFonts w:cs="Arial"/>
                <w:lang w:val="uk-UA" w:eastAsia="uk-UA" w:bidi="uk-UA"/>
              </w:rPr>
              <w:t>6.</w:t>
            </w:r>
            <w:bookmarkEnd w:id="63"/>
            <w:bookmarkEnd w:id="64"/>
          </w:p>
        </w:tc>
        <w:tc>
          <w:tcPr>
            <w:tcW w:w="5121"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Розробка і реалізація спільних дії для підтримки вразливих груп населення:</w:t>
            </w:r>
          </w:p>
        </w:tc>
        <w:tc>
          <w:tcPr>
            <w:tcW w:w="2054" w:type="dxa"/>
            <w:tcBorders>
              <w:top w:val="single" w:sz="4" w:space="0" w:color="auto"/>
              <w:left w:val="single" w:sz="4" w:space="0" w:color="auto"/>
              <w:bottom w:val="single" w:sz="4" w:space="0" w:color="auto"/>
              <w:right w:val="single" w:sz="4" w:space="0" w:color="auto"/>
            </w:tcBorders>
            <w:vAlign w:val="center"/>
          </w:tcPr>
          <w:p w:rsidR="00642FB4" w:rsidRDefault="00642FB4">
            <w:pPr>
              <w:jc w:val="both"/>
              <w:rPr>
                <w:rFonts w:cs="Arial"/>
                <w:lang w:val="uk-UA" w:eastAsia="uk-UA" w:bidi="uk-UA"/>
              </w:rPr>
            </w:pPr>
          </w:p>
        </w:tc>
        <w:tc>
          <w:tcPr>
            <w:tcW w:w="2018" w:type="dxa"/>
            <w:tcBorders>
              <w:top w:val="single" w:sz="4" w:space="0" w:color="auto"/>
              <w:left w:val="single" w:sz="4" w:space="0" w:color="auto"/>
              <w:bottom w:val="single" w:sz="4" w:space="0" w:color="auto"/>
              <w:right w:val="single" w:sz="4" w:space="0" w:color="auto"/>
            </w:tcBorders>
            <w:vAlign w:val="center"/>
          </w:tcPr>
          <w:p w:rsidR="00642FB4" w:rsidRDefault="00642FB4">
            <w:pPr>
              <w:jc w:val="both"/>
              <w:rPr>
                <w:rFonts w:cs="Arial"/>
                <w:lang w:val="uk-UA" w:eastAsia="uk-UA" w:bidi="uk-UA"/>
              </w:rPr>
            </w:pPr>
          </w:p>
        </w:tc>
      </w:tr>
      <w:tr w:rsidR="00642FB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42FB4" w:rsidRDefault="00642FB4">
            <w:pPr>
              <w:rPr>
                <w:rFonts w:cs="Arial"/>
                <w:lang w:val="uk-UA" w:eastAsia="uk-UA" w:bidi="uk-UA"/>
              </w:rPr>
            </w:pPr>
          </w:p>
        </w:tc>
        <w:tc>
          <w:tcPr>
            <w:tcW w:w="5121"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 інтегровані дії, спрямовані на підтримку дітей та молоді які мають батьків, що проживають за кордоном (які можуть включати в себе, серед іншого, консультування та інформування, програми "після школи", освітні та культурні заходи)</w:t>
            </w:r>
          </w:p>
        </w:tc>
        <w:tc>
          <w:tcPr>
            <w:tcW w:w="205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2018"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42FB4" w:rsidRDefault="00642FB4">
            <w:pPr>
              <w:rPr>
                <w:rFonts w:cs="Arial"/>
                <w:lang w:val="uk-UA" w:eastAsia="uk-UA" w:bidi="uk-UA"/>
              </w:rPr>
            </w:pPr>
          </w:p>
        </w:tc>
        <w:tc>
          <w:tcPr>
            <w:tcW w:w="5121"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 дії, спрямовані на сприяння соціальній інтеграції людей з обмеженими фізичними можливостями (діти, молодь та дорослі)</w:t>
            </w:r>
          </w:p>
        </w:tc>
        <w:tc>
          <w:tcPr>
            <w:tcW w:w="205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2018"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jc w:val="center"/>
        </w:trPr>
        <w:tc>
          <w:tcPr>
            <w:tcW w:w="545"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bookmarkStart w:id="65" w:name="_Toc413833708"/>
            <w:bookmarkStart w:id="66" w:name="_Toc414266832"/>
            <w:r>
              <w:rPr>
                <w:rFonts w:cs="Arial"/>
                <w:lang w:val="uk-UA" w:eastAsia="uk-UA" w:bidi="uk-UA"/>
              </w:rPr>
              <w:t>7.</w:t>
            </w:r>
            <w:bookmarkEnd w:id="65"/>
            <w:bookmarkEnd w:id="66"/>
          </w:p>
        </w:tc>
        <w:tc>
          <w:tcPr>
            <w:tcW w:w="5121"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Підтримка молоді (в тому числі через освітні кампанії) для запобігання зловживання наркотиками, торгівлю людьми, зловживання алкоголем і т.д.</w:t>
            </w:r>
          </w:p>
        </w:tc>
        <w:tc>
          <w:tcPr>
            <w:tcW w:w="205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2018"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trHeight w:val="457"/>
          <w:jc w:val="center"/>
        </w:trPr>
        <w:tc>
          <w:tcPr>
            <w:tcW w:w="545"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bookmarkStart w:id="67" w:name="_Toc413833711"/>
            <w:bookmarkStart w:id="68" w:name="_Toc414266835"/>
            <w:r>
              <w:rPr>
                <w:rFonts w:cs="Arial"/>
                <w:lang w:val="uk-UA" w:eastAsia="uk-UA" w:bidi="uk-UA"/>
              </w:rPr>
              <w:t>8.</w:t>
            </w:r>
            <w:bookmarkEnd w:id="67"/>
            <w:bookmarkEnd w:id="68"/>
          </w:p>
        </w:tc>
        <w:tc>
          <w:tcPr>
            <w:tcW w:w="5121"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Розробка і реалізація транскордонних програм і заходів щодо поліпшення / підвищення кваліфікації, спрощення отримання навичок і компетенції, необхідних  на ринку праці</w:t>
            </w:r>
          </w:p>
        </w:tc>
        <w:tc>
          <w:tcPr>
            <w:tcW w:w="205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2018"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bl>
    <w:p w:rsidR="00642FB4" w:rsidRDefault="00642FB4">
      <w:pPr>
        <w:jc w:val="both"/>
        <w:rPr>
          <w:rFonts w:cs="Arial"/>
          <w:b/>
          <w:lang w:val="uk-UA" w:bidi="uk-UA"/>
        </w:rPr>
      </w:pPr>
    </w:p>
    <w:p w:rsidR="00642FB4" w:rsidRDefault="00642FB4">
      <w:pPr>
        <w:spacing w:before="60" w:after="60" w:line="288" w:lineRule="auto"/>
        <w:jc w:val="both"/>
        <w:rPr>
          <w:rFonts w:cs="Arial"/>
          <w:b/>
          <w:lang w:val="uk-UA" w:eastAsia="uk-UA" w:bidi="uk-UA"/>
        </w:rPr>
      </w:pPr>
      <w:r>
        <w:rPr>
          <w:rFonts w:cs="Arial"/>
          <w:b/>
          <w:lang w:val="uk-UA" w:eastAsia="uk-UA" w:bidi="uk-UA"/>
        </w:rPr>
        <w:t>Пріоритет 1.2 - Розвиток і підтримка досліджень та інновацій</w:t>
      </w:r>
    </w:p>
    <w:tbl>
      <w:tblPr>
        <w:tblW w:w="97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4773"/>
        <w:gridCol w:w="2422"/>
        <w:gridCol w:w="2041"/>
      </w:tblGrid>
      <w:tr w:rsidR="00642FB4">
        <w:trPr>
          <w:jc w:val="center"/>
        </w:trPr>
        <w:tc>
          <w:tcPr>
            <w:tcW w:w="559"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bookmarkStart w:id="69" w:name="_Toc413833714"/>
            <w:bookmarkStart w:id="70" w:name="_Toc414266838"/>
            <w:r>
              <w:rPr>
                <w:rFonts w:cs="Arial"/>
                <w:b/>
                <w:lang w:val="uk-UA" w:eastAsia="uk-UA" w:bidi="uk-UA"/>
              </w:rPr>
              <w:t>№</w:t>
            </w:r>
            <w:bookmarkEnd w:id="69"/>
            <w:bookmarkEnd w:id="70"/>
          </w:p>
        </w:tc>
        <w:tc>
          <w:tcPr>
            <w:tcW w:w="553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Індикативна діяльність</w:t>
            </w:r>
          </w:p>
        </w:tc>
        <w:tc>
          <w:tcPr>
            <w:tcW w:w="1560"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Екологічні аспекти і завдання, які розглядатимуться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Потенційний вплив</w:t>
            </w:r>
          </w:p>
        </w:tc>
      </w:tr>
      <w:tr w:rsidR="00642FB4">
        <w:trPr>
          <w:jc w:val="center"/>
        </w:trPr>
        <w:tc>
          <w:tcPr>
            <w:tcW w:w="559" w:type="dxa"/>
            <w:tcBorders>
              <w:top w:val="single" w:sz="4" w:space="0" w:color="auto"/>
              <w:left w:val="single" w:sz="4" w:space="0" w:color="auto"/>
              <w:bottom w:val="single" w:sz="4" w:space="0" w:color="auto"/>
              <w:right w:val="single" w:sz="4" w:space="0" w:color="auto"/>
            </w:tcBorders>
            <w:hideMark/>
          </w:tcPr>
          <w:p w:rsidR="00642FB4" w:rsidRDefault="00642FB4">
            <w:pPr>
              <w:jc w:val="center"/>
              <w:rPr>
                <w:rFonts w:cs="Arial"/>
                <w:lang w:val="uk-UA" w:eastAsia="uk-UA" w:bidi="uk-UA"/>
              </w:rPr>
            </w:pPr>
            <w:bookmarkStart w:id="71" w:name="_Toc413833723"/>
            <w:bookmarkStart w:id="72" w:name="_Toc414266847"/>
            <w:r>
              <w:rPr>
                <w:rFonts w:cs="Arial"/>
                <w:lang w:val="uk-UA" w:eastAsia="uk-UA" w:bidi="uk-UA"/>
              </w:rPr>
              <w:t>1.</w:t>
            </w:r>
            <w:bookmarkEnd w:id="71"/>
            <w:bookmarkEnd w:id="72"/>
          </w:p>
        </w:tc>
        <w:tc>
          <w:tcPr>
            <w:tcW w:w="553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Розвиток партнерств / мереж між університетами для спільної теоретичної науково-дослідної діяльності</w:t>
            </w:r>
          </w:p>
        </w:tc>
        <w:tc>
          <w:tcPr>
            <w:tcW w:w="1560"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jc w:val="center"/>
        </w:trPr>
        <w:tc>
          <w:tcPr>
            <w:tcW w:w="559" w:type="dxa"/>
            <w:tcBorders>
              <w:top w:val="single" w:sz="4" w:space="0" w:color="auto"/>
              <w:left w:val="single" w:sz="4" w:space="0" w:color="auto"/>
              <w:bottom w:val="single" w:sz="4" w:space="0" w:color="auto"/>
              <w:right w:val="single" w:sz="4" w:space="0" w:color="auto"/>
            </w:tcBorders>
            <w:hideMark/>
          </w:tcPr>
          <w:p w:rsidR="00642FB4" w:rsidRDefault="00642FB4">
            <w:pPr>
              <w:jc w:val="center"/>
              <w:rPr>
                <w:rFonts w:cs="Arial"/>
                <w:lang w:val="uk-UA" w:eastAsia="uk-UA" w:bidi="uk-UA"/>
              </w:rPr>
            </w:pPr>
            <w:bookmarkStart w:id="73" w:name="_Toc413833729"/>
            <w:bookmarkStart w:id="74" w:name="_Toc414266853"/>
            <w:r>
              <w:rPr>
                <w:rFonts w:cs="Arial"/>
                <w:lang w:val="uk-UA" w:eastAsia="uk-UA" w:bidi="uk-UA"/>
              </w:rPr>
              <w:t>2.</w:t>
            </w:r>
            <w:bookmarkEnd w:id="73"/>
            <w:bookmarkEnd w:id="74"/>
          </w:p>
        </w:tc>
        <w:tc>
          <w:tcPr>
            <w:tcW w:w="5534"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Спільні дослідження і студії (у тому числі придбання обладнання) в галузі навколишнього середовища (зміна клімату, збереження біорізноманіття, відновлюваних джерел енергії та підвищення ефективності використання ресурсів і т.д.).</w:t>
            </w:r>
          </w:p>
        </w:tc>
        <w:tc>
          <w:tcPr>
            <w:tcW w:w="1560"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jc w:val="center"/>
        </w:trPr>
        <w:tc>
          <w:tcPr>
            <w:tcW w:w="559" w:type="dxa"/>
            <w:tcBorders>
              <w:top w:val="single" w:sz="4" w:space="0" w:color="auto"/>
              <w:left w:val="single" w:sz="4" w:space="0" w:color="auto"/>
              <w:bottom w:val="single" w:sz="4" w:space="0" w:color="auto"/>
              <w:right w:val="single" w:sz="4" w:space="0" w:color="auto"/>
            </w:tcBorders>
            <w:hideMark/>
          </w:tcPr>
          <w:p w:rsidR="00642FB4" w:rsidRDefault="00642FB4">
            <w:pPr>
              <w:jc w:val="center"/>
              <w:rPr>
                <w:rFonts w:cs="Arial"/>
                <w:lang w:val="uk-UA" w:eastAsia="uk-UA" w:bidi="uk-UA"/>
              </w:rPr>
            </w:pPr>
            <w:bookmarkStart w:id="75" w:name="_Toc413833732"/>
            <w:bookmarkStart w:id="76" w:name="_Toc414266856"/>
            <w:r>
              <w:rPr>
                <w:rFonts w:cs="Arial"/>
                <w:lang w:val="uk-UA" w:eastAsia="uk-UA" w:bidi="uk-UA"/>
              </w:rPr>
              <w:t>3.</w:t>
            </w:r>
            <w:bookmarkEnd w:id="75"/>
            <w:bookmarkEnd w:id="76"/>
          </w:p>
        </w:tc>
        <w:tc>
          <w:tcPr>
            <w:tcW w:w="5534"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Просування і підтримка досліджень та інновацій через реабілітації / модернізації / розширення конкретної інфраструктури, в тому числі придбання спеціального обладнання</w:t>
            </w:r>
          </w:p>
        </w:tc>
        <w:tc>
          <w:tcPr>
            <w:tcW w:w="1560" w:type="dxa"/>
            <w:tcBorders>
              <w:top w:val="single" w:sz="4" w:space="0" w:color="auto"/>
              <w:left w:val="single" w:sz="4" w:space="0" w:color="auto"/>
              <w:bottom w:val="single" w:sz="4" w:space="0" w:color="auto"/>
              <w:right w:val="single" w:sz="4" w:space="0" w:color="auto"/>
            </w:tcBorders>
          </w:tcPr>
          <w:p w:rsidR="00642FB4" w:rsidRDefault="00642FB4">
            <w:pPr>
              <w:jc w:val="both"/>
              <w:rPr>
                <w:rFonts w:cs="Arial"/>
                <w:lang w:val="uk-UA" w:eastAsia="uk-UA" w:bidi="uk-UA"/>
              </w:rPr>
            </w:pPr>
            <w:r>
              <w:rPr>
                <w:rFonts w:cs="Arial"/>
                <w:lang w:val="uk-UA" w:eastAsia="uk-UA" w:bidi="uk-UA"/>
              </w:rPr>
              <w:t>Ефективне використання ресурсів</w:t>
            </w:r>
          </w:p>
        </w:tc>
        <w:tc>
          <w:tcPr>
            <w:tcW w:w="2126"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Позитивний</w:t>
            </w:r>
          </w:p>
          <w:p w:rsidR="00642FB4" w:rsidRDefault="00642FB4">
            <w:pPr>
              <w:jc w:val="both"/>
              <w:rPr>
                <w:rFonts w:cs="Arial"/>
                <w:lang w:val="uk-UA" w:eastAsia="uk-UA" w:bidi="uk-UA"/>
              </w:rPr>
            </w:pPr>
            <w:r>
              <w:rPr>
                <w:rFonts w:cs="Arial"/>
                <w:lang w:val="uk-UA" w:eastAsia="uk-UA" w:bidi="uk-UA"/>
              </w:rPr>
              <w:t>Низьке споживання енергії, сировини, небезпечних речовин</w:t>
            </w:r>
          </w:p>
        </w:tc>
      </w:tr>
    </w:tbl>
    <w:p w:rsidR="00642FB4" w:rsidRDefault="00642FB4">
      <w:pPr>
        <w:jc w:val="both"/>
        <w:rPr>
          <w:rFonts w:eastAsia="EUAlbertina-Regular-Identity-H" w:cs="Arial"/>
          <w:iCs/>
          <w:lang w:val="uk-UA" w:eastAsia="uk-UA" w:bidi="uk-UA"/>
        </w:rPr>
      </w:pPr>
    </w:p>
    <w:p w:rsidR="00642FB4" w:rsidRDefault="00642FB4">
      <w:pPr>
        <w:jc w:val="both"/>
        <w:rPr>
          <w:rFonts w:eastAsia="EUAlbertina-Regular-Identity-H" w:cs="Arial"/>
          <w:iCs/>
          <w:lang w:val="uk-UA" w:eastAsia="uk-UA" w:bidi="uk-UA"/>
        </w:rPr>
      </w:pPr>
    </w:p>
    <w:p w:rsidR="00642FB4" w:rsidRDefault="00642FB4">
      <w:pPr>
        <w:spacing w:before="60" w:after="60" w:line="288" w:lineRule="auto"/>
        <w:jc w:val="both"/>
        <w:rPr>
          <w:rFonts w:cs="Arial"/>
          <w:b/>
          <w:lang w:val="uk-UA" w:eastAsia="uk-UA" w:bidi="uk-UA"/>
        </w:rPr>
      </w:pPr>
      <w:r>
        <w:rPr>
          <w:rFonts w:cs="Arial"/>
          <w:b/>
          <w:lang w:val="uk-UA" w:eastAsia="uk-UA" w:bidi="uk-UA"/>
        </w:rPr>
        <w:t>ТЦ 3- ПРОСУВАННЯ МІСЦЕВОЇ КУЛЬТУРИ І ЗБЕРЕЖЕННЯ ІСТОРИЧНОЇ СПАДЩИНИ</w:t>
      </w:r>
    </w:p>
    <w:p w:rsidR="00642FB4" w:rsidRDefault="00642FB4">
      <w:pPr>
        <w:spacing w:before="60" w:after="60" w:line="288" w:lineRule="auto"/>
        <w:jc w:val="both"/>
        <w:rPr>
          <w:rFonts w:cs="Arial"/>
          <w:i/>
          <w:lang w:val="uk-UA" w:eastAsia="uk-UA" w:bidi="uk-UA"/>
        </w:rPr>
      </w:pPr>
      <w:r>
        <w:rPr>
          <w:rFonts w:cs="Arial"/>
          <w:b/>
          <w:i/>
          <w:lang w:val="uk-UA" w:eastAsia="uk-UA" w:bidi="uk-UA"/>
        </w:rPr>
        <w:t>Мета 2:</w:t>
      </w:r>
      <w:r>
        <w:rPr>
          <w:rFonts w:cs="Arial"/>
          <w:i/>
          <w:lang w:val="uk-UA" w:eastAsia="uk-UA" w:bidi="uk-UA"/>
        </w:rPr>
        <w:t xml:space="preserve">  Консервація культурної та історичної спадщини на прийнятній території, підтримка розвитку місцевої культури, культурної самобутності та культурного діалогу, сприяючи підвищенню привабливості прийнятній території </w:t>
      </w:r>
    </w:p>
    <w:p w:rsidR="00642FB4" w:rsidRDefault="00642FB4">
      <w:pPr>
        <w:spacing w:before="60" w:after="60" w:line="288" w:lineRule="auto"/>
        <w:jc w:val="both"/>
        <w:rPr>
          <w:rFonts w:cs="Arial"/>
          <w:b/>
          <w:lang w:val="uk-UA" w:eastAsia="uk-UA" w:bidi="uk-UA"/>
        </w:rPr>
      </w:pPr>
      <w:r>
        <w:rPr>
          <w:rFonts w:cs="Arial"/>
          <w:lang w:val="uk-UA" w:eastAsia="uk-UA" w:bidi="uk-UA"/>
        </w:rPr>
        <w:t>Пріоритет 2.1 - Консервація</w:t>
      </w:r>
      <w:r>
        <w:rPr>
          <w:rFonts w:cs="Arial"/>
          <w:i/>
          <w:lang w:val="uk-UA" w:eastAsia="uk-UA" w:bidi="uk-UA"/>
        </w:rPr>
        <w:t xml:space="preserve"> </w:t>
      </w:r>
      <w:r>
        <w:rPr>
          <w:rFonts w:cs="Arial"/>
          <w:lang w:val="uk-UA" w:eastAsia="uk-UA" w:bidi="uk-UA"/>
        </w:rPr>
        <w:t>і просування культурної та історичної спадщини</w:t>
      </w:r>
    </w:p>
    <w:tbl>
      <w:tblPr>
        <w:tblW w:w="97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
        <w:gridCol w:w="4581"/>
        <w:gridCol w:w="2422"/>
        <w:gridCol w:w="2292"/>
      </w:tblGrid>
      <w:tr w:rsidR="00642FB4">
        <w:trPr>
          <w:tblHeader/>
          <w:jc w:val="center"/>
        </w:trPr>
        <w:tc>
          <w:tcPr>
            <w:tcW w:w="236"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bookmarkStart w:id="77" w:name="_Toc413833741"/>
            <w:bookmarkStart w:id="78" w:name="_Toc414266865"/>
            <w:r>
              <w:rPr>
                <w:rFonts w:cs="Arial"/>
                <w:b/>
                <w:lang w:val="uk-UA" w:eastAsia="uk-UA" w:bidi="uk-UA"/>
              </w:rPr>
              <w:t>№</w:t>
            </w:r>
            <w:bookmarkEnd w:id="77"/>
            <w:bookmarkEnd w:id="78"/>
          </w:p>
        </w:tc>
        <w:tc>
          <w:tcPr>
            <w:tcW w:w="537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Індикативна діяльність</w:t>
            </w:r>
          </w:p>
        </w:tc>
        <w:tc>
          <w:tcPr>
            <w:tcW w:w="2055"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Екологічні аспекти і завдання, які розглядатимуться</w:t>
            </w:r>
          </w:p>
        </w:tc>
        <w:tc>
          <w:tcPr>
            <w:tcW w:w="211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Потенційний вплив</w:t>
            </w:r>
          </w:p>
        </w:tc>
      </w:tr>
      <w:tr w:rsidR="00642FB4">
        <w:trPr>
          <w:jc w:val="center"/>
        </w:trPr>
        <w:tc>
          <w:tcPr>
            <w:tcW w:w="236" w:type="dxa"/>
            <w:tcBorders>
              <w:top w:val="single" w:sz="4" w:space="0" w:color="auto"/>
              <w:left w:val="single" w:sz="4" w:space="0" w:color="auto"/>
              <w:bottom w:val="single" w:sz="4" w:space="0" w:color="auto"/>
              <w:right w:val="single" w:sz="4" w:space="0" w:color="auto"/>
            </w:tcBorders>
            <w:hideMark/>
          </w:tcPr>
          <w:p w:rsidR="00642FB4" w:rsidRDefault="00642FB4">
            <w:pPr>
              <w:jc w:val="center"/>
              <w:rPr>
                <w:rFonts w:cs="Arial"/>
                <w:lang w:val="uk-UA" w:eastAsia="uk-UA" w:bidi="uk-UA"/>
              </w:rPr>
            </w:pPr>
            <w:bookmarkStart w:id="79" w:name="_Toc413833750"/>
            <w:bookmarkStart w:id="80" w:name="_Toc414266874"/>
            <w:r>
              <w:rPr>
                <w:rFonts w:cs="Arial"/>
                <w:lang w:val="uk-UA" w:eastAsia="uk-UA" w:bidi="uk-UA"/>
              </w:rPr>
              <w:t>1.</w:t>
            </w:r>
            <w:bookmarkEnd w:id="79"/>
            <w:bookmarkEnd w:id="80"/>
          </w:p>
        </w:tc>
        <w:tc>
          <w:tcPr>
            <w:tcW w:w="5374"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Відновлення, консервація, зміцнення, захист, забезпечення культурних та історичних пам'яток (у тому числі під'їзних доріг), музеї, художні колекції, об'єкти та стратегії їхнього спільного просування / відповідні транскордонні концепцій</w:t>
            </w:r>
          </w:p>
        </w:tc>
        <w:tc>
          <w:tcPr>
            <w:tcW w:w="2055" w:type="dxa"/>
            <w:tcBorders>
              <w:top w:val="single" w:sz="4" w:space="0" w:color="auto"/>
              <w:left w:val="single" w:sz="4" w:space="0" w:color="auto"/>
              <w:bottom w:val="single" w:sz="4" w:space="0" w:color="auto"/>
              <w:right w:val="single" w:sz="4" w:space="0" w:color="auto"/>
            </w:tcBorders>
          </w:tcPr>
          <w:p w:rsidR="00642FB4" w:rsidRDefault="00642FB4">
            <w:pPr>
              <w:rPr>
                <w:rFonts w:cs="Arial"/>
                <w:lang w:val="uk-UA" w:eastAsia="uk-UA" w:bidi="uk-UA"/>
              </w:rPr>
            </w:pPr>
            <w:r>
              <w:rPr>
                <w:rFonts w:cs="Arial"/>
                <w:lang w:val="uk-UA" w:eastAsia="uk-UA" w:bidi="uk-UA"/>
              </w:rPr>
              <w:t>Спадщина Біорізноманіття</w:t>
            </w:r>
          </w:p>
        </w:tc>
        <w:tc>
          <w:tcPr>
            <w:tcW w:w="2114" w:type="dxa"/>
            <w:tcBorders>
              <w:top w:val="single" w:sz="4" w:space="0" w:color="auto"/>
              <w:left w:val="single" w:sz="4" w:space="0" w:color="auto"/>
              <w:bottom w:val="single" w:sz="4" w:space="0" w:color="auto"/>
              <w:right w:val="single" w:sz="4" w:space="0" w:color="auto"/>
            </w:tcBorders>
            <w:hideMark/>
          </w:tcPr>
          <w:p w:rsidR="00642FB4" w:rsidRDefault="00642FB4">
            <w:pPr>
              <w:rPr>
                <w:rFonts w:cs="Arial"/>
                <w:lang w:val="uk-UA" w:eastAsia="uk-UA" w:bidi="uk-UA"/>
              </w:rPr>
            </w:pPr>
            <w:r>
              <w:rPr>
                <w:rFonts w:cs="Arial"/>
                <w:lang w:val="uk-UA" w:eastAsia="uk-UA" w:bidi="uk-UA"/>
              </w:rPr>
              <w:t>Позитивний</w:t>
            </w:r>
          </w:p>
          <w:p w:rsidR="00642FB4" w:rsidRDefault="00642FB4">
            <w:pPr>
              <w:rPr>
                <w:rFonts w:cs="Arial"/>
                <w:lang w:val="uk-UA" w:eastAsia="uk-UA" w:bidi="uk-UA"/>
              </w:rPr>
            </w:pPr>
            <w:r>
              <w:rPr>
                <w:rFonts w:cs="Arial"/>
                <w:lang w:val="uk-UA" w:eastAsia="uk-UA" w:bidi="uk-UA"/>
              </w:rPr>
              <w:t xml:space="preserve">Використовуються технології з  мінімальним впливом </w:t>
            </w:r>
          </w:p>
        </w:tc>
      </w:tr>
      <w:tr w:rsidR="00642FB4">
        <w:trPr>
          <w:trHeight w:val="1126"/>
          <w:jc w:val="center"/>
        </w:trPr>
        <w:tc>
          <w:tcPr>
            <w:tcW w:w="236" w:type="dxa"/>
            <w:tcBorders>
              <w:top w:val="single" w:sz="4" w:space="0" w:color="auto"/>
              <w:left w:val="single" w:sz="4" w:space="0" w:color="auto"/>
              <w:bottom w:val="single" w:sz="4" w:space="0" w:color="auto"/>
              <w:right w:val="single" w:sz="4" w:space="0" w:color="auto"/>
            </w:tcBorders>
            <w:hideMark/>
          </w:tcPr>
          <w:p w:rsidR="00642FB4" w:rsidRDefault="00642FB4">
            <w:pPr>
              <w:jc w:val="center"/>
              <w:rPr>
                <w:rFonts w:cs="Arial"/>
                <w:lang w:val="uk-UA" w:eastAsia="uk-UA" w:bidi="uk-UA"/>
              </w:rPr>
            </w:pPr>
            <w:bookmarkStart w:id="81" w:name="_Toc413833760"/>
            <w:bookmarkStart w:id="82" w:name="_Toc414266884"/>
            <w:r>
              <w:rPr>
                <w:rFonts w:cs="Arial"/>
                <w:lang w:val="uk-UA" w:eastAsia="uk-UA" w:bidi="uk-UA"/>
              </w:rPr>
              <w:t>2.</w:t>
            </w:r>
            <w:bookmarkEnd w:id="81"/>
            <w:bookmarkEnd w:id="82"/>
          </w:p>
        </w:tc>
        <w:tc>
          <w:tcPr>
            <w:tcW w:w="5374"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Консервація, охорона та спільне підвищення цінності пам'ятників та історичних та культурних цінностях</w:t>
            </w:r>
          </w:p>
        </w:tc>
        <w:tc>
          <w:tcPr>
            <w:tcW w:w="2055" w:type="dxa"/>
            <w:tcBorders>
              <w:top w:val="single" w:sz="4" w:space="0" w:color="auto"/>
              <w:left w:val="single" w:sz="4" w:space="0" w:color="auto"/>
              <w:bottom w:val="single" w:sz="4" w:space="0" w:color="auto"/>
              <w:right w:val="single" w:sz="4" w:space="0" w:color="auto"/>
            </w:tcBorders>
          </w:tcPr>
          <w:p w:rsidR="00642FB4" w:rsidRDefault="00642FB4">
            <w:pPr>
              <w:rPr>
                <w:rFonts w:cs="Arial"/>
                <w:lang w:val="uk-UA" w:eastAsia="uk-UA" w:bidi="uk-UA"/>
              </w:rPr>
            </w:pPr>
            <w:r>
              <w:rPr>
                <w:rFonts w:cs="Arial"/>
                <w:lang w:val="uk-UA" w:eastAsia="uk-UA" w:bidi="uk-UA"/>
              </w:rPr>
              <w:t xml:space="preserve">Спадщина Біорізноманіття </w:t>
            </w:r>
          </w:p>
        </w:tc>
        <w:tc>
          <w:tcPr>
            <w:tcW w:w="2114"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Позитивний</w:t>
            </w:r>
          </w:p>
          <w:p w:rsidR="00642FB4" w:rsidRDefault="00642FB4">
            <w:pPr>
              <w:rPr>
                <w:rFonts w:cs="Arial"/>
                <w:lang w:val="uk-UA" w:eastAsia="uk-UA" w:bidi="uk-UA"/>
              </w:rPr>
            </w:pPr>
            <w:r>
              <w:rPr>
                <w:rFonts w:cs="Arial"/>
                <w:lang w:val="uk-UA" w:eastAsia="uk-UA" w:bidi="uk-UA"/>
              </w:rPr>
              <w:t>Низьке споживання енергії, сировини, небезпечних речовин</w:t>
            </w:r>
          </w:p>
        </w:tc>
      </w:tr>
      <w:tr w:rsidR="00642FB4">
        <w:trPr>
          <w:jc w:val="center"/>
        </w:trPr>
        <w:tc>
          <w:tcPr>
            <w:tcW w:w="236" w:type="dxa"/>
            <w:tcBorders>
              <w:top w:val="single" w:sz="4" w:space="0" w:color="auto"/>
              <w:left w:val="single" w:sz="4" w:space="0" w:color="auto"/>
              <w:bottom w:val="single" w:sz="4" w:space="0" w:color="auto"/>
              <w:right w:val="single" w:sz="4" w:space="0" w:color="auto"/>
            </w:tcBorders>
            <w:hideMark/>
          </w:tcPr>
          <w:p w:rsidR="00642FB4" w:rsidRDefault="00642FB4">
            <w:pPr>
              <w:jc w:val="center"/>
              <w:rPr>
                <w:rFonts w:cs="Arial"/>
                <w:lang w:val="uk-UA" w:eastAsia="uk-UA" w:bidi="uk-UA"/>
              </w:rPr>
            </w:pPr>
            <w:bookmarkStart w:id="83" w:name="_Toc413833766"/>
            <w:bookmarkStart w:id="84" w:name="_Toc414266890"/>
            <w:r>
              <w:rPr>
                <w:rFonts w:cs="Arial"/>
                <w:lang w:val="uk-UA" w:eastAsia="uk-UA" w:bidi="uk-UA"/>
              </w:rPr>
              <w:t>3.</w:t>
            </w:r>
            <w:bookmarkEnd w:id="83"/>
            <w:bookmarkEnd w:id="84"/>
          </w:p>
        </w:tc>
        <w:tc>
          <w:tcPr>
            <w:tcW w:w="537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 xml:space="preserve"> Підтримка партнерських відносин між установами культури з метою просування культурної та історичної спадщини</w:t>
            </w:r>
          </w:p>
        </w:tc>
        <w:tc>
          <w:tcPr>
            <w:tcW w:w="2055"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211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jc w:val="center"/>
        </w:trPr>
        <w:tc>
          <w:tcPr>
            <w:tcW w:w="236" w:type="dxa"/>
            <w:tcBorders>
              <w:top w:val="single" w:sz="4" w:space="0" w:color="auto"/>
              <w:left w:val="single" w:sz="4" w:space="0" w:color="auto"/>
              <w:bottom w:val="single" w:sz="4" w:space="0" w:color="auto"/>
              <w:right w:val="single" w:sz="4" w:space="0" w:color="auto"/>
            </w:tcBorders>
            <w:hideMark/>
          </w:tcPr>
          <w:p w:rsidR="00642FB4" w:rsidRDefault="00642FB4">
            <w:pPr>
              <w:jc w:val="center"/>
              <w:rPr>
                <w:rFonts w:cs="Arial"/>
                <w:lang w:val="uk-UA" w:eastAsia="uk-UA" w:bidi="uk-UA"/>
              </w:rPr>
            </w:pPr>
            <w:bookmarkStart w:id="85" w:name="_Toc413833769"/>
            <w:bookmarkStart w:id="86" w:name="_Toc414266893"/>
            <w:r>
              <w:rPr>
                <w:rFonts w:cs="Arial"/>
                <w:lang w:val="uk-UA" w:eastAsia="uk-UA" w:bidi="uk-UA"/>
              </w:rPr>
              <w:t>4.</w:t>
            </w:r>
            <w:bookmarkEnd w:id="85"/>
            <w:bookmarkEnd w:id="86"/>
          </w:p>
        </w:tc>
        <w:tc>
          <w:tcPr>
            <w:tcW w:w="537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 xml:space="preserve"> Підтримка конкретних традиційних ремесел важливих для  збереження місцевої культури та ідентичності</w:t>
            </w:r>
          </w:p>
        </w:tc>
        <w:tc>
          <w:tcPr>
            <w:tcW w:w="2055"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211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jc w:val="center"/>
        </w:trPr>
        <w:tc>
          <w:tcPr>
            <w:tcW w:w="236" w:type="dxa"/>
            <w:tcBorders>
              <w:top w:val="single" w:sz="4" w:space="0" w:color="auto"/>
              <w:left w:val="single" w:sz="4" w:space="0" w:color="auto"/>
              <w:bottom w:val="single" w:sz="4" w:space="0" w:color="auto"/>
              <w:right w:val="single" w:sz="4" w:space="0" w:color="auto"/>
            </w:tcBorders>
            <w:hideMark/>
          </w:tcPr>
          <w:p w:rsidR="00642FB4" w:rsidRDefault="00642FB4">
            <w:pPr>
              <w:jc w:val="center"/>
              <w:rPr>
                <w:rFonts w:cs="Arial"/>
                <w:lang w:val="uk-UA" w:eastAsia="uk-UA" w:bidi="uk-UA"/>
              </w:rPr>
            </w:pPr>
            <w:bookmarkStart w:id="87" w:name="_Toc413833772"/>
            <w:bookmarkStart w:id="88" w:name="_Toc414266896"/>
            <w:r>
              <w:rPr>
                <w:rFonts w:cs="Arial"/>
                <w:lang w:val="uk-UA" w:eastAsia="uk-UA" w:bidi="uk-UA"/>
              </w:rPr>
              <w:t>5.</w:t>
            </w:r>
            <w:bookmarkEnd w:id="87"/>
            <w:bookmarkEnd w:id="88"/>
          </w:p>
        </w:tc>
        <w:tc>
          <w:tcPr>
            <w:tcW w:w="537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Просування традиційних видів діяльності на прийнятній території (у тому числі транскордонні культурні заходи місцевого значення</w:t>
            </w:r>
          </w:p>
        </w:tc>
        <w:tc>
          <w:tcPr>
            <w:tcW w:w="2055"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211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trHeight w:val="547"/>
          <w:jc w:val="center"/>
        </w:trPr>
        <w:tc>
          <w:tcPr>
            <w:tcW w:w="236" w:type="dxa"/>
            <w:tcBorders>
              <w:top w:val="single" w:sz="4" w:space="0" w:color="auto"/>
              <w:left w:val="single" w:sz="4" w:space="0" w:color="auto"/>
              <w:bottom w:val="single" w:sz="4" w:space="0" w:color="auto"/>
              <w:right w:val="single" w:sz="4" w:space="0" w:color="auto"/>
            </w:tcBorders>
            <w:hideMark/>
          </w:tcPr>
          <w:p w:rsidR="00642FB4" w:rsidRDefault="00642FB4">
            <w:pPr>
              <w:jc w:val="center"/>
              <w:rPr>
                <w:rFonts w:cs="Arial"/>
                <w:lang w:val="uk-UA" w:eastAsia="uk-UA" w:bidi="uk-UA"/>
              </w:rPr>
            </w:pPr>
            <w:bookmarkStart w:id="89" w:name="_Toc413833775"/>
            <w:bookmarkStart w:id="90" w:name="_Toc414266899"/>
            <w:r>
              <w:rPr>
                <w:rFonts w:cs="Arial"/>
                <w:lang w:val="uk-UA" w:eastAsia="uk-UA" w:bidi="uk-UA"/>
              </w:rPr>
              <w:t>6.</w:t>
            </w:r>
            <w:bookmarkEnd w:id="89"/>
            <w:bookmarkEnd w:id="90"/>
          </w:p>
        </w:tc>
        <w:tc>
          <w:tcPr>
            <w:tcW w:w="537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Збереження, просування і розвиток культурної та історичної спадщини, зокрема за допомогою культурних подій з транскордонним значенням</w:t>
            </w:r>
          </w:p>
        </w:tc>
        <w:tc>
          <w:tcPr>
            <w:tcW w:w="2055"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211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jc w:val="center"/>
        </w:trPr>
        <w:tc>
          <w:tcPr>
            <w:tcW w:w="236" w:type="dxa"/>
            <w:tcBorders>
              <w:top w:val="single" w:sz="4" w:space="0" w:color="auto"/>
              <w:left w:val="single" w:sz="4" w:space="0" w:color="auto"/>
              <w:bottom w:val="single" w:sz="4" w:space="0" w:color="auto"/>
              <w:right w:val="single" w:sz="4" w:space="0" w:color="auto"/>
            </w:tcBorders>
            <w:hideMark/>
          </w:tcPr>
          <w:p w:rsidR="00642FB4" w:rsidRDefault="00642FB4">
            <w:pPr>
              <w:jc w:val="center"/>
              <w:rPr>
                <w:rFonts w:cs="Arial"/>
                <w:lang w:val="uk-UA" w:eastAsia="uk-UA" w:bidi="uk-UA"/>
              </w:rPr>
            </w:pPr>
            <w:bookmarkStart w:id="91" w:name="_Toc413833778"/>
            <w:bookmarkStart w:id="92" w:name="_Toc414266902"/>
            <w:r>
              <w:rPr>
                <w:rFonts w:cs="Arial"/>
                <w:lang w:val="uk-UA" w:eastAsia="uk-UA" w:bidi="uk-UA"/>
              </w:rPr>
              <w:t>7.</w:t>
            </w:r>
            <w:bookmarkEnd w:id="91"/>
            <w:bookmarkEnd w:id="92"/>
          </w:p>
        </w:tc>
        <w:tc>
          <w:tcPr>
            <w:tcW w:w="537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 xml:space="preserve">Підвищення цінності історично-культурної спадщини за допомогою розробки спільних стратегій для просування продукції і та спільних послуг </w:t>
            </w:r>
          </w:p>
        </w:tc>
        <w:tc>
          <w:tcPr>
            <w:tcW w:w="2055"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2114"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bl>
    <w:p w:rsidR="00642FB4" w:rsidRDefault="00642FB4">
      <w:pPr>
        <w:spacing w:before="60" w:after="60" w:line="288" w:lineRule="auto"/>
        <w:ind w:left="720"/>
        <w:jc w:val="both"/>
        <w:rPr>
          <w:rFonts w:eastAsia="EUAlbertina-Regular-Identity-H" w:cs="Arial"/>
          <w:bCs/>
          <w:lang w:val="uk-UA" w:eastAsia="uk-UA" w:bidi="uk-UA"/>
        </w:rPr>
      </w:pPr>
    </w:p>
    <w:p w:rsidR="00642FB4" w:rsidRDefault="00642FB4">
      <w:pPr>
        <w:spacing w:before="60" w:after="60" w:line="288" w:lineRule="auto"/>
        <w:ind w:left="720"/>
        <w:jc w:val="both"/>
        <w:rPr>
          <w:rFonts w:eastAsia="EUAlbertina-Regular-Identity-H" w:cs="Arial"/>
          <w:bCs/>
          <w:lang w:val="uk-UA" w:eastAsia="uk-UA" w:bidi="uk-UA"/>
        </w:rPr>
      </w:pPr>
    </w:p>
    <w:p w:rsidR="00642FB4" w:rsidRDefault="00642FB4">
      <w:pPr>
        <w:spacing w:before="60" w:after="60" w:line="288" w:lineRule="auto"/>
        <w:jc w:val="both"/>
        <w:rPr>
          <w:rFonts w:eastAsia="Calibri" w:cs="Arial"/>
          <w:lang w:val="uk-UA" w:eastAsia="uk-UA" w:bidi="uk-UA"/>
        </w:rPr>
      </w:pPr>
      <w:r>
        <w:rPr>
          <w:rFonts w:cs="Arial"/>
          <w:b/>
          <w:lang w:val="uk-UA" w:eastAsia="uk-UA" w:bidi="uk-UA"/>
        </w:rPr>
        <w:t xml:space="preserve">ТЦ7 –ПІДВИЩЕННЯ ДОСТУПНОСТІ В РЕГІОНАХ, РОЗВИТОК ТРАНСПОРТНИХ ТА КОМУНІКАЦІЇНИХ СИСТЕМ ТА МЕРЕЖ </w:t>
      </w:r>
    </w:p>
    <w:p w:rsidR="00642FB4" w:rsidRDefault="00642FB4">
      <w:pPr>
        <w:spacing w:before="60" w:after="60" w:line="288" w:lineRule="auto"/>
        <w:jc w:val="both"/>
        <w:rPr>
          <w:rFonts w:cs="Arial"/>
          <w:i/>
          <w:lang w:val="uk-UA" w:eastAsia="uk-UA" w:bidi="uk-UA"/>
        </w:rPr>
      </w:pPr>
      <w:r>
        <w:rPr>
          <w:rFonts w:cs="Arial"/>
          <w:b/>
          <w:i/>
          <w:lang w:val="uk-UA" w:eastAsia="uk-UA" w:bidi="uk-UA"/>
        </w:rPr>
        <w:t>Мета 3</w:t>
      </w:r>
      <w:r>
        <w:rPr>
          <w:rFonts w:cs="Arial"/>
          <w:i/>
          <w:lang w:val="uk-UA" w:eastAsia="uk-UA" w:bidi="uk-UA"/>
        </w:rPr>
        <w:t>:  Поліпшення послуг в галузі громадського транспорту, інфраструктури, співпраці та мереж ІТК</w:t>
      </w:r>
    </w:p>
    <w:p w:rsidR="00642FB4" w:rsidRDefault="00642FB4">
      <w:pPr>
        <w:spacing w:before="60" w:after="60" w:line="288" w:lineRule="auto"/>
        <w:jc w:val="both"/>
        <w:rPr>
          <w:rFonts w:cs="Arial"/>
          <w:i/>
          <w:lang w:val="uk-UA" w:eastAsia="uk-UA" w:bidi="uk-UA"/>
        </w:rPr>
      </w:pPr>
    </w:p>
    <w:p w:rsidR="00642FB4" w:rsidRDefault="00642FB4">
      <w:pPr>
        <w:spacing w:before="60" w:after="60" w:line="288" w:lineRule="auto"/>
        <w:jc w:val="both"/>
        <w:rPr>
          <w:rFonts w:cs="Arial"/>
          <w:b/>
          <w:lang w:val="uk-UA" w:eastAsia="uk-UA" w:bidi="uk-UA"/>
        </w:rPr>
      </w:pPr>
      <w:r>
        <w:rPr>
          <w:rFonts w:cs="Arial"/>
          <w:b/>
          <w:lang w:val="uk-UA" w:eastAsia="uk-UA" w:bidi="uk-UA"/>
        </w:rPr>
        <w:t>Пріоритет 3.1 - Розвиток транскордонної транспортної інфраструктури та інструментів ITК</w:t>
      </w:r>
    </w:p>
    <w:tbl>
      <w:tblPr>
        <w:tblW w:w="9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
        <w:gridCol w:w="4995"/>
        <w:gridCol w:w="2422"/>
        <w:gridCol w:w="1817"/>
      </w:tblGrid>
      <w:tr w:rsidR="00642FB4">
        <w:trPr>
          <w:tblHeader/>
          <w:jc w:val="center"/>
        </w:trPr>
        <w:tc>
          <w:tcPr>
            <w:tcW w:w="606"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w:t>
            </w:r>
          </w:p>
        </w:tc>
        <w:tc>
          <w:tcPr>
            <w:tcW w:w="5538"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Індикативна діяльність</w:t>
            </w:r>
          </w:p>
        </w:tc>
        <w:tc>
          <w:tcPr>
            <w:tcW w:w="1843"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Екологічні аспекти і завдання, які розглядатимуться</w:t>
            </w:r>
          </w:p>
        </w:tc>
        <w:tc>
          <w:tcPr>
            <w:tcW w:w="1833"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Потенційний вплив</w:t>
            </w:r>
          </w:p>
        </w:tc>
      </w:tr>
      <w:tr w:rsidR="00642FB4">
        <w:trPr>
          <w:jc w:val="center"/>
        </w:trPr>
        <w:tc>
          <w:tcPr>
            <w:tcW w:w="606"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93" w:name="_Toc413833790"/>
            <w:bookmarkStart w:id="94" w:name="_Toc414266914"/>
            <w:r>
              <w:rPr>
                <w:rFonts w:cs="Arial"/>
                <w:lang w:val="uk-UA" w:eastAsia="uk-UA" w:bidi="uk-UA"/>
              </w:rPr>
              <w:t>1.</w:t>
            </w:r>
            <w:bookmarkEnd w:id="93"/>
            <w:bookmarkEnd w:id="94"/>
          </w:p>
        </w:tc>
        <w:tc>
          <w:tcPr>
            <w:tcW w:w="5538"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Реконструкція, реабілітація, модернізація систем прикордонного транспорту</w:t>
            </w:r>
          </w:p>
        </w:tc>
        <w:tc>
          <w:tcPr>
            <w:tcW w:w="1843"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Повітря</w:t>
            </w:r>
          </w:p>
          <w:p w:rsidR="00642FB4" w:rsidRDefault="00642FB4">
            <w:pPr>
              <w:jc w:val="both"/>
              <w:rPr>
                <w:rFonts w:cs="Arial"/>
                <w:lang w:val="uk-UA" w:eastAsia="uk-UA" w:bidi="uk-UA"/>
              </w:rPr>
            </w:pPr>
            <w:r>
              <w:rPr>
                <w:rFonts w:cs="Arial"/>
                <w:lang w:val="uk-UA" w:eastAsia="uk-UA" w:bidi="uk-UA"/>
              </w:rPr>
              <w:t>Вода</w:t>
            </w:r>
          </w:p>
          <w:p w:rsidR="00642FB4" w:rsidRDefault="00642FB4">
            <w:pPr>
              <w:jc w:val="both"/>
              <w:rPr>
                <w:rFonts w:cs="Arial"/>
                <w:lang w:val="uk-UA" w:eastAsia="uk-UA" w:bidi="uk-UA"/>
              </w:rPr>
            </w:pPr>
            <w:r>
              <w:rPr>
                <w:rFonts w:cs="Arial"/>
                <w:lang w:val="uk-UA" w:eastAsia="uk-UA" w:bidi="uk-UA"/>
              </w:rPr>
              <w:t>Земля</w:t>
            </w:r>
          </w:p>
          <w:p w:rsidR="00642FB4" w:rsidRDefault="00642FB4">
            <w:pPr>
              <w:jc w:val="both"/>
              <w:rPr>
                <w:rFonts w:cs="Arial"/>
                <w:lang w:val="uk-UA" w:eastAsia="uk-UA" w:bidi="uk-UA"/>
              </w:rPr>
            </w:pPr>
            <w:r>
              <w:rPr>
                <w:rFonts w:cs="Arial"/>
                <w:lang w:val="uk-UA" w:eastAsia="uk-UA" w:bidi="uk-UA"/>
              </w:rPr>
              <w:t>Зміна клімату</w:t>
            </w:r>
          </w:p>
          <w:p w:rsidR="00642FB4" w:rsidRDefault="00642FB4">
            <w:pPr>
              <w:jc w:val="both"/>
              <w:rPr>
                <w:rFonts w:cs="Arial"/>
                <w:lang w:val="uk-UA" w:eastAsia="uk-UA" w:bidi="uk-UA"/>
              </w:rPr>
            </w:pPr>
            <w:r>
              <w:rPr>
                <w:rFonts w:cs="Arial"/>
                <w:lang w:val="uk-UA" w:eastAsia="uk-UA" w:bidi="uk-UA"/>
              </w:rPr>
              <w:t>Біорізноманіття</w:t>
            </w:r>
          </w:p>
        </w:tc>
        <w:tc>
          <w:tcPr>
            <w:tcW w:w="1833" w:type="dxa"/>
            <w:tcBorders>
              <w:top w:val="single" w:sz="4" w:space="0" w:color="auto"/>
              <w:left w:val="single" w:sz="4" w:space="0" w:color="auto"/>
              <w:bottom w:val="single" w:sz="4" w:space="0" w:color="auto"/>
              <w:right w:val="single" w:sz="4" w:space="0" w:color="auto"/>
            </w:tcBorders>
            <w:vAlign w:val="center"/>
            <w:hideMark/>
          </w:tcPr>
          <w:p w:rsidR="00642FB4" w:rsidRDefault="00642FB4">
            <w:pPr>
              <w:rPr>
                <w:rFonts w:cs="Arial"/>
                <w:lang w:val="uk-UA" w:eastAsia="uk-UA" w:bidi="uk-UA"/>
              </w:rPr>
            </w:pPr>
            <w:r>
              <w:rPr>
                <w:rFonts w:cs="Arial"/>
                <w:lang w:val="uk-UA" w:eastAsia="uk-UA" w:bidi="uk-UA"/>
              </w:rPr>
              <w:t>Позитивний</w:t>
            </w:r>
          </w:p>
          <w:p w:rsidR="00642FB4" w:rsidRDefault="00642FB4">
            <w:pPr>
              <w:jc w:val="both"/>
              <w:rPr>
                <w:rFonts w:cs="Arial"/>
                <w:lang w:val="uk-UA" w:eastAsia="uk-UA" w:bidi="uk-UA"/>
              </w:rPr>
            </w:pPr>
          </w:p>
        </w:tc>
      </w:tr>
      <w:tr w:rsidR="00642FB4">
        <w:trPr>
          <w:jc w:val="center"/>
        </w:trPr>
        <w:tc>
          <w:tcPr>
            <w:tcW w:w="606"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95" w:name="_Toc413833797"/>
            <w:bookmarkStart w:id="96" w:name="_Toc414266921"/>
            <w:r>
              <w:rPr>
                <w:rFonts w:cs="Arial"/>
                <w:lang w:val="uk-UA" w:eastAsia="uk-UA" w:bidi="uk-UA"/>
              </w:rPr>
              <w:t>2.</w:t>
            </w:r>
            <w:bookmarkEnd w:id="95"/>
            <w:bookmarkEnd w:id="96"/>
          </w:p>
        </w:tc>
        <w:tc>
          <w:tcPr>
            <w:tcW w:w="5538"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 xml:space="preserve">Розвиток екологічно чистих транспортних транскордонних ініціатив та інноваційних рішень </w:t>
            </w:r>
          </w:p>
        </w:tc>
        <w:tc>
          <w:tcPr>
            <w:tcW w:w="1843"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Повітря</w:t>
            </w:r>
          </w:p>
          <w:p w:rsidR="00642FB4" w:rsidRDefault="00642FB4">
            <w:pPr>
              <w:jc w:val="both"/>
              <w:rPr>
                <w:rFonts w:cs="Arial"/>
                <w:lang w:val="uk-UA" w:eastAsia="uk-UA" w:bidi="uk-UA"/>
              </w:rPr>
            </w:pPr>
            <w:r>
              <w:rPr>
                <w:rFonts w:cs="Arial"/>
                <w:lang w:val="uk-UA" w:eastAsia="uk-UA" w:bidi="uk-UA"/>
              </w:rPr>
              <w:t>Вода</w:t>
            </w:r>
          </w:p>
          <w:p w:rsidR="00642FB4" w:rsidRDefault="00642FB4">
            <w:pPr>
              <w:jc w:val="both"/>
              <w:rPr>
                <w:rFonts w:cs="Arial"/>
                <w:lang w:val="uk-UA" w:eastAsia="uk-UA" w:bidi="uk-UA"/>
              </w:rPr>
            </w:pPr>
            <w:r>
              <w:rPr>
                <w:rFonts w:cs="Arial"/>
                <w:lang w:val="uk-UA" w:eastAsia="uk-UA" w:bidi="uk-UA"/>
              </w:rPr>
              <w:t>Земля</w:t>
            </w:r>
          </w:p>
          <w:p w:rsidR="00642FB4" w:rsidRDefault="00642FB4">
            <w:pPr>
              <w:jc w:val="both"/>
              <w:rPr>
                <w:rFonts w:cs="Arial"/>
                <w:lang w:val="uk-UA" w:eastAsia="uk-UA" w:bidi="uk-UA"/>
              </w:rPr>
            </w:pPr>
            <w:r>
              <w:rPr>
                <w:rFonts w:cs="Arial"/>
                <w:lang w:val="uk-UA" w:eastAsia="uk-UA" w:bidi="uk-UA"/>
              </w:rPr>
              <w:t>Зміна клімату</w:t>
            </w:r>
          </w:p>
          <w:p w:rsidR="00642FB4" w:rsidRDefault="00642FB4">
            <w:pPr>
              <w:jc w:val="both"/>
              <w:rPr>
                <w:rFonts w:cs="Arial"/>
                <w:lang w:val="uk-UA" w:eastAsia="uk-UA" w:bidi="uk-UA"/>
              </w:rPr>
            </w:pPr>
            <w:r>
              <w:rPr>
                <w:rFonts w:cs="Arial"/>
                <w:lang w:val="uk-UA" w:eastAsia="uk-UA" w:bidi="uk-UA"/>
              </w:rPr>
              <w:t>Біорізноманіття</w:t>
            </w:r>
          </w:p>
        </w:tc>
        <w:tc>
          <w:tcPr>
            <w:tcW w:w="1833"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bookmarkStart w:id="97" w:name="_Toc413833803"/>
            <w:bookmarkStart w:id="98" w:name="_Toc414266927"/>
            <w:r>
              <w:rPr>
                <w:rFonts w:cs="Arial"/>
                <w:lang w:val="uk-UA" w:eastAsia="uk-UA" w:bidi="uk-UA"/>
              </w:rPr>
              <w:t>Semnificativ Pozitiv</w:t>
            </w:r>
            <w:bookmarkEnd w:id="97"/>
            <w:bookmarkEnd w:id="98"/>
          </w:p>
        </w:tc>
      </w:tr>
      <w:tr w:rsidR="00642FB4">
        <w:trPr>
          <w:jc w:val="center"/>
        </w:trPr>
        <w:tc>
          <w:tcPr>
            <w:tcW w:w="606"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99" w:name="_Toc413833804"/>
            <w:bookmarkStart w:id="100" w:name="_Toc414266928"/>
            <w:r>
              <w:rPr>
                <w:rFonts w:cs="Arial"/>
                <w:lang w:val="uk-UA" w:eastAsia="uk-UA" w:bidi="uk-UA"/>
              </w:rPr>
              <w:t>3.</w:t>
            </w:r>
            <w:bookmarkEnd w:id="99"/>
            <w:bookmarkEnd w:id="100"/>
          </w:p>
        </w:tc>
        <w:tc>
          <w:tcPr>
            <w:tcW w:w="5538"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 xml:space="preserve">Покращення послуг мультимодальних транспортних систем (дорожній / річковий транспорт) згідно транскордонним інтересам </w:t>
            </w:r>
          </w:p>
        </w:tc>
        <w:tc>
          <w:tcPr>
            <w:tcW w:w="1843"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Повітря</w:t>
            </w:r>
          </w:p>
          <w:p w:rsidR="00642FB4" w:rsidRDefault="00642FB4">
            <w:pPr>
              <w:jc w:val="both"/>
              <w:rPr>
                <w:rFonts w:cs="Arial"/>
                <w:lang w:val="uk-UA" w:eastAsia="uk-UA" w:bidi="uk-UA"/>
              </w:rPr>
            </w:pPr>
            <w:r>
              <w:rPr>
                <w:rFonts w:cs="Arial"/>
                <w:lang w:val="uk-UA" w:eastAsia="uk-UA" w:bidi="uk-UA"/>
              </w:rPr>
              <w:t>Вода</w:t>
            </w:r>
          </w:p>
          <w:p w:rsidR="00642FB4" w:rsidRDefault="00642FB4">
            <w:pPr>
              <w:jc w:val="both"/>
              <w:rPr>
                <w:rFonts w:cs="Arial"/>
                <w:lang w:val="uk-UA" w:eastAsia="uk-UA" w:bidi="uk-UA"/>
              </w:rPr>
            </w:pPr>
            <w:r>
              <w:rPr>
                <w:rFonts w:cs="Arial"/>
                <w:lang w:val="uk-UA" w:eastAsia="uk-UA" w:bidi="uk-UA"/>
              </w:rPr>
              <w:t>Земля</w:t>
            </w:r>
          </w:p>
          <w:p w:rsidR="00642FB4" w:rsidRDefault="00642FB4">
            <w:pPr>
              <w:jc w:val="both"/>
              <w:rPr>
                <w:rFonts w:cs="Arial"/>
                <w:lang w:val="uk-UA" w:eastAsia="uk-UA" w:bidi="uk-UA"/>
              </w:rPr>
            </w:pPr>
            <w:r>
              <w:rPr>
                <w:rFonts w:cs="Arial"/>
                <w:lang w:val="uk-UA" w:eastAsia="uk-UA" w:bidi="uk-UA"/>
              </w:rPr>
              <w:t>Зміна клімату</w:t>
            </w:r>
          </w:p>
          <w:p w:rsidR="00642FB4" w:rsidRDefault="00642FB4">
            <w:pPr>
              <w:jc w:val="both"/>
              <w:rPr>
                <w:rFonts w:cs="Arial"/>
                <w:lang w:val="uk-UA" w:eastAsia="uk-UA" w:bidi="uk-UA"/>
              </w:rPr>
            </w:pPr>
            <w:r>
              <w:rPr>
                <w:rFonts w:cs="Arial"/>
                <w:lang w:val="uk-UA" w:eastAsia="uk-UA" w:bidi="uk-UA"/>
              </w:rPr>
              <w:t>Біорізноманіття</w:t>
            </w:r>
          </w:p>
        </w:tc>
        <w:tc>
          <w:tcPr>
            <w:tcW w:w="1833" w:type="dxa"/>
            <w:tcBorders>
              <w:top w:val="single" w:sz="4" w:space="0" w:color="auto"/>
              <w:left w:val="single" w:sz="4" w:space="0" w:color="auto"/>
              <w:bottom w:val="single" w:sz="4" w:space="0" w:color="auto"/>
              <w:right w:val="single" w:sz="4" w:space="0" w:color="auto"/>
            </w:tcBorders>
            <w:vAlign w:val="center"/>
            <w:hideMark/>
          </w:tcPr>
          <w:p w:rsidR="00642FB4" w:rsidRDefault="00642FB4">
            <w:pPr>
              <w:rPr>
                <w:rFonts w:cs="Arial"/>
                <w:lang w:val="uk-UA" w:eastAsia="uk-UA" w:bidi="uk-UA"/>
              </w:rPr>
            </w:pPr>
            <w:r>
              <w:rPr>
                <w:rFonts w:cs="Arial"/>
                <w:lang w:val="uk-UA" w:eastAsia="uk-UA" w:bidi="uk-UA"/>
              </w:rPr>
              <w:t>Позитивний</w:t>
            </w:r>
          </w:p>
          <w:p w:rsidR="00642FB4" w:rsidRDefault="00642FB4">
            <w:pPr>
              <w:jc w:val="both"/>
              <w:rPr>
                <w:rFonts w:cs="Arial"/>
                <w:lang w:val="uk-UA" w:eastAsia="uk-UA" w:bidi="uk-UA"/>
              </w:rPr>
            </w:pPr>
          </w:p>
        </w:tc>
      </w:tr>
      <w:tr w:rsidR="00642FB4">
        <w:trPr>
          <w:jc w:val="center"/>
        </w:trPr>
        <w:tc>
          <w:tcPr>
            <w:tcW w:w="606"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01" w:name="_Toc413833811"/>
            <w:bookmarkStart w:id="102" w:name="_Toc414266935"/>
            <w:r>
              <w:rPr>
                <w:rFonts w:cs="Arial"/>
                <w:lang w:val="uk-UA" w:eastAsia="uk-UA" w:bidi="uk-UA"/>
              </w:rPr>
              <w:t>4.</w:t>
            </w:r>
            <w:bookmarkEnd w:id="101"/>
            <w:bookmarkEnd w:id="102"/>
          </w:p>
        </w:tc>
        <w:tc>
          <w:tcPr>
            <w:tcW w:w="5538"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b/>
                <w:lang w:val="uk-UA" w:eastAsia="uk-UA" w:bidi="uk-UA"/>
              </w:rPr>
            </w:pPr>
            <w:r>
              <w:rPr>
                <w:rFonts w:cs="Arial"/>
                <w:lang w:val="uk-UA" w:eastAsia="uk-UA" w:bidi="uk-UA"/>
              </w:rPr>
              <w:t>Реконструкція, реабілітація, розширення доріг або дорожніх сегментів, що з'єднують населені пункти вздовж головної дороги, що веде до кордону</w:t>
            </w:r>
          </w:p>
        </w:tc>
        <w:tc>
          <w:tcPr>
            <w:tcW w:w="1843"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Повітря</w:t>
            </w:r>
          </w:p>
          <w:p w:rsidR="00642FB4" w:rsidRDefault="00642FB4">
            <w:pPr>
              <w:jc w:val="both"/>
              <w:rPr>
                <w:rFonts w:cs="Arial"/>
                <w:lang w:val="uk-UA" w:eastAsia="uk-UA" w:bidi="uk-UA"/>
              </w:rPr>
            </w:pPr>
            <w:r>
              <w:rPr>
                <w:rFonts w:cs="Arial"/>
                <w:lang w:val="uk-UA" w:eastAsia="uk-UA" w:bidi="uk-UA"/>
              </w:rPr>
              <w:t>Вода</w:t>
            </w:r>
          </w:p>
          <w:p w:rsidR="00642FB4" w:rsidRDefault="00642FB4">
            <w:pPr>
              <w:jc w:val="both"/>
              <w:rPr>
                <w:rFonts w:cs="Arial"/>
                <w:lang w:val="uk-UA" w:eastAsia="uk-UA" w:bidi="uk-UA"/>
              </w:rPr>
            </w:pPr>
            <w:r>
              <w:rPr>
                <w:rFonts w:cs="Arial"/>
                <w:lang w:val="uk-UA" w:eastAsia="uk-UA" w:bidi="uk-UA"/>
              </w:rPr>
              <w:t>Земля</w:t>
            </w:r>
          </w:p>
          <w:p w:rsidR="00642FB4" w:rsidRDefault="00642FB4">
            <w:pPr>
              <w:jc w:val="both"/>
              <w:rPr>
                <w:rFonts w:cs="Arial"/>
                <w:lang w:val="uk-UA" w:eastAsia="uk-UA" w:bidi="uk-UA"/>
              </w:rPr>
            </w:pPr>
            <w:r>
              <w:rPr>
                <w:rFonts w:cs="Arial"/>
                <w:lang w:val="uk-UA" w:eastAsia="uk-UA" w:bidi="uk-UA"/>
              </w:rPr>
              <w:t>Біорізноманіття</w:t>
            </w:r>
          </w:p>
        </w:tc>
        <w:tc>
          <w:tcPr>
            <w:tcW w:w="1833" w:type="dxa"/>
            <w:tcBorders>
              <w:top w:val="single" w:sz="4" w:space="0" w:color="auto"/>
              <w:left w:val="single" w:sz="4" w:space="0" w:color="auto"/>
              <w:bottom w:val="single" w:sz="4" w:space="0" w:color="auto"/>
              <w:right w:val="single" w:sz="4" w:space="0" w:color="auto"/>
            </w:tcBorders>
            <w:vAlign w:val="center"/>
            <w:hideMark/>
          </w:tcPr>
          <w:p w:rsidR="00642FB4" w:rsidRDefault="00642FB4">
            <w:pPr>
              <w:rPr>
                <w:rFonts w:cs="Arial"/>
                <w:lang w:val="uk-UA" w:eastAsia="uk-UA" w:bidi="uk-UA"/>
              </w:rPr>
            </w:pPr>
            <w:r>
              <w:rPr>
                <w:rFonts w:cs="Arial"/>
                <w:lang w:val="uk-UA" w:eastAsia="uk-UA" w:bidi="uk-UA"/>
              </w:rPr>
              <w:t>Позитивний</w:t>
            </w:r>
          </w:p>
          <w:p w:rsidR="00642FB4" w:rsidRDefault="00642FB4">
            <w:pPr>
              <w:jc w:val="both"/>
              <w:rPr>
                <w:rFonts w:cs="Arial"/>
                <w:lang w:val="uk-UA" w:eastAsia="uk-UA" w:bidi="uk-UA"/>
              </w:rPr>
            </w:pPr>
          </w:p>
        </w:tc>
      </w:tr>
      <w:tr w:rsidR="00642FB4">
        <w:trPr>
          <w:jc w:val="center"/>
        </w:trPr>
        <w:tc>
          <w:tcPr>
            <w:tcW w:w="606"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03" w:name="_Toc413833818"/>
            <w:bookmarkStart w:id="104" w:name="_Toc414266942"/>
            <w:r>
              <w:rPr>
                <w:rFonts w:cs="Arial"/>
                <w:lang w:val="uk-UA" w:eastAsia="uk-UA" w:bidi="uk-UA"/>
              </w:rPr>
              <w:t>5.</w:t>
            </w:r>
            <w:bookmarkEnd w:id="103"/>
            <w:bookmarkEnd w:id="104"/>
          </w:p>
        </w:tc>
        <w:tc>
          <w:tcPr>
            <w:tcW w:w="5538"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Поліпшення / відновлення / будівництво доріг або дорожніх сегментів для доступу до центрів транскордонного інтересу</w:t>
            </w:r>
          </w:p>
        </w:tc>
        <w:tc>
          <w:tcPr>
            <w:tcW w:w="1843"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Повітря</w:t>
            </w:r>
          </w:p>
          <w:p w:rsidR="00642FB4" w:rsidRDefault="00642FB4">
            <w:pPr>
              <w:jc w:val="both"/>
              <w:rPr>
                <w:rFonts w:cs="Arial"/>
                <w:lang w:val="uk-UA" w:eastAsia="uk-UA" w:bidi="uk-UA"/>
              </w:rPr>
            </w:pPr>
            <w:r>
              <w:rPr>
                <w:rFonts w:cs="Arial"/>
                <w:lang w:val="uk-UA" w:eastAsia="uk-UA" w:bidi="uk-UA"/>
              </w:rPr>
              <w:t>Вода</w:t>
            </w:r>
          </w:p>
          <w:p w:rsidR="00642FB4" w:rsidRDefault="00642FB4">
            <w:pPr>
              <w:jc w:val="both"/>
              <w:rPr>
                <w:rFonts w:cs="Arial"/>
                <w:lang w:val="uk-UA" w:eastAsia="uk-UA" w:bidi="uk-UA"/>
              </w:rPr>
            </w:pPr>
            <w:r>
              <w:rPr>
                <w:rFonts w:cs="Arial"/>
                <w:lang w:val="uk-UA" w:eastAsia="uk-UA" w:bidi="uk-UA"/>
              </w:rPr>
              <w:t>Земля</w:t>
            </w:r>
          </w:p>
          <w:p w:rsidR="00642FB4" w:rsidRDefault="00642FB4">
            <w:pPr>
              <w:jc w:val="both"/>
              <w:rPr>
                <w:rFonts w:cs="Arial"/>
                <w:lang w:val="uk-UA" w:eastAsia="uk-UA" w:bidi="uk-UA"/>
              </w:rPr>
            </w:pPr>
            <w:r>
              <w:rPr>
                <w:rFonts w:cs="Arial"/>
                <w:lang w:val="uk-UA" w:eastAsia="uk-UA" w:bidi="uk-UA"/>
              </w:rPr>
              <w:t>Зміна клімату</w:t>
            </w:r>
          </w:p>
          <w:p w:rsidR="00642FB4" w:rsidRDefault="00642FB4">
            <w:pPr>
              <w:jc w:val="both"/>
              <w:rPr>
                <w:rFonts w:cs="Arial"/>
                <w:lang w:val="uk-UA" w:eastAsia="uk-UA" w:bidi="uk-UA"/>
              </w:rPr>
            </w:pPr>
            <w:r>
              <w:rPr>
                <w:rFonts w:cs="Arial"/>
                <w:lang w:val="uk-UA" w:eastAsia="uk-UA" w:bidi="uk-UA"/>
              </w:rPr>
              <w:t>Біорізноманіття</w:t>
            </w:r>
          </w:p>
        </w:tc>
        <w:tc>
          <w:tcPr>
            <w:tcW w:w="1833" w:type="dxa"/>
            <w:tcBorders>
              <w:top w:val="single" w:sz="4" w:space="0" w:color="auto"/>
              <w:left w:val="single" w:sz="4" w:space="0" w:color="auto"/>
              <w:bottom w:val="single" w:sz="4" w:space="0" w:color="auto"/>
              <w:right w:val="single" w:sz="4" w:space="0" w:color="auto"/>
            </w:tcBorders>
            <w:vAlign w:val="center"/>
            <w:hideMark/>
          </w:tcPr>
          <w:p w:rsidR="00642FB4" w:rsidRDefault="00642FB4">
            <w:pPr>
              <w:rPr>
                <w:rFonts w:cs="Arial"/>
                <w:lang w:val="uk-UA" w:eastAsia="uk-UA" w:bidi="uk-UA"/>
              </w:rPr>
            </w:pPr>
            <w:r>
              <w:rPr>
                <w:rFonts w:cs="Arial"/>
                <w:lang w:val="uk-UA" w:eastAsia="uk-UA" w:bidi="uk-UA"/>
              </w:rPr>
              <w:t>Позитивний</w:t>
            </w:r>
          </w:p>
          <w:p w:rsidR="00642FB4" w:rsidRDefault="00642FB4">
            <w:pPr>
              <w:jc w:val="both"/>
              <w:rPr>
                <w:rFonts w:cs="Arial"/>
                <w:lang w:val="uk-UA" w:eastAsia="uk-UA" w:bidi="uk-UA"/>
              </w:rPr>
            </w:pPr>
          </w:p>
        </w:tc>
      </w:tr>
      <w:tr w:rsidR="00642FB4">
        <w:trPr>
          <w:jc w:val="center"/>
        </w:trPr>
        <w:tc>
          <w:tcPr>
            <w:tcW w:w="606"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05" w:name="_Toc413833825"/>
            <w:bookmarkStart w:id="106" w:name="_Toc414266949"/>
            <w:r>
              <w:rPr>
                <w:rFonts w:cs="Arial"/>
                <w:lang w:val="uk-UA" w:eastAsia="uk-UA" w:bidi="uk-UA"/>
              </w:rPr>
              <w:t>6.</w:t>
            </w:r>
            <w:bookmarkEnd w:id="105"/>
            <w:bookmarkEnd w:id="106"/>
          </w:p>
        </w:tc>
        <w:tc>
          <w:tcPr>
            <w:tcW w:w="5538"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Розробка спільних стратегій / політики / планів для поліпшення транскордонної транспортної інфраструктури</w:t>
            </w:r>
          </w:p>
        </w:tc>
        <w:tc>
          <w:tcPr>
            <w:tcW w:w="1843"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1833"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jc w:val="center"/>
        </w:trPr>
        <w:tc>
          <w:tcPr>
            <w:tcW w:w="606"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07" w:name="_Toc413833828"/>
            <w:bookmarkStart w:id="108" w:name="_Toc414266952"/>
            <w:r>
              <w:rPr>
                <w:rFonts w:cs="Arial"/>
                <w:lang w:val="uk-UA" w:eastAsia="uk-UA" w:bidi="uk-UA"/>
              </w:rPr>
              <w:t>7.</w:t>
            </w:r>
            <w:bookmarkEnd w:id="107"/>
            <w:bookmarkEnd w:id="108"/>
          </w:p>
        </w:tc>
        <w:tc>
          <w:tcPr>
            <w:tcW w:w="5538"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Розвиток транскордонних зв'язків, інформації та інтегрованих комунікаційних мереж та послуг</w:t>
            </w:r>
          </w:p>
        </w:tc>
        <w:tc>
          <w:tcPr>
            <w:tcW w:w="1843"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1833"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jc w:val="center"/>
        </w:trPr>
        <w:tc>
          <w:tcPr>
            <w:tcW w:w="606"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8.</w:t>
            </w:r>
          </w:p>
        </w:tc>
        <w:tc>
          <w:tcPr>
            <w:tcW w:w="5538"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Модернізація існуючих засобів для поліпшення зв'язків між громадами та соціальними послугами, які сприяють співпраці на ширшій міжнародній і транскордонній  основі</w:t>
            </w:r>
          </w:p>
        </w:tc>
        <w:tc>
          <w:tcPr>
            <w:tcW w:w="1843"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1833"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bl>
    <w:p w:rsidR="00642FB4" w:rsidRDefault="00642FB4">
      <w:pPr>
        <w:spacing w:before="60" w:after="60" w:line="288" w:lineRule="auto"/>
        <w:ind w:left="720"/>
        <w:jc w:val="both"/>
        <w:rPr>
          <w:rFonts w:eastAsia="EUAlbertina-Regular-Identity-H" w:cs="Arial"/>
          <w:bCs/>
          <w:lang w:val="uk-UA" w:eastAsia="uk-UA" w:bidi="uk-UA"/>
        </w:rPr>
      </w:pPr>
    </w:p>
    <w:p w:rsidR="00642FB4" w:rsidRDefault="00642FB4">
      <w:pPr>
        <w:spacing w:before="60" w:after="60" w:line="288" w:lineRule="auto"/>
        <w:jc w:val="both"/>
        <w:rPr>
          <w:rFonts w:cs="Arial"/>
          <w:b/>
          <w:lang w:val="uk-UA" w:eastAsia="uk-UA" w:bidi="uk-UA"/>
        </w:rPr>
      </w:pPr>
      <w:r>
        <w:rPr>
          <w:rFonts w:cs="Arial"/>
          <w:b/>
          <w:lang w:val="uk-UA" w:eastAsia="uk-UA" w:bidi="uk-UA"/>
        </w:rPr>
        <w:t xml:space="preserve">ТЦ8 – </w:t>
      </w:r>
      <w:r>
        <w:rPr>
          <w:rFonts w:eastAsia="Calibri" w:cs="Arial"/>
          <w:b/>
          <w:lang w:val="uk-UA" w:eastAsia="uk-UA" w:bidi="uk-UA"/>
        </w:rPr>
        <w:t>СПІЛЬНІ ВИКЛИКИ У СФЕРІ БЕЗПЕКИ ТА ЗАХИСТУ</w:t>
      </w:r>
    </w:p>
    <w:p w:rsidR="00642FB4" w:rsidRDefault="00642FB4">
      <w:pPr>
        <w:spacing w:before="60" w:after="60" w:line="288" w:lineRule="auto"/>
        <w:jc w:val="both"/>
        <w:rPr>
          <w:rFonts w:cs="Arial"/>
          <w:i/>
          <w:lang w:val="uk-UA" w:eastAsia="uk-UA" w:bidi="uk-UA"/>
        </w:rPr>
      </w:pPr>
      <w:r>
        <w:rPr>
          <w:rFonts w:cs="Arial"/>
          <w:b/>
          <w:i/>
          <w:lang w:val="uk-UA" w:eastAsia="uk-UA" w:bidi="uk-UA"/>
        </w:rPr>
        <w:t xml:space="preserve">Мета 4: </w:t>
      </w:r>
      <w:r>
        <w:rPr>
          <w:rFonts w:cs="Arial"/>
          <w:i/>
          <w:lang w:val="uk-UA" w:eastAsia="uk-UA" w:bidi="uk-UA"/>
        </w:rPr>
        <w:t>Спільні виклики у галузі транскордонної  безпеки, доступ до охорони здоров'я, управління природних та антропогенних ризиків та надзвичайних ситуацій у спільних проектах</w:t>
      </w:r>
    </w:p>
    <w:p w:rsidR="00642FB4" w:rsidRDefault="00642FB4">
      <w:pPr>
        <w:spacing w:before="60" w:after="60" w:line="288" w:lineRule="auto"/>
        <w:jc w:val="both"/>
        <w:rPr>
          <w:rFonts w:cs="Arial"/>
          <w:i/>
          <w:lang w:val="uk-UA" w:eastAsia="uk-UA" w:bidi="uk-UA"/>
        </w:rPr>
      </w:pPr>
    </w:p>
    <w:p w:rsidR="00642FB4" w:rsidRDefault="00642FB4">
      <w:pPr>
        <w:spacing w:before="60" w:after="60" w:line="288" w:lineRule="auto"/>
        <w:jc w:val="both"/>
        <w:rPr>
          <w:rFonts w:cs="Arial"/>
          <w:b/>
          <w:lang w:val="uk-UA" w:eastAsia="uk-UA" w:bidi="uk-UA"/>
        </w:rPr>
      </w:pPr>
      <w:r>
        <w:rPr>
          <w:rFonts w:cs="Arial"/>
          <w:b/>
          <w:lang w:val="uk-UA" w:eastAsia="uk-UA" w:bidi="uk-UA"/>
        </w:rPr>
        <w:t>Пріоритет 4.1 - Підтримка розвитку медичних послуг та доступ до охорони здоров'я</w:t>
      </w:r>
    </w:p>
    <w:tbl>
      <w:tblPr>
        <w:tblW w:w="9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5257"/>
        <w:gridCol w:w="2422"/>
        <w:gridCol w:w="1761"/>
      </w:tblGrid>
      <w:tr w:rsidR="00642FB4">
        <w:trPr>
          <w:tblHeade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w:t>
            </w:r>
          </w:p>
        </w:tc>
        <w:tc>
          <w:tcPr>
            <w:tcW w:w="6096"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Індикативна діяльність</w:t>
            </w:r>
          </w:p>
        </w:tc>
        <w:tc>
          <w:tcPr>
            <w:tcW w:w="1559"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Екологічні аспекти і завдання, які розглядатимуться</w:t>
            </w:r>
          </w:p>
        </w:tc>
        <w:tc>
          <w:tcPr>
            <w:tcW w:w="1768"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Потенційний вплив</w:t>
            </w:r>
          </w:p>
        </w:tc>
      </w:tr>
      <w:tr w:rsidR="00642FB4">
        <w:trPr>
          <w:jc w:val="center"/>
        </w:trPr>
        <w:tc>
          <w:tcPr>
            <w:tcW w:w="567"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09" w:name="_Toc413833850"/>
            <w:bookmarkStart w:id="110" w:name="_Toc414266974"/>
            <w:r>
              <w:rPr>
                <w:rFonts w:cs="Arial"/>
                <w:lang w:val="uk-UA" w:eastAsia="uk-UA" w:bidi="uk-UA"/>
              </w:rPr>
              <w:t>1.</w:t>
            </w:r>
            <w:bookmarkEnd w:id="109"/>
            <w:bookmarkEnd w:id="110"/>
          </w:p>
        </w:tc>
        <w:tc>
          <w:tcPr>
            <w:tcW w:w="6096"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Спільні заходи, спрямовані на розширення доступу до охорони здоров'я в прикордонній зоні за допомогою будівництва / реабілітації / модернізації інфраструктури охорони здоров'я (у тому числі з використанням відновлюваних джерел енергії тощо)</w:t>
            </w:r>
          </w:p>
        </w:tc>
        <w:tc>
          <w:tcPr>
            <w:tcW w:w="1559" w:type="dxa"/>
            <w:tcBorders>
              <w:top w:val="single" w:sz="4" w:space="0" w:color="auto"/>
              <w:left w:val="single" w:sz="4" w:space="0" w:color="auto"/>
              <w:bottom w:val="single" w:sz="4" w:space="0" w:color="auto"/>
              <w:right w:val="single" w:sz="4" w:space="0" w:color="auto"/>
            </w:tcBorders>
            <w:hideMark/>
          </w:tcPr>
          <w:p w:rsidR="00642FB4" w:rsidRDefault="00642FB4">
            <w:pPr>
              <w:rPr>
                <w:rFonts w:cs="Arial"/>
                <w:lang w:val="uk-UA" w:bidi="uk-UA"/>
              </w:rPr>
            </w:pPr>
            <w:r>
              <w:rPr>
                <w:rFonts w:cs="Arial"/>
                <w:lang w:val="uk-UA" w:bidi="uk-UA"/>
              </w:rPr>
              <w:t>Повітря</w:t>
            </w:r>
          </w:p>
          <w:p w:rsidR="00642FB4" w:rsidRDefault="00642FB4">
            <w:pPr>
              <w:rPr>
                <w:rFonts w:cs="Arial"/>
                <w:lang w:val="uk-UA" w:bidi="uk-UA"/>
              </w:rPr>
            </w:pPr>
            <w:r>
              <w:rPr>
                <w:rFonts w:cs="Arial"/>
                <w:lang w:val="uk-UA" w:bidi="uk-UA"/>
              </w:rPr>
              <w:t>Вода</w:t>
            </w:r>
          </w:p>
          <w:p w:rsidR="00642FB4" w:rsidRDefault="00642FB4">
            <w:pPr>
              <w:rPr>
                <w:rFonts w:cs="Arial"/>
                <w:lang w:val="uk-UA" w:bidi="uk-UA"/>
              </w:rPr>
            </w:pPr>
            <w:r>
              <w:rPr>
                <w:rFonts w:cs="Arial"/>
                <w:lang w:val="uk-UA" w:bidi="uk-UA"/>
              </w:rPr>
              <w:t>Земля</w:t>
            </w:r>
          </w:p>
          <w:p w:rsidR="00642FB4" w:rsidRDefault="00642FB4">
            <w:pPr>
              <w:rPr>
                <w:rFonts w:cs="Arial"/>
                <w:lang w:val="uk-UA" w:bidi="uk-UA"/>
              </w:rPr>
            </w:pPr>
            <w:r>
              <w:rPr>
                <w:rFonts w:cs="Arial"/>
                <w:lang w:val="uk-UA" w:bidi="uk-UA"/>
              </w:rPr>
              <w:t>Зміна клімату</w:t>
            </w:r>
          </w:p>
          <w:p w:rsidR="00642FB4" w:rsidRDefault="00642FB4">
            <w:pPr>
              <w:rPr>
                <w:rFonts w:cs="Arial"/>
                <w:lang w:val="uk-UA" w:bidi="uk-UA"/>
              </w:rPr>
            </w:pPr>
            <w:r>
              <w:rPr>
                <w:rFonts w:cs="Arial"/>
                <w:lang w:val="uk-UA" w:bidi="uk-UA"/>
              </w:rPr>
              <w:t>Менеджмент відходів</w:t>
            </w:r>
          </w:p>
          <w:p w:rsidR="00642FB4" w:rsidRDefault="00642FB4">
            <w:pPr>
              <w:rPr>
                <w:rFonts w:cs="Arial"/>
                <w:lang w:val="uk-UA" w:bidi="uk-UA"/>
              </w:rPr>
            </w:pPr>
            <w:r>
              <w:rPr>
                <w:rFonts w:cs="Arial"/>
                <w:lang w:val="uk-UA" w:bidi="uk-UA"/>
              </w:rPr>
              <w:t>Населення та громадське здоров'я</w:t>
            </w:r>
          </w:p>
        </w:tc>
        <w:tc>
          <w:tcPr>
            <w:tcW w:w="1768" w:type="dxa"/>
            <w:tcBorders>
              <w:top w:val="single" w:sz="4" w:space="0" w:color="auto"/>
              <w:left w:val="single" w:sz="4" w:space="0" w:color="auto"/>
              <w:bottom w:val="single" w:sz="4" w:space="0" w:color="auto"/>
              <w:right w:val="single" w:sz="4" w:space="0" w:color="auto"/>
            </w:tcBorders>
            <w:hideMark/>
          </w:tcPr>
          <w:p w:rsidR="00642FB4" w:rsidRDefault="00642FB4">
            <w:pPr>
              <w:rPr>
                <w:rFonts w:cs="Arial"/>
                <w:lang w:val="uk-UA" w:eastAsia="uk-UA" w:bidi="uk-UA"/>
              </w:rPr>
            </w:pPr>
            <w:r>
              <w:rPr>
                <w:rFonts w:cs="Arial"/>
                <w:lang w:val="uk-UA" w:eastAsia="uk-UA" w:bidi="uk-UA"/>
              </w:rPr>
              <w:t>Позитивний</w:t>
            </w:r>
          </w:p>
          <w:p w:rsidR="00642FB4" w:rsidRDefault="00642FB4">
            <w:pPr>
              <w:rPr>
                <w:rFonts w:cs="Arial"/>
                <w:lang w:val="uk-UA" w:bidi="uk-UA"/>
              </w:rPr>
            </w:pPr>
          </w:p>
        </w:tc>
      </w:tr>
      <w:tr w:rsidR="00642FB4">
        <w:trPr>
          <w:jc w:val="center"/>
        </w:trPr>
        <w:tc>
          <w:tcPr>
            <w:tcW w:w="567"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11" w:name="_Toc413833853"/>
            <w:bookmarkStart w:id="112" w:name="_Toc414266977"/>
            <w:r>
              <w:rPr>
                <w:rFonts w:cs="Arial"/>
                <w:lang w:val="uk-UA" w:eastAsia="uk-UA" w:bidi="uk-UA"/>
              </w:rPr>
              <w:t>2.</w:t>
            </w:r>
            <w:bookmarkEnd w:id="111"/>
            <w:bookmarkEnd w:id="112"/>
          </w:p>
        </w:tc>
        <w:tc>
          <w:tcPr>
            <w:tcW w:w="6096"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 xml:space="preserve"> Розвиток фіксованих та мобільних лабораторій для виявлення / моніторингу та запобігання  транскордонних епідемій</w:t>
            </w:r>
          </w:p>
        </w:tc>
        <w:tc>
          <w:tcPr>
            <w:tcW w:w="1559" w:type="dxa"/>
            <w:tcBorders>
              <w:top w:val="single" w:sz="4" w:space="0" w:color="auto"/>
              <w:left w:val="single" w:sz="4" w:space="0" w:color="auto"/>
              <w:bottom w:val="single" w:sz="4" w:space="0" w:color="auto"/>
              <w:right w:val="single" w:sz="4" w:space="0" w:color="auto"/>
            </w:tcBorders>
            <w:vAlign w:val="center"/>
            <w:hideMark/>
          </w:tcPr>
          <w:p w:rsidR="00642FB4" w:rsidRDefault="00642FB4">
            <w:pPr>
              <w:rPr>
                <w:rFonts w:cs="Arial"/>
                <w:lang w:val="uk-UA" w:eastAsia="uk-UA" w:bidi="uk-UA"/>
              </w:rPr>
            </w:pPr>
            <w:r>
              <w:rPr>
                <w:rFonts w:cs="Arial"/>
                <w:lang w:val="uk-UA" w:bidi="uk-UA"/>
              </w:rPr>
              <w:t>Населення та громадське здоров'я</w:t>
            </w:r>
          </w:p>
        </w:tc>
        <w:tc>
          <w:tcPr>
            <w:tcW w:w="1768" w:type="dxa"/>
            <w:tcBorders>
              <w:top w:val="single" w:sz="4" w:space="0" w:color="auto"/>
              <w:left w:val="single" w:sz="4" w:space="0" w:color="auto"/>
              <w:bottom w:val="single" w:sz="4" w:space="0" w:color="auto"/>
              <w:right w:val="single" w:sz="4" w:space="0" w:color="auto"/>
            </w:tcBorders>
            <w:vAlign w:val="center"/>
            <w:hideMark/>
          </w:tcPr>
          <w:p w:rsidR="00642FB4" w:rsidRDefault="00642FB4">
            <w:pPr>
              <w:rPr>
                <w:rFonts w:cs="Arial"/>
                <w:lang w:val="uk-UA" w:eastAsia="uk-UA" w:bidi="uk-UA"/>
              </w:rPr>
            </w:pPr>
            <w:r>
              <w:rPr>
                <w:rFonts w:cs="Arial"/>
                <w:lang w:val="uk-UA" w:eastAsia="uk-UA" w:bidi="uk-UA"/>
              </w:rPr>
              <w:t>Позитивний</w:t>
            </w:r>
          </w:p>
          <w:p w:rsidR="00642FB4" w:rsidRDefault="00642FB4">
            <w:pPr>
              <w:jc w:val="both"/>
              <w:rPr>
                <w:rFonts w:cs="Arial"/>
                <w:lang w:val="uk-UA" w:eastAsia="uk-UA" w:bidi="uk-UA"/>
              </w:rPr>
            </w:pPr>
          </w:p>
        </w:tc>
      </w:tr>
      <w:tr w:rsidR="00642FB4">
        <w:trPr>
          <w:jc w:val="center"/>
        </w:trPr>
        <w:tc>
          <w:tcPr>
            <w:tcW w:w="567"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13" w:name="_Toc413833860"/>
            <w:bookmarkStart w:id="114" w:name="_Toc414266984"/>
            <w:r>
              <w:rPr>
                <w:rFonts w:cs="Arial"/>
                <w:lang w:val="uk-UA" w:eastAsia="uk-UA" w:bidi="uk-UA"/>
              </w:rPr>
              <w:t>3.</w:t>
            </w:r>
            <w:bookmarkEnd w:id="113"/>
            <w:bookmarkEnd w:id="114"/>
          </w:p>
        </w:tc>
        <w:tc>
          <w:tcPr>
            <w:tcW w:w="6096"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Обладнання інфраструктури охорони здоров'я (амбулаторні підрозділи, засоби для швидкої допомоги, медичні центри, інтегроване соціальне втручання і т.д.)</w:t>
            </w:r>
          </w:p>
        </w:tc>
        <w:tc>
          <w:tcPr>
            <w:tcW w:w="1559" w:type="dxa"/>
            <w:tcBorders>
              <w:top w:val="single" w:sz="4" w:space="0" w:color="auto"/>
              <w:left w:val="single" w:sz="4" w:space="0" w:color="auto"/>
              <w:bottom w:val="single" w:sz="4" w:space="0" w:color="auto"/>
              <w:right w:val="single" w:sz="4" w:space="0" w:color="auto"/>
            </w:tcBorders>
            <w:vAlign w:val="center"/>
            <w:hideMark/>
          </w:tcPr>
          <w:p w:rsidR="00642FB4" w:rsidRDefault="00642FB4">
            <w:pPr>
              <w:rPr>
                <w:rFonts w:cs="Arial"/>
                <w:lang w:val="uk-UA" w:eastAsia="uk-UA" w:bidi="uk-UA"/>
              </w:rPr>
            </w:pPr>
            <w:r>
              <w:rPr>
                <w:rFonts w:cs="Arial"/>
                <w:lang w:val="uk-UA" w:bidi="uk-UA"/>
              </w:rPr>
              <w:t>Населення та громадське здоров'я</w:t>
            </w:r>
          </w:p>
        </w:tc>
        <w:tc>
          <w:tcPr>
            <w:tcW w:w="1768"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jc w:val="center"/>
        </w:trPr>
        <w:tc>
          <w:tcPr>
            <w:tcW w:w="567"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15" w:name="_Toc413833863"/>
            <w:bookmarkStart w:id="116" w:name="_Toc414266987"/>
            <w:r>
              <w:rPr>
                <w:rFonts w:cs="Arial"/>
                <w:lang w:val="uk-UA" w:eastAsia="uk-UA" w:bidi="uk-UA"/>
              </w:rPr>
              <w:t>4.</w:t>
            </w:r>
            <w:bookmarkEnd w:id="115"/>
            <w:bookmarkEnd w:id="116"/>
          </w:p>
        </w:tc>
        <w:tc>
          <w:tcPr>
            <w:tcW w:w="6096"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Спільні навчальні програми та обмін досвідом, мережі для підтримання роботи послуг охорони здоров'я, телемедицина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1768"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jc w:val="center"/>
        </w:trPr>
        <w:tc>
          <w:tcPr>
            <w:tcW w:w="567"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17" w:name="_Toc413833866"/>
            <w:bookmarkStart w:id="118" w:name="_Toc414266990"/>
            <w:r>
              <w:rPr>
                <w:rFonts w:cs="Arial"/>
                <w:lang w:val="uk-UA" w:eastAsia="uk-UA" w:bidi="uk-UA"/>
              </w:rPr>
              <w:t>5.</w:t>
            </w:r>
            <w:bookmarkEnd w:id="117"/>
            <w:bookmarkEnd w:id="118"/>
          </w:p>
        </w:tc>
        <w:tc>
          <w:tcPr>
            <w:tcW w:w="6096"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Обмін досвідом, спільні заходи з метою забезпечення узгодженості принципів лікування, спільні діагностичні програми</w:t>
            </w:r>
          </w:p>
        </w:tc>
        <w:tc>
          <w:tcPr>
            <w:tcW w:w="1559"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1768"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jc w:val="center"/>
        </w:trPr>
        <w:tc>
          <w:tcPr>
            <w:tcW w:w="567"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19" w:name="_Toc413833869"/>
            <w:bookmarkStart w:id="120" w:name="_Toc414266993"/>
            <w:r>
              <w:rPr>
                <w:rFonts w:cs="Arial"/>
                <w:lang w:val="uk-UA" w:eastAsia="uk-UA" w:bidi="uk-UA"/>
              </w:rPr>
              <w:t>6.</w:t>
            </w:r>
            <w:bookmarkEnd w:id="119"/>
            <w:bookmarkEnd w:id="120"/>
          </w:p>
        </w:tc>
        <w:tc>
          <w:tcPr>
            <w:tcW w:w="6096"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Кампанії з підвищення громадської освіти з  питань здоров'я, хвороб та епідемій</w:t>
            </w:r>
          </w:p>
        </w:tc>
        <w:tc>
          <w:tcPr>
            <w:tcW w:w="1559"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1768"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bl>
    <w:p w:rsidR="00642FB4" w:rsidRDefault="00642FB4">
      <w:pPr>
        <w:spacing w:before="60" w:after="60" w:line="288" w:lineRule="auto"/>
        <w:ind w:left="720"/>
        <w:jc w:val="both"/>
        <w:rPr>
          <w:rFonts w:eastAsia="EUAlbertina-Regular-Identity-H" w:cs="Arial"/>
          <w:bCs/>
          <w:lang w:val="uk-UA" w:eastAsia="uk-UA" w:bidi="uk-UA"/>
        </w:rPr>
      </w:pPr>
    </w:p>
    <w:p w:rsidR="00642FB4" w:rsidRDefault="00642FB4">
      <w:pPr>
        <w:spacing w:before="60" w:after="60" w:line="288" w:lineRule="auto"/>
        <w:jc w:val="both"/>
        <w:rPr>
          <w:rFonts w:cs="Arial"/>
          <w:b/>
          <w:lang w:val="uk-UA" w:eastAsia="uk-UA" w:bidi="uk-UA"/>
        </w:rPr>
      </w:pPr>
      <w:r>
        <w:rPr>
          <w:rFonts w:cs="Arial"/>
          <w:b/>
          <w:lang w:val="uk-UA" w:eastAsia="uk-UA" w:bidi="uk-UA"/>
        </w:rPr>
        <w:t>Пріоритет 4.2 - Підтримка спільних заходів щодо попередження природних катастроф і катастроф викликаних людьми та спільні заходи під час надзвичайних ситуацій</w:t>
      </w:r>
    </w:p>
    <w:tbl>
      <w:tblPr>
        <w:tblW w:w="100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
        <w:gridCol w:w="5340"/>
        <w:gridCol w:w="2422"/>
        <w:gridCol w:w="1802"/>
      </w:tblGrid>
      <w:tr w:rsidR="00642FB4">
        <w:trPr>
          <w:jc w:val="center"/>
        </w:trPr>
        <w:tc>
          <w:tcPr>
            <w:tcW w:w="529"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w:t>
            </w:r>
          </w:p>
        </w:tc>
        <w:tc>
          <w:tcPr>
            <w:tcW w:w="6062"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Індикативна діяльність</w:t>
            </w:r>
          </w:p>
        </w:tc>
        <w:tc>
          <w:tcPr>
            <w:tcW w:w="1675"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Екологічні аспекти і завдання, які розглядатимуться</w:t>
            </w:r>
          </w:p>
        </w:tc>
        <w:tc>
          <w:tcPr>
            <w:tcW w:w="1819"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Потенційний вплив</w:t>
            </w:r>
          </w:p>
        </w:tc>
      </w:tr>
      <w:tr w:rsidR="00642FB4">
        <w:trPr>
          <w:jc w:val="center"/>
        </w:trPr>
        <w:tc>
          <w:tcPr>
            <w:tcW w:w="529"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21" w:name="_Toc413833881"/>
            <w:bookmarkStart w:id="122" w:name="_Toc414267005"/>
            <w:r>
              <w:rPr>
                <w:rFonts w:cs="Arial"/>
                <w:lang w:val="uk-UA" w:eastAsia="uk-UA" w:bidi="uk-UA"/>
              </w:rPr>
              <w:t>1.</w:t>
            </w:r>
            <w:bookmarkEnd w:id="121"/>
            <w:bookmarkEnd w:id="122"/>
          </w:p>
        </w:tc>
        <w:tc>
          <w:tcPr>
            <w:tcW w:w="6062"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Спільні заходи щодо запобігання зсувів і повнів в прикордонних територіях</w:t>
            </w:r>
          </w:p>
        </w:tc>
        <w:tc>
          <w:tcPr>
            <w:tcW w:w="1675" w:type="dxa"/>
            <w:tcBorders>
              <w:top w:val="single" w:sz="4" w:space="0" w:color="auto"/>
              <w:left w:val="single" w:sz="4" w:space="0" w:color="auto"/>
              <w:bottom w:val="single" w:sz="4" w:space="0" w:color="auto"/>
              <w:right w:val="single" w:sz="4" w:space="0" w:color="auto"/>
            </w:tcBorders>
            <w:vAlign w:val="center"/>
            <w:hideMark/>
          </w:tcPr>
          <w:p w:rsidR="00642FB4" w:rsidRDefault="00642FB4">
            <w:pPr>
              <w:rPr>
                <w:rFonts w:cs="Arial"/>
                <w:lang w:val="uk-UA" w:bidi="uk-UA"/>
              </w:rPr>
            </w:pPr>
            <w:r>
              <w:rPr>
                <w:rFonts w:cs="Arial"/>
                <w:lang w:val="uk-UA" w:bidi="uk-UA"/>
              </w:rPr>
              <w:t>Повітря</w:t>
            </w:r>
          </w:p>
          <w:p w:rsidR="00642FB4" w:rsidRDefault="00642FB4">
            <w:pPr>
              <w:rPr>
                <w:rFonts w:cs="Arial"/>
                <w:lang w:val="uk-UA" w:bidi="uk-UA"/>
              </w:rPr>
            </w:pPr>
            <w:r>
              <w:rPr>
                <w:rFonts w:cs="Arial"/>
                <w:lang w:val="uk-UA" w:bidi="uk-UA"/>
              </w:rPr>
              <w:t>Вода</w:t>
            </w:r>
          </w:p>
          <w:p w:rsidR="00642FB4" w:rsidRDefault="00642FB4">
            <w:pPr>
              <w:rPr>
                <w:rFonts w:cs="Arial"/>
                <w:lang w:val="uk-UA" w:bidi="uk-UA"/>
              </w:rPr>
            </w:pPr>
            <w:r>
              <w:rPr>
                <w:rFonts w:cs="Arial"/>
                <w:lang w:val="uk-UA" w:bidi="uk-UA"/>
              </w:rPr>
              <w:t>Менеджмент відходів</w:t>
            </w:r>
          </w:p>
          <w:p w:rsidR="00642FB4" w:rsidRDefault="00642FB4">
            <w:pPr>
              <w:jc w:val="both"/>
              <w:rPr>
                <w:rFonts w:cs="Arial"/>
                <w:lang w:val="uk-UA" w:eastAsia="uk-UA" w:bidi="uk-UA"/>
              </w:rPr>
            </w:pPr>
            <w:r>
              <w:rPr>
                <w:rFonts w:cs="Arial"/>
                <w:lang w:val="uk-UA" w:eastAsia="uk-UA" w:bidi="uk-UA"/>
              </w:rPr>
              <w:t>Біорізноманіття</w:t>
            </w:r>
          </w:p>
        </w:tc>
        <w:tc>
          <w:tcPr>
            <w:tcW w:w="1819" w:type="dxa"/>
            <w:tcBorders>
              <w:top w:val="single" w:sz="4" w:space="0" w:color="auto"/>
              <w:left w:val="single" w:sz="4" w:space="0" w:color="auto"/>
              <w:bottom w:val="single" w:sz="4" w:space="0" w:color="auto"/>
              <w:right w:val="single" w:sz="4" w:space="0" w:color="auto"/>
            </w:tcBorders>
            <w:vAlign w:val="center"/>
            <w:hideMark/>
          </w:tcPr>
          <w:p w:rsidR="00642FB4" w:rsidRDefault="00642FB4">
            <w:pPr>
              <w:rPr>
                <w:rFonts w:cs="Arial"/>
                <w:lang w:val="uk-UA" w:eastAsia="uk-UA" w:bidi="uk-UA"/>
              </w:rPr>
            </w:pPr>
            <w:bookmarkStart w:id="123" w:name="_Toc413833886"/>
            <w:bookmarkStart w:id="124" w:name="_Toc414267010"/>
            <w:r>
              <w:rPr>
                <w:rFonts w:cs="Arial"/>
                <w:lang w:val="uk-UA" w:eastAsia="uk-UA" w:bidi="uk-UA"/>
              </w:rPr>
              <w:t>Позитивний</w:t>
            </w:r>
          </w:p>
          <w:bookmarkEnd w:id="123"/>
          <w:bookmarkEnd w:id="124"/>
          <w:p w:rsidR="00642FB4" w:rsidRDefault="00642FB4">
            <w:pPr>
              <w:jc w:val="both"/>
              <w:rPr>
                <w:rFonts w:cs="Arial"/>
                <w:lang w:val="uk-UA" w:eastAsia="uk-UA" w:bidi="uk-UA"/>
              </w:rPr>
            </w:pPr>
          </w:p>
        </w:tc>
      </w:tr>
      <w:tr w:rsidR="00642FB4">
        <w:trPr>
          <w:jc w:val="center"/>
        </w:trPr>
        <w:tc>
          <w:tcPr>
            <w:tcW w:w="529"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25" w:name="_Toc413833887"/>
            <w:bookmarkStart w:id="126" w:name="_Toc414267011"/>
            <w:r>
              <w:rPr>
                <w:rFonts w:cs="Arial"/>
                <w:lang w:val="uk-UA" w:eastAsia="uk-UA" w:bidi="uk-UA"/>
              </w:rPr>
              <w:t>2.</w:t>
            </w:r>
            <w:bookmarkEnd w:id="125"/>
            <w:bookmarkEnd w:id="126"/>
          </w:p>
        </w:tc>
        <w:tc>
          <w:tcPr>
            <w:tcW w:w="6062"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Інтегровані спільні системи ефективного моніторинга і попередження стихійних лих і пом'якшення наслідків</w:t>
            </w:r>
          </w:p>
        </w:tc>
        <w:tc>
          <w:tcPr>
            <w:tcW w:w="1675" w:type="dxa"/>
            <w:tcBorders>
              <w:top w:val="single" w:sz="4" w:space="0" w:color="auto"/>
              <w:left w:val="single" w:sz="4" w:space="0" w:color="auto"/>
              <w:bottom w:val="single" w:sz="4" w:space="0" w:color="auto"/>
              <w:right w:val="single" w:sz="4" w:space="0" w:color="auto"/>
            </w:tcBorders>
            <w:vAlign w:val="center"/>
            <w:hideMark/>
          </w:tcPr>
          <w:p w:rsidR="00642FB4" w:rsidRDefault="00642FB4">
            <w:pPr>
              <w:rPr>
                <w:rFonts w:cs="Arial"/>
                <w:lang w:val="uk-UA" w:bidi="uk-UA"/>
              </w:rPr>
            </w:pPr>
            <w:r>
              <w:rPr>
                <w:rFonts w:cs="Arial"/>
                <w:lang w:val="uk-UA" w:bidi="uk-UA"/>
              </w:rPr>
              <w:t>Повітря</w:t>
            </w:r>
          </w:p>
          <w:p w:rsidR="00642FB4" w:rsidRDefault="00642FB4">
            <w:pPr>
              <w:rPr>
                <w:rFonts w:cs="Arial"/>
                <w:lang w:val="uk-UA" w:bidi="uk-UA"/>
              </w:rPr>
            </w:pPr>
            <w:r>
              <w:rPr>
                <w:rFonts w:cs="Arial"/>
                <w:lang w:val="uk-UA" w:bidi="uk-UA"/>
              </w:rPr>
              <w:t>Вода</w:t>
            </w:r>
          </w:p>
          <w:p w:rsidR="00642FB4" w:rsidRDefault="00642FB4">
            <w:pPr>
              <w:rPr>
                <w:rFonts w:cs="Arial"/>
                <w:lang w:val="uk-UA" w:bidi="uk-UA"/>
              </w:rPr>
            </w:pPr>
            <w:r>
              <w:rPr>
                <w:rFonts w:cs="Arial"/>
                <w:lang w:val="uk-UA" w:bidi="uk-UA"/>
              </w:rPr>
              <w:t>Менеджмент відходів</w:t>
            </w:r>
          </w:p>
          <w:p w:rsidR="00642FB4" w:rsidRDefault="00642FB4">
            <w:pPr>
              <w:jc w:val="both"/>
              <w:rPr>
                <w:rFonts w:cs="Arial"/>
                <w:lang w:val="uk-UA" w:eastAsia="uk-UA" w:bidi="uk-UA"/>
              </w:rPr>
            </w:pPr>
            <w:r>
              <w:rPr>
                <w:rFonts w:cs="Arial"/>
                <w:lang w:val="uk-UA" w:eastAsia="uk-UA" w:bidi="uk-UA"/>
              </w:rPr>
              <w:t>Біорізноманіття</w:t>
            </w:r>
          </w:p>
        </w:tc>
        <w:tc>
          <w:tcPr>
            <w:tcW w:w="1819" w:type="dxa"/>
            <w:tcBorders>
              <w:top w:val="single" w:sz="4" w:space="0" w:color="auto"/>
              <w:left w:val="single" w:sz="4" w:space="0" w:color="auto"/>
              <w:bottom w:val="single" w:sz="4" w:space="0" w:color="auto"/>
              <w:right w:val="single" w:sz="4" w:space="0" w:color="auto"/>
            </w:tcBorders>
            <w:vAlign w:val="center"/>
            <w:hideMark/>
          </w:tcPr>
          <w:p w:rsidR="00642FB4" w:rsidRDefault="00642FB4">
            <w:pPr>
              <w:rPr>
                <w:rFonts w:cs="Arial"/>
                <w:lang w:val="uk-UA" w:eastAsia="uk-UA" w:bidi="uk-UA"/>
              </w:rPr>
            </w:pPr>
            <w:r>
              <w:rPr>
                <w:rFonts w:cs="Arial"/>
                <w:lang w:val="uk-UA" w:eastAsia="uk-UA" w:bidi="uk-UA"/>
              </w:rPr>
              <w:t>Позитивний</w:t>
            </w:r>
          </w:p>
          <w:p w:rsidR="00642FB4" w:rsidRDefault="00642FB4">
            <w:pPr>
              <w:jc w:val="both"/>
              <w:rPr>
                <w:rFonts w:cs="Arial"/>
                <w:lang w:val="uk-UA" w:eastAsia="uk-UA" w:bidi="uk-UA"/>
              </w:rPr>
            </w:pPr>
          </w:p>
        </w:tc>
      </w:tr>
      <w:tr w:rsidR="00642FB4">
        <w:trPr>
          <w:jc w:val="center"/>
        </w:trPr>
        <w:tc>
          <w:tcPr>
            <w:tcW w:w="529"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27" w:name="_Toc413833893"/>
            <w:bookmarkStart w:id="128" w:name="_Toc414267017"/>
            <w:r>
              <w:rPr>
                <w:rFonts w:cs="Arial"/>
                <w:lang w:val="uk-UA" w:eastAsia="uk-UA" w:bidi="uk-UA"/>
              </w:rPr>
              <w:t>3.</w:t>
            </w:r>
            <w:bookmarkEnd w:id="127"/>
            <w:bookmarkEnd w:id="128"/>
          </w:p>
        </w:tc>
        <w:tc>
          <w:tcPr>
            <w:tcW w:w="6062"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Спільні стратегії та інструменти для управління та запобігання ризиків, у тому числі спільні плани заходів</w:t>
            </w:r>
          </w:p>
        </w:tc>
        <w:tc>
          <w:tcPr>
            <w:tcW w:w="1675"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1819"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jc w:val="center"/>
        </w:trPr>
        <w:tc>
          <w:tcPr>
            <w:tcW w:w="529"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29" w:name="_Toc413833896"/>
            <w:bookmarkStart w:id="130" w:name="_Toc414267020"/>
            <w:r>
              <w:rPr>
                <w:rFonts w:cs="Arial"/>
                <w:lang w:val="uk-UA" w:eastAsia="uk-UA" w:bidi="uk-UA"/>
              </w:rPr>
              <w:t>4.</w:t>
            </w:r>
            <w:bookmarkEnd w:id="129"/>
            <w:bookmarkEnd w:id="130"/>
          </w:p>
        </w:tc>
        <w:tc>
          <w:tcPr>
            <w:tcW w:w="6062"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Розробка спільних карт та детальної бази даних (із зазначенням природних і техногенних ризиків та користування ділянок для влад регіонального планування, природоохоронних відомств і екстрених служб)</w:t>
            </w:r>
          </w:p>
        </w:tc>
        <w:tc>
          <w:tcPr>
            <w:tcW w:w="1675" w:type="dxa"/>
            <w:tcBorders>
              <w:top w:val="single" w:sz="4" w:space="0" w:color="auto"/>
              <w:left w:val="single" w:sz="4" w:space="0" w:color="auto"/>
              <w:bottom w:val="single" w:sz="4" w:space="0" w:color="auto"/>
              <w:right w:val="single" w:sz="4" w:space="0" w:color="auto"/>
            </w:tcBorders>
            <w:vAlign w:val="center"/>
          </w:tcPr>
          <w:p w:rsidR="00642FB4" w:rsidRDefault="00642FB4">
            <w:pPr>
              <w:rPr>
                <w:rFonts w:cs="Arial"/>
                <w:lang w:val="uk-UA" w:bidi="uk-UA"/>
              </w:rPr>
            </w:pPr>
            <w:r>
              <w:rPr>
                <w:rFonts w:cs="Arial"/>
                <w:lang w:val="uk-UA" w:bidi="uk-UA"/>
              </w:rPr>
              <w:t>Повітря</w:t>
            </w:r>
          </w:p>
          <w:p w:rsidR="00642FB4" w:rsidRDefault="00642FB4">
            <w:pPr>
              <w:rPr>
                <w:rFonts w:cs="Arial"/>
                <w:lang w:val="uk-UA" w:bidi="uk-UA"/>
              </w:rPr>
            </w:pPr>
            <w:r>
              <w:rPr>
                <w:rFonts w:cs="Arial"/>
                <w:lang w:val="uk-UA" w:bidi="uk-UA"/>
              </w:rPr>
              <w:t>Вода</w:t>
            </w:r>
          </w:p>
          <w:p w:rsidR="00642FB4" w:rsidRDefault="00642FB4">
            <w:pPr>
              <w:jc w:val="both"/>
              <w:rPr>
                <w:rFonts w:cs="Arial"/>
                <w:lang w:val="uk-UA" w:eastAsia="uk-UA" w:bidi="uk-UA"/>
              </w:rPr>
            </w:pPr>
            <w:r>
              <w:rPr>
                <w:rFonts w:cs="Arial"/>
                <w:lang w:val="uk-UA" w:eastAsia="uk-UA" w:bidi="uk-UA"/>
              </w:rPr>
              <w:t xml:space="preserve">Біорізноманіття </w:t>
            </w:r>
          </w:p>
        </w:tc>
        <w:tc>
          <w:tcPr>
            <w:tcW w:w="1819" w:type="dxa"/>
            <w:tcBorders>
              <w:top w:val="single" w:sz="4" w:space="0" w:color="auto"/>
              <w:left w:val="single" w:sz="4" w:space="0" w:color="auto"/>
              <w:bottom w:val="single" w:sz="4" w:space="0" w:color="auto"/>
              <w:right w:val="single" w:sz="4" w:space="0" w:color="auto"/>
            </w:tcBorders>
            <w:vAlign w:val="center"/>
            <w:hideMark/>
          </w:tcPr>
          <w:p w:rsidR="00642FB4" w:rsidRDefault="00642FB4">
            <w:pPr>
              <w:rPr>
                <w:rFonts w:cs="Arial"/>
                <w:lang w:val="uk-UA" w:eastAsia="uk-UA" w:bidi="uk-UA"/>
              </w:rPr>
            </w:pPr>
            <w:r>
              <w:rPr>
                <w:rFonts w:cs="Arial"/>
                <w:lang w:val="uk-UA" w:eastAsia="uk-UA" w:bidi="uk-UA"/>
              </w:rPr>
              <w:t>Позитивний</w:t>
            </w:r>
          </w:p>
          <w:p w:rsidR="00642FB4" w:rsidRDefault="00642FB4">
            <w:pPr>
              <w:jc w:val="both"/>
              <w:rPr>
                <w:rFonts w:cs="Arial"/>
                <w:lang w:val="uk-UA" w:eastAsia="uk-UA" w:bidi="uk-UA"/>
              </w:rPr>
            </w:pPr>
          </w:p>
        </w:tc>
      </w:tr>
      <w:tr w:rsidR="00642FB4">
        <w:trPr>
          <w:jc w:val="center"/>
        </w:trPr>
        <w:tc>
          <w:tcPr>
            <w:tcW w:w="529"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31" w:name="_Toc413833902"/>
            <w:bookmarkStart w:id="132" w:name="_Toc414267026"/>
            <w:r>
              <w:rPr>
                <w:rFonts w:cs="Arial"/>
                <w:lang w:val="uk-UA" w:eastAsia="uk-UA" w:bidi="uk-UA"/>
              </w:rPr>
              <w:t>5.</w:t>
            </w:r>
            <w:bookmarkEnd w:id="131"/>
            <w:bookmarkEnd w:id="132"/>
          </w:p>
        </w:tc>
        <w:tc>
          <w:tcPr>
            <w:tcW w:w="6062"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Обмін досвідом і знаннями, в тому числі підвищення знань в галузі попередження ризиків та ефективного управління в прикордонній території</w:t>
            </w:r>
          </w:p>
        </w:tc>
        <w:tc>
          <w:tcPr>
            <w:tcW w:w="1675"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1819"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jc w:val="center"/>
        </w:trPr>
        <w:tc>
          <w:tcPr>
            <w:tcW w:w="529"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33" w:name="_Toc413833905"/>
            <w:bookmarkStart w:id="134" w:name="_Toc414267029"/>
            <w:r>
              <w:rPr>
                <w:rFonts w:cs="Arial"/>
                <w:lang w:val="uk-UA" w:eastAsia="uk-UA" w:bidi="uk-UA"/>
              </w:rPr>
              <w:t>6.</w:t>
            </w:r>
            <w:bookmarkEnd w:id="133"/>
            <w:bookmarkEnd w:id="134"/>
          </w:p>
        </w:tc>
        <w:tc>
          <w:tcPr>
            <w:tcW w:w="6062"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Розробка спільних інтегрованих стандартів для міського планування та управління ризиками</w:t>
            </w:r>
          </w:p>
        </w:tc>
        <w:tc>
          <w:tcPr>
            <w:tcW w:w="1675"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1819"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bookmarkStart w:id="135" w:name="_Toc413833907"/>
            <w:bookmarkStart w:id="136" w:name="_Toc414267031"/>
            <w:r>
              <w:rPr>
                <w:rFonts w:cs="Arial"/>
                <w:lang w:val="uk-UA" w:eastAsia="uk-UA" w:bidi="uk-UA"/>
              </w:rPr>
              <w:t>Indirect</w:t>
            </w:r>
            <w:bookmarkEnd w:id="135"/>
            <w:bookmarkEnd w:id="136"/>
          </w:p>
        </w:tc>
      </w:tr>
      <w:tr w:rsidR="00642FB4">
        <w:trPr>
          <w:jc w:val="center"/>
        </w:trPr>
        <w:tc>
          <w:tcPr>
            <w:tcW w:w="529"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37" w:name="_Toc413833908"/>
            <w:bookmarkStart w:id="138" w:name="_Toc414267032"/>
            <w:r>
              <w:rPr>
                <w:rFonts w:cs="Arial"/>
                <w:lang w:val="uk-UA" w:eastAsia="uk-UA" w:bidi="uk-UA"/>
              </w:rPr>
              <w:t>7.</w:t>
            </w:r>
            <w:bookmarkEnd w:id="137"/>
            <w:bookmarkEnd w:id="138"/>
          </w:p>
        </w:tc>
        <w:tc>
          <w:tcPr>
            <w:tcW w:w="6062"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Інвестиції та розвиток спільних інтегрованих систем для управління у разі надзвичайних ситуацій</w:t>
            </w:r>
          </w:p>
        </w:tc>
        <w:tc>
          <w:tcPr>
            <w:tcW w:w="1675" w:type="dxa"/>
            <w:tcBorders>
              <w:top w:val="single" w:sz="4" w:space="0" w:color="auto"/>
              <w:left w:val="single" w:sz="4" w:space="0" w:color="auto"/>
              <w:bottom w:val="single" w:sz="4" w:space="0" w:color="auto"/>
              <w:right w:val="single" w:sz="4" w:space="0" w:color="auto"/>
            </w:tcBorders>
            <w:vAlign w:val="center"/>
            <w:hideMark/>
          </w:tcPr>
          <w:p w:rsidR="00642FB4" w:rsidRDefault="00642FB4">
            <w:pPr>
              <w:rPr>
                <w:rFonts w:cs="Arial"/>
                <w:lang w:val="uk-UA" w:bidi="uk-UA"/>
              </w:rPr>
            </w:pPr>
            <w:r>
              <w:rPr>
                <w:rFonts w:cs="Arial"/>
                <w:lang w:val="uk-UA" w:bidi="uk-UA"/>
              </w:rPr>
              <w:t>Повітря</w:t>
            </w:r>
          </w:p>
          <w:p w:rsidR="00642FB4" w:rsidRDefault="00642FB4">
            <w:pPr>
              <w:rPr>
                <w:rFonts w:cs="Arial"/>
                <w:lang w:val="uk-UA" w:bidi="uk-UA"/>
              </w:rPr>
            </w:pPr>
            <w:r>
              <w:rPr>
                <w:rFonts w:cs="Arial"/>
                <w:lang w:val="uk-UA" w:bidi="uk-UA"/>
              </w:rPr>
              <w:t>Вода</w:t>
            </w:r>
          </w:p>
          <w:p w:rsidR="00642FB4" w:rsidRDefault="00642FB4">
            <w:pPr>
              <w:rPr>
                <w:rFonts w:cs="Arial"/>
                <w:lang w:val="uk-UA" w:bidi="uk-UA"/>
              </w:rPr>
            </w:pPr>
            <w:r>
              <w:rPr>
                <w:rFonts w:cs="Arial"/>
                <w:lang w:val="uk-UA" w:bidi="uk-UA"/>
              </w:rPr>
              <w:t>Земля</w:t>
            </w:r>
          </w:p>
          <w:p w:rsidR="00642FB4" w:rsidRDefault="00642FB4">
            <w:pPr>
              <w:rPr>
                <w:rFonts w:cs="Arial"/>
                <w:lang w:val="uk-UA" w:bidi="uk-UA"/>
              </w:rPr>
            </w:pPr>
            <w:r>
              <w:rPr>
                <w:rFonts w:cs="Arial"/>
                <w:lang w:val="uk-UA" w:bidi="uk-UA"/>
              </w:rPr>
              <w:t>Зміна клімату</w:t>
            </w:r>
          </w:p>
          <w:p w:rsidR="00642FB4" w:rsidRDefault="00642FB4">
            <w:pPr>
              <w:rPr>
                <w:rFonts w:cs="Arial"/>
                <w:lang w:val="uk-UA" w:bidi="uk-UA"/>
              </w:rPr>
            </w:pPr>
            <w:r>
              <w:rPr>
                <w:rFonts w:cs="Arial"/>
                <w:lang w:val="uk-UA" w:bidi="uk-UA"/>
              </w:rPr>
              <w:t>Менеджмент відходів</w:t>
            </w:r>
          </w:p>
          <w:p w:rsidR="00642FB4" w:rsidRDefault="00642FB4">
            <w:pPr>
              <w:jc w:val="both"/>
              <w:rPr>
                <w:rFonts w:cs="Arial"/>
                <w:lang w:val="uk-UA" w:eastAsia="uk-UA" w:bidi="uk-UA"/>
              </w:rPr>
            </w:pPr>
            <w:r>
              <w:rPr>
                <w:rFonts w:cs="Arial"/>
                <w:lang w:val="uk-UA" w:bidi="uk-UA"/>
              </w:rPr>
              <w:t>Населення та громадське здоров'я</w:t>
            </w:r>
          </w:p>
        </w:tc>
        <w:tc>
          <w:tcPr>
            <w:tcW w:w="1819" w:type="dxa"/>
            <w:tcBorders>
              <w:top w:val="single" w:sz="4" w:space="0" w:color="auto"/>
              <w:left w:val="single" w:sz="4" w:space="0" w:color="auto"/>
              <w:bottom w:val="single" w:sz="4" w:space="0" w:color="auto"/>
              <w:right w:val="single" w:sz="4" w:space="0" w:color="auto"/>
            </w:tcBorders>
            <w:vAlign w:val="center"/>
            <w:hideMark/>
          </w:tcPr>
          <w:p w:rsidR="00642FB4" w:rsidRDefault="00642FB4">
            <w:pPr>
              <w:rPr>
                <w:rFonts w:cs="Arial"/>
                <w:lang w:val="uk-UA" w:eastAsia="uk-UA" w:bidi="uk-UA"/>
              </w:rPr>
            </w:pPr>
            <w:r>
              <w:rPr>
                <w:rFonts w:cs="Arial"/>
                <w:lang w:val="uk-UA" w:eastAsia="uk-UA" w:bidi="uk-UA"/>
              </w:rPr>
              <w:t>Позитивний</w:t>
            </w:r>
          </w:p>
          <w:p w:rsidR="00642FB4" w:rsidRDefault="00642FB4">
            <w:pPr>
              <w:jc w:val="both"/>
              <w:rPr>
                <w:rFonts w:cs="Arial"/>
                <w:lang w:val="uk-UA" w:eastAsia="uk-UA" w:bidi="uk-UA"/>
              </w:rPr>
            </w:pPr>
          </w:p>
        </w:tc>
      </w:tr>
      <w:tr w:rsidR="00642FB4">
        <w:trPr>
          <w:jc w:val="center"/>
        </w:trPr>
        <w:tc>
          <w:tcPr>
            <w:tcW w:w="529"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39" w:name="_Toc413833914"/>
            <w:bookmarkStart w:id="140" w:name="_Toc414267038"/>
            <w:r>
              <w:rPr>
                <w:rFonts w:cs="Arial"/>
                <w:lang w:val="uk-UA" w:eastAsia="uk-UA" w:bidi="uk-UA"/>
              </w:rPr>
              <w:t>8.</w:t>
            </w:r>
            <w:bookmarkEnd w:id="139"/>
            <w:bookmarkEnd w:id="140"/>
          </w:p>
        </w:tc>
        <w:tc>
          <w:tcPr>
            <w:tcW w:w="6062"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Планування скоординованих дій органів влади у надзвичайних ситуаціях, викликаних природними або техногенними катастрофами (повені, пожежі, спека, землетруси, урагани).</w:t>
            </w:r>
          </w:p>
        </w:tc>
        <w:tc>
          <w:tcPr>
            <w:tcW w:w="1675"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1819"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bl>
    <w:p w:rsidR="00642FB4" w:rsidRDefault="00642FB4">
      <w:pPr>
        <w:spacing w:before="60" w:after="60" w:line="288" w:lineRule="auto"/>
        <w:jc w:val="both"/>
        <w:rPr>
          <w:rFonts w:cs="Arial"/>
          <w:b/>
          <w:lang w:val="uk-UA" w:eastAsia="uk-UA" w:bidi="uk-UA"/>
        </w:rPr>
      </w:pPr>
    </w:p>
    <w:p w:rsidR="00642FB4" w:rsidRDefault="00642FB4">
      <w:pPr>
        <w:spacing w:before="60" w:after="60" w:line="288" w:lineRule="auto"/>
        <w:jc w:val="both"/>
        <w:rPr>
          <w:rFonts w:cs="Arial"/>
          <w:b/>
          <w:lang w:val="uk-UA" w:eastAsia="uk-UA" w:bidi="uk-UA"/>
        </w:rPr>
      </w:pPr>
      <w:r>
        <w:rPr>
          <w:rFonts w:cs="Arial"/>
          <w:b/>
          <w:lang w:val="uk-UA" w:eastAsia="uk-UA" w:bidi="uk-UA"/>
        </w:rPr>
        <w:t xml:space="preserve">Пріоритет 4.3 - Запобігання та боротьба з організованою злочинністю і співробітництво між органами поліції </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
        <w:gridCol w:w="5410"/>
        <w:gridCol w:w="2422"/>
        <w:gridCol w:w="1820"/>
      </w:tblGrid>
      <w:tr w:rsidR="00642FB4">
        <w:trPr>
          <w:tblHeade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w:t>
            </w:r>
          </w:p>
        </w:tc>
        <w:tc>
          <w:tcPr>
            <w:tcW w:w="6003"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Індикативна діяльність</w:t>
            </w:r>
          </w:p>
        </w:tc>
        <w:tc>
          <w:tcPr>
            <w:tcW w:w="1800"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Екологічні аспекти і завдання, які розглядатимуться</w:t>
            </w:r>
          </w:p>
        </w:tc>
        <w:tc>
          <w:tcPr>
            <w:tcW w:w="1836"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b/>
                <w:lang w:val="uk-UA" w:eastAsia="uk-UA" w:bidi="uk-UA"/>
              </w:rPr>
            </w:pPr>
            <w:r>
              <w:rPr>
                <w:rFonts w:cs="Arial"/>
                <w:b/>
                <w:lang w:val="uk-UA" w:eastAsia="uk-UA" w:bidi="uk-UA"/>
              </w:rPr>
              <w:t>Потенційний вплив</w:t>
            </w:r>
          </w:p>
        </w:tc>
      </w:tr>
      <w:tr w:rsidR="00642FB4">
        <w:trPr>
          <w:jc w:val="center"/>
        </w:trPr>
        <w:tc>
          <w:tcPr>
            <w:tcW w:w="567"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41" w:name="_Toc413833933"/>
            <w:bookmarkStart w:id="142" w:name="_Toc414267057"/>
            <w:r>
              <w:rPr>
                <w:rFonts w:cs="Arial"/>
                <w:lang w:val="uk-UA" w:eastAsia="uk-UA" w:bidi="uk-UA"/>
              </w:rPr>
              <w:t>1.</w:t>
            </w:r>
            <w:bookmarkEnd w:id="141"/>
            <w:bookmarkEnd w:id="142"/>
          </w:p>
        </w:tc>
        <w:tc>
          <w:tcPr>
            <w:tcW w:w="6003"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Спільні дії для підвищення мобільності та потужності адміністративних підрозділів поліції (у тому числі послуги прикордонної поліції)</w:t>
            </w:r>
          </w:p>
        </w:tc>
        <w:tc>
          <w:tcPr>
            <w:tcW w:w="1800"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1836"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jc w:val="center"/>
        </w:trPr>
        <w:tc>
          <w:tcPr>
            <w:tcW w:w="567"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43" w:name="_Toc413833936"/>
            <w:bookmarkStart w:id="144" w:name="_Toc414267060"/>
            <w:r>
              <w:rPr>
                <w:rFonts w:cs="Arial"/>
                <w:lang w:val="uk-UA" w:eastAsia="uk-UA" w:bidi="uk-UA"/>
              </w:rPr>
              <w:t>2.</w:t>
            </w:r>
            <w:bookmarkEnd w:id="143"/>
            <w:bookmarkEnd w:id="144"/>
          </w:p>
        </w:tc>
        <w:tc>
          <w:tcPr>
            <w:tcW w:w="6003"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Створення робочих платформ  для підвищення ефективності поліції, прикордонної поліції та митних структур для обміну даними та інформацією</w:t>
            </w:r>
          </w:p>
        </w:tc>
        <w:tc>
          <w:tcPr>
            <w:tcW w:w="1800"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1836"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r w:rsidR="00642FB4">
        <w:trPr>
          <w:jc w:val="center"/>
        </w:trPr>
        <w:tc>
          <w:tcPr>
            <w:tcW w:w="567"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45" w:name="_Toc413833939"/>
            <w:bookmarkStart w:id="146" w:name="_Toc414267063"/>
            <w:r>
              <w:rPr>
                <w:rFonts w:cs="Arial"/>
                <w:lang w:val="uk-UA" w:eastAsia="uk-UA" w:bidi="uk-UA"/>
              </w:rPr>
              <w:t>3.</w:t>
            </w:r>
            <w:bookmarkEnd w:id="145"/>
            <w:bookmarkEnd w:id="146"/>
          </w:p>
        </w:tc>
        <w:tc>
          <w:tcPr>
            <w:tcW w:w="6003"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 xml:space="preserve"> Спільні навчальні курси поліції, митних робітників, прикордонної поліції, жандармерії, обмін передовим досвідом у конкретних областях діяльності (аналіз, кримінальні розслідування, організована злочинність)</w:t>
            </w:r>
          </w:p>
        </w:tc>
        <w:tc>
          <w:tcPr>
            <w:tcW w:w="1800"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1836"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bookmarkStart w:id="147" w:name="_Toc413833941"/>
            <w:bookmarkStart w:id="148" w:name="_Toc414267065"/>
            <w:r>
              <w:rPr>
                <w:rFonts w:cs="Arial"/>
                <w:lang w:val="uk-UA" w:eastAsia="uk-UA" w:bidi="uk-UA"/>
              </w:rPr>
              <w:t xml:space="preserve">Непрямий </w:t>
            </w:r>
            <w:bookmarkEnd w:id="147"/>
            <w:bookmarkEnd w:id="148"/>
          </w:p>
        </w:tc>
      </w:tr>
      <w:tr w:rsidR="00642FB4">
        <w:trPr>
          <w:jc w:val="center"/>
        </w:trPr>
        <w:tc>
          <w:tcPr>
            <w:tcW w:w="567"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49" w:name="_Toc413833942"/>
            <w:bookmarkStart w:id="150" w:name="_Toc414267066"/>
            <w:r>
              <w:rPr>
                <w:rFonts w:cs="Arial"/>
                <w:lang w:val="uk-UA" w:eastAsia="uk-UA" w:bidi="uk-UA"/>
              </w:rPr>
              <w:t>4.</w:t>
            </w:r>
            <w:bookmarkEnd w:id="149"/>
            <w:bookmarkEnd w:id="150"/>
          </w:p>
        </w:tc>
        <w:tc>
          <w:tcPr>
            <w:tcW w:w="6003"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 xml:space="preserve"> Інвестиції в будівництво, реконструкцію або модернізацію інфраструктури для органів  поліції та прикордонної поліції та інших суміжних будівель</w:t>
            </w:r>
          </w:p>
        </w:tc>
        <w:tc>
          <w:tcPr>
            <w:tcW w:w="1800"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Повітря</w:t>
            </w:r>
          </w:p>
          <w:p w:rsidR="00642FB4" w:rsidRDefault="00642FB4">
            <w:pPr>
              <w:jc w:val="both"/>
              <w:rPr>
                <w:rFonts w:cs="Arial"/>
                <w:lang w:val="uk-UA" w:eastAsia="uk-UA" w:bidi="uk-UA"/>
              </w:rPr>
            </w:pPr>
            <w:r>
              <w:rPr>
                <w:rFonts w:cs="Arial"/>
                <w:lang w:val="uk-UA" w:eastAsia="uk-UA" w:bidi="uk-UA"/>
              </w:rPr>
              <w:t>Вода</w:t>
            </w:r>
          </w:p>
          <w:p w:rsidR="00642FB4" w:rsidRDefault="00642FB4">
            <w:pPr>
              <w:jc w:val="both"/>
              <w:rPr>
                <w:rFonts w:cs="Arial"/>
                <w:lang w:val="uk-UA" w:eastAsia="uk-UA" w:bidi="uk-UA"/>
              </w:rPr>
            </w:pPr>
            <w:r>
              <w:rPr>
                <w:rFonts w:cs="Arial"/>
                <w:lang w:val="uk-UA" w:eastAsia="uk-UA" w:bidi="uk-UA"/>
              </w:rPr>
              <w:t>Земля</w:t>
            </w:r>
          </w:p>
          <w:p w:rsidR="00642FB4" w:rsidRDefault="00642FB4">
            <w:pPr>
              <w:jc w:val="both"/>
              <w:rPr>
                <w:rFonts w:cs="Arial"/>
                <w:lang w:val="uk-UA" w:eastAsia="uk-UA" w:bidi="uk-UA"/>
              </w:rPr>
            </w:pPr>
            <w:r>
              <w:rPr>
                <w:rFonts w:cs="Arial"/>
                <w:lang w:val="uk-UA" w:eastAsia="uk-UA" w:bidi="uk-UA"/>
              </w:rPr>
              <w:t>Менеджмент відходів</w:t>
            </w:r>
          </w:p>
        </w:tc>
        <w:tc>
          <w:tcPr>
            <w:tcW w:w="1836" w:type="dxa"/>
            <w:tcBorders>
              <w:top w:val="single" w:sz="4" w:space="0" w:color="auto"/>
              <w:left w:val="single" w:sz="4" w:space="0" w:color="auto"/>
              <w:bottom w:val="single" w:sz="4" w:space="0" w:color="auto"/>
              <w:right w:val="single" w:sz="4" w:space="0" w:color="auto"/>
            </w:tcBorders>
            <w:vAlign w:val="center"/>
            <w:hideMark/>
          </w:tcPr>
          <w:p w:rsidR="00642FB4" w:rsidRDefault="00642FB4">
            <w:pPr>
              <w:rPr>
                <w:rFonts w:cs="Arial"/>
                <w:lang w:val="uk-UA" w:eastAsia="uk-UA" w:bidi="uk-UA"/>
              </w:rPr>
            </w:pPr>
            <w:r>
              <w:rPr>
                <w:rFonts w:cs="Arial"/>
                <w:lang w:val="uk-UA" w:eastAsia="uk-UA" w:bidi="uk-UA"/>
              </w:rPr>
              <w:t>Позитивний</w:t>
            </w:r>
          </w:p>
          <w:p w:rsidR="00642FB4" w:rsidRDefault="00642FB4">
            <w:pPr>
              <w:jc w:val="both"/>
              <w:rPr>
                <w:rFonts w:cs="Arial"/>
                <w:lang w:val="uk-UA" w:eastAsia="uk-UA" w:bidi="uk-UA"/>
              </w:rPr>
            </w:pPr>
          </w:p>
        </w:tc>
      </w:tr>
      <w:tr w:rsidR="00642FB4">
        <w:trPr>
          <w:jc w:val="center"/>
        </w:trPr>
        <w:tc>
          <w:tcPr>
            <w:tcW w:w="567"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51" w:name="_Toc413833949"/>
            <w:bookmarkStart w:id="152" w:name="_Toc414267073"/>
            <w:r>
              <w:rPr>
                <w:rFonts w:cs="Arial"/>
                <w:lang w:val="uk-UA" w:eastAsia="uk-UA" w:bidi="uk-UA"/>
              </w:rPr>
              <w:t>5.</w:t>
            </w:r>
            <w:bookmarkEnd w:id="151"/>
            <w:bookmarkEnd w:id="152"/>
          </w:p>
        </w:tc>
        <w:tc>
          <w:tcPr>
            <w:tcW w:w="6003"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Інвестиції в експлуатаційне обладнання  і спеціальні засоби необхідні для діяльності поліції / митниці / прикордонний поліції / жандармерії (наприклад, лабораторії, обладнання, інструменти для  виявлення, комп’ютерне та програмне забезпечення, транспортні засоби)</w:t>
            </w:r>
          </w:p>
        </w:tc>
        <w:tc>
          <w:tcPr>
            <w:tcW w:w="1800" w:type="dxa"/>
            <w:tcBorders>
              <w:top w:val="single" w:sz="4" w:space="0" w:color="auto"/>
              <w:left w:val="single" w:sz="4" w:space="0" w:color="auto"/>
              <w:bottom w:val="single" w:sz="4" w:space="0" w:color="auto"/>
              <w:right w:val="single" w:sz="4" w:space="0" w:color="auto"/>
            </w:tcBorders>
            <w:vAlign w:val="center"/>
          </w:tcPr>
          <w:p w:rsidR="00642FB4" w:rsidRDefault="00642FB4">
            <w:pPr>
              <w:jc w:val="both"/>
              <w:rPr>
                <w:rFonts w:cs="Arial"/>
                <w:lang w:val="uk-UA" w:eastAsia="uk-UA" w:bidi="uk-UA"/>
              </w:rPr>
            </w:pPr>
            <w:r>
              <w:rPr>
                <w:rFonts w:cs="Arial"/>
                <w:lang w:val="uk-UA" w:eastAsia="uk-UA" w:bidi="uk-UA"/>
              </w:rPr>
              <w:t>Повітря</w:t>
            </w:r>
          </w:p>
          <w:p w:rsidR="00642FB4" w:rsidRDefault="00642FB4">
            <w:pPr>
              <w:jc w:val="both"/>
              <w:rPr>
                <w:rFonts w:cs="Arial"/>
                <w:lang w:val="uk-UA" w:eastAsia="uk-UA" w:bidi="uk-UA"/>
              </w:rPr>
            </w:pPr>
            <w:r>
              <w:rPr>
                <w:rFonts w:cs="Arial"/>
                <w:lang w:val="uk-UA" w:eastAsia="uk-UA" w:bidi="uk-UA"/>
              </w:rPr>
              <w:t>Зміна клімату</w:t>
            </w:r>
          </w:p>
        </w:tc>
        <w:tc>
          <w:tcPr>
            <w:tcW w:w="1836" w:type="dxa"/>
            <w:tcBorders>
              <w:top w:val="single" w:sz="4" w:space="0" w:color="auto"/>
              <w:left w:val="single" w:sz="4" w:space="0" w:color="auto"/>
              <w:bottom w:val="single" w:sz="4" w:space="0" w:color="auto"/>
              <w:right w:val="single" w:sz="4" w:space="0" w:color="auto"/>
            </w:tcBorders>
            <w:vAlign w:val="center"/>
            <w:hideMark/>
          </w:tcPr>
          <w:p w:rsidR="00642FB4" w:rsidRDefault="00642FB4">
            <w:pPr>
              <w:rPr>
                <w:rFonts w:cs="Arial"/>
                <w:lang w:val="uk-UA" w:eastAsia="uk-UA" w:bidi="uk-UA"/>
              </w:rPr>
            </w:pPr>
            <w:r>
              <w:rPr>
                <w:rFonts w:cs="Arial"/>
                <w:lang w:val="uk-UA" w:eastAsia="uk-UA" w:bidi="uk-UA"/>
              </w:rPr>
              <w:t>Позитивний</w:t>
            </w:r>
          </w:p>
          <w:p w:rsidR="00642FB4" w:rsidRDefault="00642FB4">
            <w:pPr>
              <w:jc w:val="both"/>
              <w:rPr>
                <w:rFonts w:cs="Arial"/>
                <w:lang w:val="uk-UA" w:eastAsia="uk-UA" w:bidi="uk-UA"/>
              </w:rPr>
            </w:pPr>
          </w:p>
        </w:tc>
      </w:tr>
      <w:tr w:rsidR="00642FB4">
        <w:trPr>
          <w:jc w:val="center"/>
        </w:trPr>
        <w:tc>
          <w:tcPr>
            <w:tcW w:w="567"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bookmarkStart w:id="153" w:name="_Toc413833956"/>
            <w:bookmarkStart w:id="154" w:name="_Toc414267080"/>
            <w:r>
              <w:rPr>
                <w:rFonts w:cs="Arial"/>
                <w:lang w:val="uk-UA" w:eastAsia="uk-UA" w:bidi="uk-UA"/>
              </w:rPr>
              <w:t>6.</w:t>
            </w:r>
            <w:bookmarkEnd w:id="153"/>
            <w:bookmarkEnd w:id="154"/>
          </w:p>
        </w:tc>
        <w:tc>
          <w:tcPr>
            <w:tcW w:w="6003" w:type="dxa"/>
            <w:tcBorders>
              <w:top w:val="single" w:sz="4" w:space="0" w:color="auto"/>
              <w:left w:val="single" w:sz="4" w:space="0" w:color="auto"/>
              <w:bottom w:val="single" w:sz="4" w:space="0" w:color="auto"/>
              <w:right w:val="single" w:sz="4" w:space="0" w:color="auto"/>
            </w:tcBorders>
            <w:hideMark/>
          </w:tcPr>
          <w:p w:rsidR="00642FB4" w:rsidRDefault="00642FB4">
            <w:pPr>
              <w:jc w:val="both"/>
              <w:rPr>
                <w:rFonts w:cs="Arial"/>
                <w:lang w:val="uk-UA" w:eastAsia="uk-UA" w:bidi="uk-UA"/>
              </w:rPr>
            </w:pPr>
            <w:r>
              <w:rPr>
                <w:rFonts w:cs="Arial"/>
                <w:lang w:val="uk-UA" w:eastAsia="uk-UA" w:bidi="uk-UA"/>
              </w:rPr>
              <w:t xml:space="preserve"> Розробка спільних стратегій і політики, обмін досвідом у боротьбі з організованою злочинністю.</w:t>
            </w:r>
          </w:p>
        </w:tc>
        <w:tc>
          <w:tcPr>
            <w:tcW w:w="1800"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 застосовується</w:t>
            </w:r>
          </w:p>
        </w:tc>
        <w:tc>
          <w:tcPr>
            <w:tcW w:w="1836" w:type="dxa"/>
            <w:tcBorders>
              <w:top w:val="single" w:sz="4" w:space="0" w:color="auto"/>
              <w:left w:val="single" w:sz="4" w:space="0" w:color="auto"/>
              <w:bottom w:val="single" w:sz="4" w:space="0" w:color="auto"/>
              <w:right w:val="single" w:sz="4" w:space="0" w:color="auto"/>
            </w:tcBorders>
            <w:vAlign w:val="center"/>
            <w:hideMark/>
          </w:tcPr>
          <w:p w:rsidR="00642FB4" w:rsidRDefault="00642FB4">
            <w:pPr>
              <w:jc w:val="both"/>
              <w:rPr>
                <w:rFonts w:cs="Arial"/>
                <w:lang w:val="uk-UA" w:eastAsia="uk-UA" w:bidi="uk-UA"/>
              </w:rPr>
            </w:pPr>
            <w:r>
              <w:rPr>
                <w:rFonts w:cs="Arial"/>
                <w:lang w:val="uk-UA" w:eastAsia="uk-UA" w:bidi="uk-UA"/>
              </w:rPr>
              <w:t>Непрямий</w:t>
            </w:r>
          </w:p>
        </w:tc>
      </w:tr>
    </w:tbl>
    <w:p w:rsidR="00642FB4" w:rsidRDefault="00642FB4">
      <w:pPr>
        <w:spacing w:before="60" w:after="60" w:line="288" w:lineRule="auto"/>
        <w:jc w:val="both"/>
        <w:rPr>
          <w:rFonts w:eastAsia="EUAlbertina-Regular-Identity-H" w:cs="Arial"/>
          <w:bCs/>
          <w:lang w:val="uk-UA" w:eastAsia="uk-UA" w:bidi="uk-UA"/>
        </w:rPr>
      </w:pPr>
    </w:p>
    <w:p w:rsidR="00642FB4" w:rsidRDefault="00642FB4">
      <w:pPr>
        <w:spacing w:after="200" w:line="276" w:lineRule="auto"/>
        <w:rPr>
          <w:rFonts w:eastAsia="Calibri" w:cs="Arial"/>
          <w:lang w:val="uk-UA" w:eastAsia="uk-UA" w:bidi="uk-UA"/>
        </w:rPr>
      </w:pPr>
    </w:p>
    <w:p w:rsidR="00642FB4" w:rsidRDefault="00642FB4">
      <w:pPr>
        <w:spacing w:before="240" w:after="60"/>
        <w:ind w:left="360"/>
        <w:jc w:val="both"/>
        <w:outlineLvl w:val="0"/>
        <w:rPr>
          <w:rFonts w:eastAsia="Calibri"/>
          <w:b/>
          <w:kern w:val="28"/>
          <w:szCs w:val="22"/>
          <w:lang w:val="uk-UA" w:eastAsia="uk-UA" w:bidi="uk-UA"/>
        </w:rPr>
      </w:pPr>
    </w:p>
    <w:p w:rsidR="00642FB4" w:rsidRDefault="00642FB4">
      <w:pPr>
        <w:spacing w:after="200" w:line="276" w:lineRule="auto"/>
        <w:rPr>
          <w:rFonts w:eastAsia="Calibri"/>
          <w:b/>
          <w:kern w:val="28"/>
          <w:szCs w:val="22"/>
          <w:lang w:val="uk-UA" w:eastAsia="uk-UA" w:bidi="uk-UA"/>
        </w:rPr>
      </w:pPr>
      <w:r>
        <w:rPr>
          <w:rFonts w:eastAsia="Calibri"/>
          <w:b/>
          <w:kern w:val="28"/>
          <w:szCs w:val="22"/>
          <w:lang w:val="uk-UA" w:eastAsia="uk-UA" w:bidi="uk-UA"/>
        </w:rPr>
        <w:br w:type="page"/>
      </w:r>
    </w:p>
    <w:p w:rsidR="00642FB4" w:rsidRDefault="00642FB4">
      <w:pPr>
        <w:spacing w:before="240" w:after="60"/>
        <w:ind w:left="360"/>
        <w:jc w:val="both"/>
        <w:outlineLvl w:val="0"/>
        <w:rPr>
          <w:rFonts w:eastAsia="Calibri"/>
          <w:b/>
          <w:kern w:val="28"/>
          <w:szCs w:val="22"/>
          <w:lang w:val="uk-UA" w:eastAsia="uk-UA" w:bidi="uk-UA"/>
        </w:rPr>
      </w:pPr>
    </w:p>
    <w:p w:rsidR="00642FB4" w:rsidRDefault="00642FB4">
      <w:pPr>
        <w:spacing w:before="60" w:after="60" w:line="288" w:lineRule="auto"/>
        <w:jc w:val="both"/>
        <w:rPr>
          <w:rFonts w:eastAsia="EUAlbertina-Regular-Identity-H" w:cs="Arial"/>
          <w:bCs/>
          <w:lang w:eastAsia="uk-UA" w:bidi="uk-UA"/>
        </w:rPr>
      </w:pPr>
    </w:p>
    <w:p w:rsidR="00642FB4" w:rsidRDefault="00642FB4">
      <w:pPr>
        <w:spacing w:before="60" w:after="60" w:line="288" w:lineRule="auto"/>
        <w:ind w:firstLine="709"/>
        <w:jc w:val="both"/>
        <w:rPr>
          <w:rFonts w:cs="Arial"/>
          <w:b/>
          <w:lang w:eastAsia="uk-UA" w:bidi="uk-UA"/>
        </w:rPr>
      </w:pPr>
      <w:r>
        <w:rPr>
          <w:rFonts w:eastAsia="Calibri" w:cs="Arial"/>
          <w:b/>
          <w:lang w:val="uk-UA" w:eastAsia="uk-UA" w:bidi="uk-UA"/>
        </w:rPr>
        <w:t>Великі інфраструктурні проекти</w:t>
      </w:r>
      <w:r>
        <w:rPr>
          <w:rFonts w:cs="Arial"/>
          <w:b/>
          <w:lang w:eastAsia="uk-UA" w:bidi="uk-UA"/>
        </w:rPr>
        <w:t xml:space="preserve"> (</w:t>
      </w:r>
      <w:r>
        <w:rPr>
          <w:rFonts w:eastAsia="Calibri" w:cs="Arial"/>
          <w:b/>
          <w:lang w:val="uk-UA" w:eastAsia="uk-UA" w:bidi="uk-UA"/>
        </w:rPr>
        <w:t>Орієнтовний перелік</w:t>
      </w:r>
      <w:r>
        <w:rPr>
          <w:rFonts w:cs="Arial"/>
          <w:b/>
          <w:lang w:eastAsia="uk-UA" w:bidi="uk-UA"/>
        </w:rPr>
        <w:t>)</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5314"/>
        <w:gridCol w:w="2422"/>
        <w:gridCol w:w="1878"/>
      </w:tblGrid>
      <w:tr w:rsidR="00642FB4">
        <w:tc>
          <w:tcPr>
            <w:tcW w:w="568" w:type="dxa"/>
            <w:shd w:val="clear" w:color="auto" w:fill="auto"/>
            <w:vAlign w:val="center"/>
          </w:tcPr>
          <w:p w:rsidR="00642FB4" w:rsidRDefault="00642FB4">
            <w:pPr>
              <w:jc w:val="both"/>
              <w:rPr>
                <w:rFonts w:cs="Arial"/>
                <w:b/>
                <w:sz w:val="20"/>
                <w:szCs w:val="20"/>
                <w:lang w:eastAsia="uk-UA" w:bidi="uk-UA"/>
              </w:rPr>
            </w:pPr>
            <w:r>
              <w:rPr>
                <w:rFonts w:cs="Arial"/>
                <w:b/>
                <w:sz w:val="20"/>
                <w:szCs w:val="20"/>
                <w:lang w:eastAsia="uk-UA" w:bidi="uk-UA"/>
              </w:rPr>
              <w:t>Nr. crt.</w:t>
            </w:r>
          </w:p>
        </w:tc>
        <w:tc>
          <w:tcPr>
            <w:tcW w:w="5953" w:type="dxa"/>
            <w:shd w:val="clear" w:color="auto" w:fill="auto"/>
            <w:vAlign w:val="center"/>
          </w:tcPr>
          <w:p w:rsidR="00642FB4" w:rsidRDefault="00642FB4">
            <w:pPr>
              <w:jc w:val="both"/>
              <w:rPr>
                <w:rFonts w:cs="Arial"/>
                <w:b/>
                <w:lang w:eastAsia="uk-UA" w:bidi="uk-UA"/>
              </w:rPr>
            </w:pPr>
            <w:r>
              <w:rPr>
                <w:rFonts w:eastAsia="Calibri" w:cs="Arial"/>
                <w:b/>
                <w:lang w:val="uk-UA" w:eastAsia="uk-UA" w:bidi="uk-UA"/>
              </w:rPr>
              <w:t>індикативні заходи</w:t>
            </w:r>
          </w:p>
        </w:tc>
        <w:tc>
          <w:tcPr>
            <w:tcW w:w="1843" w:type="dxa"/>
            <w:shd w:val="clear" w:color="auto" w:fill="auto"/>
            <w:vAlign w:val="center"/>
          </w:tcPr>
          <w:p w:rsidR="00642FB4" w:rsidRDefault="00642FB4">
            <w:pPr>
              <w:jc w:val="both"/>
              <w:rPr>
                <w:rFonts w:cs="Arial"/>
                <w:b/>
                <w:lang w:eastAsia="uk-UA" w:bidi="uk-UA"/>
              </w:rPr>
            </w:pPr>
            <w:r>
              <w:rPr>
                <w:rFonts w:eastAsia="Calibri" w:cs="Arial"/>
                <w:b/>
                <w:lang w:val="uk-UA" w:eastAsia="uk-UA" w:bidi="uk-UA"/>
              </w:rPr>
              <w:t>Екологічні проблеми і завдання, які розглядатимуться</w:t>
            </w:r>
          </w:p>
        </w:tc>
        <w:tc>
          <w:tcPr>
            <w:tcW w:w="1912" w:type="dxa"/>
            <w:shd w:val="clear" w:color="auto" w:fill="auto"/>
            <w:vAlign w:val="center"/>
          </w:tcPr>
          <w:p w:rsidR="00642FB4" w:rsidRDefault="00642FB4">
            <w:pPr>
              <w:jc w:val="both"/>
              <w:rPr>
                <w:rFonts w:cs="Arial"/>
                <w:b/>
                <w:lang w:eastAsia="uk-UA" w:bidi="uk-UA"/>
              </w:rPr>
            </w:pPr>
            <w:r>
              <w:rPr>
                <w:rFonts w:eastAsia="Calibri" w:cs="Arial"/>
                <w:b/>
                <w:lang w:val="uk-UA" w:eastAsia="uk-UA" w:bidi="uk-UA"/>
              </w:rPr>
              <w:t>потенційний вплив</w:t>
            </w:r>
          </w:p>
        </w:tc>
      </w:tr>
      <w:tr w:rsidR="00642FB4">
        <w:tc>
          <w:tcPr>
            <w:tcW w:w="568" w:type="dxa"/>
            <w:shd w:val="clear" w:color="auto" w:fill="auto"/>
          </w:tcPr>
          <w:p w:rsidR="00642FB4" w:rsidRDefault="00642FB4">
            <w:pPr>
              <w:jc w:val="both"/>
              <w:rPr>
                <w:rFonts w:cs="Arial"/>
                <w:sz w:val="20"/>
                <w:szCs w:val="20"/>
                <w:lang w:eastAsia="uk-UA" w:bidi="uk-UA"/>
              </w:rPr>
            </w:pPr>
            <w:r>
              <w:rPr>
                <w:rFonts w:cs="Arial"/>
                <w:sz w:val="20"/>
                <w:szCs w:val="20"/>
                <w:lang w:eastAsia="uk-UA" w:bidi="uk-UA"/>
              </w:rPr>
              <w:t>1.</w:t>
            </w:r>
          </w:p>
        </w:tc>
        <w:tc>
          <w:tcPr>
            <w:tcW w:w="5953" w:type="dxa"/>
            <w:shd w:val="clear" w:color="auto" w:fill="auto"/>
          </w:tcPr>
          <w:p w:rsidR="00642FB4" w:rsidRDefault="00642FB4">
            <w:pPr>
              <w:jc w:val="both"/>
              <w:rPr>
                <w:rFonts w:eastAsia="Calibri" w:cs="Arial"/>
                <w:lang w:bidi="uk-UA"/>
              </w:rPr>
            </w:pPr>
            <w:r>
              <w:rPr>
                <w:rFonts w:eastAsia="Calibri" w:cs="Arial"/>
                <w:lang w:val="uk-UA" w:eastAsia="uk-UA" w:bidi="uk-UA"/>
              </w:rPr>
              <w:t>"Чиста ріка" - Дунай</w:t>
            </w:r>
            <w:r>
              <w:rPr>
                <w:rFonts w:eastAsia="Calibri" w:cs="Arial"/>
                <w:lang w:bidi="uk-UA"/>
              </w:rPr>
              <w:t xml:space="preserve"> (OT8) 4.2</w:t>
            </w:r>
          </w:p>
        </w:tc>
        <w:tc>
          <w:tcPr>
            <w:tcW w:w="1843" w:type="dxa"/>
            <w:shd w:val="clear" w:color="auto" w:fill="auto"/>
            <w:vAlign w:val="center"/>
          </w:tcPr>
          <w:p w:rsidR="00642FB4" w:rsidRDefault="00642FB4">
            <w:pPr>
              <w:jc w:val="both"/>
              <w:rPr>
                <w:rFonts w:cs="Arial"/>
                <w:lang w:bidi="uk-UA"/>
              </w:rPr>
            </w:pPr>
            <w:r>
              <w:rPr>
                <w:rFonts w:eastAsia="Calibri" w:cs="Arial"/>
                <w:lang w:val="uk-UA" w:eastAsia="uk-UA" w:bidi="uk-UA"/>
              </w:rPr>
              <w:t>вода</w:t>
            </w:r>
            <w:r>
              <w:rPr>
                <w:rFonts w:eastAsia="Calibri" w:cs="Arial"/>
                <w:lang w:val="uk-UA" w:eastAsia="uk-UA" w:bidi="uk-UA"/>
              </w:rPr>
              <w:br/>
              <w:t>біорізноманіття</w:t>
            </w:r>
          </w:p>
        </w:tc>
        <w:tc>
          <w:tcPr>
            <w:tcW w:w="1912" w:type="dxa"/>
            <w:shd w:val="clear" w:color="auto" w:fill="auto"/>
            <w:vAlign w:val="center"/>
          </w:tcPr>
          <w:p w:rsidR="00642FB4" w:rsidRDefault="00642FB4">
            <w:pPr>
              <w:jc w:val="both"/>
              <w:rPr>
                <w:rFonts w:cs="Arial"/>
                <w:lang w:eastAsia="uk-UA" w:bidi="uk-UA"/>
              </w:rPr>
            </w:pPr>
            <w:r>
              <w:rPr>
                <w:rFonts w:eastAsia="Calibri" w:cs="Arial"/>
                <w:lang w:val="uk-UA" w:eastAsia="uk-UA" w:bidi="uk-UA"/>
              </w:rPr>
              <w:t>позитивний</w:t>
            </w:r>
          </w:p>
        </w:tc>
      </w:tr>
      <w:tr w:rsidR="00642FB4">
        <w:tc>
          <w:tcPr>
            <w:tcW w:w="568" w:type="dxa"/>
            <w:shd w:val="clear" w:color="auto" w:fill="auto"/>
          </w:tcPr>
          <w:p w:rsidR="00642FB4" w:rsidRDefault="00642FB4">
            <w:pPr>
              <w:jc w:val="both"/>
              <w:rPr>
                <w:rFonts w:cs="Arial"/>
                <w:sz w:val="20"/>
                <w:szCs w:val="20"/>
                <w:lang w:eastAsia="uk-UA" w:bidi="uk-UA"/>
              </w:rPr>
            </w:pPr>
            <w:r>
              <w:rPr>
                <w:rFonts w:cs="Arial"/>
                <w:sz w:val="20"/>
                <w:szCs w:val="20"/>
                <w:lang w:eastAsia="uk-UA" w:bidi="uk-UA"/>
              </w:rPr>
              <w:t>3.</w:t>
            </w:r>
          </w:p>
        </w:tc>
        <w:tc>
          <w:tcPr>
            <w:tcW w:w="5953" w:type="dxa"/>
            <w:shd w:val="clear" w:color="auto" w:fill="auto"/>
          </w:tcPr>
          <w:p w:rsidR="00642FB4" w:rsidRDefault="00642FB4">
            <w:pPr>
              <w:jc w:val="both"/>
              <w:rPr>
                <w:rFonts w:eastAsia="Calibri" w:cs="Arial"/>
                <w:lang w:bidi="uk-UA"/>
              </w:rPr>
            </w:pPr>
            <w:r>
              <w:rPr>
                <w:rFonts w:eastAsia="Calibri" w:cs="Arial"/>
                <w:lang w:val="uk-UA" w:eastAsia="uk-UA" w:bidi="uk-UA"/>
              </w:rPr>
              <w:t>Поліпшення транскордонної інфраструктури - шлюз в Європу</w:t>
            </w:r>
            <w:r>
              <w:rPr>
                <w:rFonts w:eastAsia="Calibri" w:cs="Arial"/>
                <w:lang w:bidi="uk-UA"/>
              </w:rPr>
              <w:t xml:space="preserve"> (OT7) 3.1</w:t>
            </w:r>
          </w:p>
        </w:tc>
        <w:tc>
          <w:tcPr>
            <w:tcW w:w="1843" w:type="dxa"/>
            <w:shd w:val="clear" w:color="auto" w:fill="auto"/>
            <w:vAlign w:val="center"/>
          </w:tcPr>
          <w:p w:rsidR="00642FB4" w:rsidRDefault="00642FB4">
            <w:pPr>
              <w:jc w:val="both"/>
              <w:rPr>
                <w:rFonts w:cs="Arial"/>
                <w:lang w:bidi="uk-UA"/>
              </w:rPr>
            </w:pPr>
            <w:r>
              <w:rPr>
                <w:rFonts w:eastAsia="Calibri" w:cs="Arial"/>
                <w:lang w:val="uk-UA" w:eastAsia="uk-UA" w:bidi="uk-UA"/>
              </w:rPr>
              <w:t>повітря</w:t>
            </w:r>
            <w:r>
              <w:rPr>
                <w:rFonts w:eastAsia="Calibri" w:cs="Arial"/>
                <w:lang w:val="uk-UA" w:eastAsia="uk-UA" w:bidi="uk-UA"/>
              </w:rPr>
              <w:br/>
              <w:t>вода</w:t>
            </w:r>
            <w:r>
              <w:rPr>
                <w:rFonts w:eastAsia="Calibri" w:cs="Arial"/>
                <w:lang w:val="uk-UA" w:eastAsia="uk-UA" w:bidi="uk-UA"/>
              </w:rPr>
              <w:br/>
              <w:t>земля</w:t>
            </w:r>
            <w:r>
              <w:rPr>
                <w:rFonts w:eastAsia="Calibri" w:cs="Arial"/>
                <w:lang w:val="uk-UA" w:eastAsia="uk-UA" w:bidi="uk-UA"/>
              </w:rPr>
              <w:br/>
              <w:t>поводження з відходами</w:t>
            </w:r>
          </w:p>
        </w:tc>
        <w:tc>
          <w:tcPr>
            <w:tcW w:w="1912" w:type="dxa"/>
            <w:shd w:val="clear" w:color="auto" w:fill="auto"/>
            <w:vAlign w:val="center"/>
          </w:tcPr>
          <w:p w:rsidR="00642FB4" w:rsidRDefault="00642FB4">
            <w:pPr>
              <w:jc w:val="both"/>
              <w:rPr>
                <w:rFonts w:cs="Arial"/>
                <w:lang w:eastAsia="uk-UA" w:bidi="uk-UA"/>
              </w:rPr>
            </w:pPr>
            <w:r>
              <w:rPr>
                <w:rFonts w:eastAsia="Calibri" w:cs="Arial"/>
                <w:lang w:val="uk-UA" w:eastAsia="uk-UA" w:bidi="uk-UA"/>
              </w:rPr>
              <w:t>позитивний</w:t>
            </w:r>
          </w:p>
        </w:tc>
      </w:tr>
      <w:tr w:rsidR="00642FB4">
        <w:tc>
          <w:tcPr>
            <w:tcW w:w="568" w:type="dxa"/>
            <w:shd w:val="clear" w:color="auto" w:fill="auto"/>
          </w:tcPr>
          <w:p w:rsidR="00642FB4" w:rsidRDefault="00642FB4">
            <w:pPr>
              <w:jc w:val="both"/>
              <w:rPr>
                <w:rFonts w:cs="Arial"/>
                <w:sz w:val="20"/>
                <w:szCs w:val="20"/>
                <w:lang w:eastAsia="uk-UA" w:bidi="uk-UA"/>
              </w:rPr>
            </w:pPr>
            <w:r>
              <w:rPr>
                <w:rFonts w:cs="Arial"/>
                <w:sz w:val="20"/>
                <w:szCs w:val="20"/>
                <w:lang w:eastAsia="uk-UA" w:bidi="uk-UA"/>
              </w:rPr>
              <w:t>4.</w:t>
            </w:r>
          </w:p>
        </w:tc>
        <w:tc>
          <w:tcPr>
            <w:tcW w:w="5953" w:type="dxa"/>
            <w:shd w:val="clear" w:color="auto" w:fill="auto"/>
          </w:tcPr>
          <w:p w:rsidR="00642FB4" w:rsidRDefault="00642FB4">
            <w:pPr>
              <w:jc w:val="both"/>
              <w:rPr>
                <w:rFonts w:eastAsia="Calibri" w:cs="Arial"/>
                <w:lang w:bidi="uk-UA"/>
              </w:rPr>
            </w:pPr>
            <w:r>
              <w:rPr>
                <w:rFonts w:eastAsia="Calibri" w:cs="Arial"/>
                <w:lang w:val="uk-UA" w:eastAsia="uk-UA" w:bidi="uk-UA"/>
              </w:rPr>
              <w:t>Регіональне співробітництво в галузі попередження та боротьби з транскордонною злочинністю між Румунією та Україною</w:t>
            </w:r>
            <w:r>
              <w:rPr>
                <w:rFonts w:eastAsia="Calibri" w:cs="Arial"/>
                <w:lang w:bidi="uk-UA"/>
              </w:rPr>
              <w:t xml:space="preserve"> (OT8) 4.3</w:t>
            </w:r>
          </w:p>
        </w:tc>
        <w:tc>
          <w:tcPr>
            <w:tcW w:w="1843" w:type="dxa"/>
            <w:shd w:val="clear" w:color="auto" w:fill="auto"/>
            <w:vAlign w:val="center"/>
          </w:tcPr>
          <w:p w:rsidR="00642FB4" w:rsidRDefault="00642FB4">
            <w:pPr>
              <w:jc w:val="both"/>
              <w:rPr>
                <w:rFonts w:cs="Arial"/>
                <w:lang w:bidi="uk-UA"/>
              </w:rPr>
            </w:pPr>
            <w:r>
              <w:rPr>
                <w:rFonts w:eastAsia="Calibri" w:cs="Arial"/>
                <w:lang w:val="uk-UA" w:eastAsia="uk-UA" w:bidi="uk-UA"/>
              </w:rPr>
              <w:t>повітря</w:t>
            </w:r>
            <w:r>
              <w:rPr>
                <w:rFonts w:eastAsia="Calibri" w:cs="Arial"/>
                <w:lang w:val="uk-UA" w:eastAsia="uk-UA" w:bidi="uk-UA"/>
              </w:rPr>
              <w:br/>
              <w:t>вода</w:t>
            </w:r>
            <w:r>
              <w:rPr>
                <w:rFonts w:eastAsia="Calibri" w:cs="Arial"/>
                <w:lang w:val="uk-UA" w:eastAsia="uk-UA" w:bidi="uk-UA"/>
              </w:rPr>
              <w:br/>
              <w:t>земля</w:t>
            </w:r>
            <w:r>
              <w:rPr>
                <w:rFonts w:eastAsia="Calibri" w:cs="Arial"/>
                <w:lang w:val="uk-UA" w:eastAsia="uk-UA" w:bidi="uk-UA"/>
              </w:rPr>
              <w:br/>
              <w:t>поводження з відходами</w:t>
            </w:r>
          </w:p>
        </w:tc>
        <w:tc>
          <w:tcPr>
            <w:tcW w:w="1912" w:type="dxa"/>
            <w:shd w:val="clear" w:color="auto" w:fill="auto"/>
            <w:vAlign w:val="center"/>
          </w:tcPr>
          <w:p w:rsidR="00642FB4" w:rsidRDefault="00642FB4">
            <w:pPr>
              <w:rPr>
                <w:rFonts w:cs="Arial"/>
                <w:lang w:bidi="uk-UA"/>
              </w:rPr>
            </w:pPr>
            <w:r>
              <w:rPr>
                <w:rFonts w:eastAsia="Calibri" w:cs="Arial"/>
                <w:lang w:val="uk-UA" w:eastAsia="uk-UA" w:bidi="uk-UA"/>
              </w:rPr>
              <w:t>побічно</w:t>
            </w:r>
          </w:p>
        </w:tc>
      </w:tr>
      <w:tr w:rsidR="00642FB4">
        <w:tc>
          <w:tcPr>
            <w:tcW w:w="568" w:type="dxa"/>
            <w:shd w:val="clear" w:color="auto" w:fill="auto"/>
          </w:tcPr>
          <w:p w:rsidR="00642FB4" w:rsidRDefault="00642FB4">
            <w:pPr>
              <w:jc w:val="both"/>
              <w:rPr>
                <w:rFonts w:cs="Arial"/>
                <w:sz w:val="20"/>
                <w:szCs w:val="20"/>
                <w:lang w:eastAsia="uk-UA" w:bidi="uk-UA"/>
              </w:rPr>
            </w:pPr>
            <w:r>
              <w:rPr>
                <w:rFonts w:cs="Arial"/>
                <w:sz w:val="20"/>
                <w:szCs w:val="20"/>
                <w:lang w:eastAsia="uk-UA" w:bidi="uk-UA"/>
              </w:rPr>
              <w:t>5.</w:t>
            </w:r>
          </w:p>
        </w:tc>
        <w:tc>
          <w:tcPr>
            <w:tcW w:w="5953" w:type="dxa"/>
            <w:shd w:val="clear" w:color="auto" w:fill="auto"/>
          </w:tcPr>
          <w:p w:rsidR="00642FB4" w:rsidRDefault="00642FB4">
            <w:pPr>
              <w:jc w:val="both"/>
              <w:rPr>
                <w:rFonts w:eastAsia="Calibri" w:cs="Arial"/>
                <w:lang w:bidi="uk-UA"/>
              </w:rPr>
            </w:pPr>
            <w:r>
              <w:rPr>
                <w:rFonts w:eastAsia="Calibri" w:cs="Arial"/>
                <w:lang w:val="uk-UA" w:eastAsia="uk-UA" w:bidi="uk-UA"/>
              </w:rPr>
              <w:t>Підвищення громадської безпеки та рівень безпеки кордону за допомогою спільного навчання та заходів щодо поліпшення співпраці у ліквідації наслідків надзвичайних ситуацій</w:t>
            </w:r>
            <w:r>
              <w:rPr>
                <w:rFonts w:eastAsia="Calibri" w:cs="Arial"/>
                <w:lang w:bidi="uk-UA"/>
              </w:rPr>
              <w:t xml:space="preserve"> (OT8) 4.2</w:t>
            </w:r>
          </w:p>
        </w:tc>
        <w:tc>
          <w:tcPr>
            <w:tcW w:w="1843" w:type="dxa"/>
            <w:shd w:val="clear" w:color="auto" w:fill="auto"/>
            <w:vAlign w:val="center"/>
          </w:tcPr>
          <w:p w:rsidR="00642FB4" w:rsidRDefault="00642FB4">
            <w:pPr>
              <w:jc w:val="both"/>
              <w:rPr>
                <w:rFonts w:cs="Arial"/>
                <w:lang w:bidi="uk-UA"/>
              </w:rPr>
            </w:pPr>
            <w:r>
              <w:rPr>
                <w:rFonts w:eastAsia="Calibri" w:cs="Arial"/>
                <w:lang w:val="uk-UA" w:eastAsia="uk-UA" w:bidi="uk-UA"/>
              </w:rPr>
              <w:t>повітря</w:t>
            </w:r>
            <w:r>
              <w:rPr>
                <w:rFonts w:eastAsia="Calibri" w:cs="Arial"/>
                <w:lang w:val="uk-UA" w:eastAsia="uk-UA" w:bidi="uk-UA"/>
              </w:rPr>
              <w:br/>
              <w:t>вода</w:t>
            </w:r>
            <w:r>
              <w:rPr>
                <w:rFonts w:eastAsia="Calibri" w:cs="Arial"/>
                <w:lang w:val="uk-UA" w:eastAsia="uk-UA" w:bidi="uk-UA"/>
              </w:rPr>
              <w:br/>
              <w:t>земля</w:t>
            </w:r>
            <w:r>
              <w:rPr>
                <w:rFonts w:eastAsia="Calibri" w:cs="Arial"/>
                <w:lang w:val="uk-UA" w:eastAsia="uk-UA" w:bidi="uk-UA"/>
              </w:rPr>
              <w:br/>
              <w:t>поводження з відходами</w:t>
            </w:r>
          </w:p>
        </w:tc>
        <w:tc>
          <w:tcPr>
            <w:tcW w:w="1912" w:type="dxa"/>
            <w:shd w:val="clear" w:color="auto" w:fill="auto"/>
            <w:vAlign w:val="center"/>
          </w:tcPr>
          <w:p w:rsidR="00642FB4" w:rsidRDefault="00642FB4">
            <w:pPr>
              <w:rPr>
                <w:rFonts w:cs="Arial"/>
                <w:lang w:bidi="uk-UA"/>
              </w:rPr>
            </w:pPr>
            <w:r>
              <w:rPr>
                <w:rFonts w:eastAsia="Calibri" w:cs="Arial"/>
                <w:lang w:val="uk-UA" w:eastAsia="uk-UA" w:bidi="uk-UA"/>
              </w:rPr>
              <w:t>побічно</w:t>
            </w:r>
          </w:p>
        </w:tc>
      </w:tr>
    </w:tbl>
    <w:p w:rsidR="00642FB4" w:rsidRDefault="00642FB4">
      <w:pPr>
        <w:ind w:firstLine="720"/>
        <w:jc w:val="both"/>
        <w:rPr>
          <w:rFonts w:cs="Arial"/>
          <w:lang w:bidi="uk-UA"/>
        </w:rPr>
      </w:pPr>
    </w:p>
    <w:p w:rsidR="00642FB4" w:rsidRDefault="00642FB4">
      <w:pPr>
        <w:ind w:firstLine="720"/>
        <w:jc w:val="both"/>
        <w:rPr>
          <w:rFonts w:cs="Arial"/>
          <w:lang w:bidi="uk-UA"/>
        </w:rPr>
      </w:pPr>
      <w:r>
        <w:rPr>
          <w:rFonts w:cs="Arial"/>
          <w:lang w:bidi="uk-UA"/>
        </w:rPr>
        <w:t>Потенційний внесок окремих видів діяльності, пропонованих для кожн</w:t>
      </w:r>
      <w:r>
        <w:rPr>
          <w:rFonts w:cs="Arial"/>
          <w:lang w:val="uk-UA" w:bidi="uk-UA"/>
        </w:rPr>
        <w:t>их</w:t>
      </w:r>
      <w:r>
        <w:rPr>
          <w:rFonts w:cs="Arial"/>
          <w:lang w:bidi="uk-UA"/>
        </w:rPr>
        <w:t xml:space="preserve"> пріоритетних тематичних завдань Програми </w:t>
      </w:r>
      <w:r>
        <w:rPr>
          <w:rFonts w:cs="Arial"/>
          <w:lang w:val="uk-UA" w:bidi="uk-UA"/>
        </w:rPr>
        <w:t>Р</w:t>
      </w:r>
      <w:r>
        <w:rPr>
          <w:rFonts w:cs="Arial"/>
          <w:lang w:bidi="uk-UA"/>
        </w:rPr>
        <w:t>o</w:t>
      </w:r>
      <w:r>
        <w:rPr>
          <w:rFonts w:cs="Arial"/>
          <w:lang w:val="uk-UA" w:bidi="uk-UA"/>
        </w:rPr>
        <w:t>-Укр</w:t>
      </w:r>
      <w:r>
        <w:rPr>
          <w:rFonts w:cs="Arial"/>
          <w:lang w:bidi="uk-UA"/>
        </w:rPr>
        <w:t xml:space="preserve"> оцінюється ефектів, що виникають з урахуванням відповідних екологічних цілей і політики на національному, європейському або міжнародному.</w:t>
      </w:r>
      <w:r>
        <w:rPr>
          <w:rFonts w:eastAsia="Calibri" w:cs="Arial"/>
          <w:b/>
          <w:bCs/>
          <w:kern w:val="32"/>
          <w:lang w:val="uk-UA" w:eastAsia="uk-UA" w:bidi="uk-UA"/>
        </w:rPr>
        <w:t xml:space="preserve"> </w:t>
      </w:r>
      <w:r>
        <w:rPr>
          <w:rFonts w:eastAsia="Calibri" w:cs="Arial"/>
          <w:lang w:val="uk-UA" w:eastAsia="uk-UA" w:bidi="uk-UA"/>
        </w:rPr>
        <w:t>Вплив діяльності, які мають право відповідно до програми аналізується для кожного з таких факторів, необхідних для довкілля характеристики:</w:t>
      </w:r>
    </w:p>
    <w:p w:rsidR="00642FB4" w:rsidRDefault="00642FB4">
      <w:pPr>
        <w:numPr>
          <w:ilvl w:val="0"/>
          <w:numId w:val="12"/>
        </w:numPr>
        <w:spacing w:before="60" w:after="60" w:line="288" w:lineRule="auto"/>
        <w:ind w:left="1080"/>
        <w:jc w:val="both"/>
        <w:rPr>
          <w:rFonts w:cs="Arial"/>
          <w:lang w:bidi="uk-UA"/>
        </w:rPr>
      </w:pPr>
      <w:r>
        <w:rPr>
          <w:rFonts w:eastAsia="Calibri" w:cs="Arial"/>
          <w:lang w:val="uk-UA" w:eastAsia="uk-UA" w:bidi="uk-UA"/>
        </w:rPr>
        <w:t>Повітря</w:t>
      </w:r>
      <w:r>
        <w:rPr>
          <w:rFonts w:cs="Arial"/>
          <w:lang w:bidi="uk-UA"/>
        </w:rPr>
        <w:t xml:space="preserve">; </w:t>
      </w:r>
    </w:p>
    <w:p w:rsidR="00642FB4" w:rsidRDefault="00642FB4">
      <w:pPr>
        <w:numPr>
          <w:ilvl w:val="0"/>
          <w:numId w:val="12"/>
        </w:numPr>
        <w:spacing w:before="60" w:after="60" w:line="288" w:lineRule="auto"/>
        <w:ind w:left="1080"/>
        <w:jc w:val="both"/>
        <w:rPr>
          <w:rFonts w:cs="Arial"/>
          <w:lang w:bidi="uk-UA"/>
        </w:rPr>
      </w:pPr>
      <w:r>
        <w:rPr>
          <w:rFonts w:eastAsia="Calibri" w:cs="Arial"/>
          <w:lang w:val="uk-UA" w:eastAsia="uk-UA" w:bidi="uk-UA"/>
        </w:rPr>
        <w:t>Поверхневі і підземні води</w:t>
      </w:r>
      <w:r>
        <w:rPr>
          <w:rFonts w:cs="Arial"/>
          <w:lang w:bidi="uk-UA"/>
        </w:rPr>
        <w:t>;</w:t>
      </w:r>
    </w:p>
    <w:p w:rsidR="00642FB4" w:rsidRDefault="00642FB4">
      <w:pPr>
        <w:numPr>
          <w:ilvl w:val="0"/>
          <w:numId w:val="12"/>
        </w:numPr>
        <w:spacing w:before="60" w:after="60" w:line="288" w:lineRule="auto"/>
        <w:ind w:left="1080"/>
        <w:jc w:val="both"/>
        <w:rPr>
          <w:rFonts w:cs="Arial"/>
          <w:lang w:bidi="uk-UA"/>
        </w:rPr>
      </w:pPr>
      <w:r>
        <w:rPr>
          <w:rFonts w:eastAsia="Calibri" w:cs="Arial"/>
          <w:lang w:val="uk-UA" w:eastAsia="uk-UA" w:bidi="uk-UA"/>
        </w:rPr>
        <w:t>грунт, підґрунтя, пеізаж</w:t>
      </w:r>
      <w:r>
        <w:rPr>
          <w:rFonts w:cs="Arial"/>
          <w:lang w:bidi="uk-UA"/>
        </w:rPr>
        <w:t>;</w:t>
      </w:r>
    </w:p>
    <w:p w:rsidR="00642FB4" w:rsidRDefault="00642FB4">
      <w:pPr>
        <w:numPr>
          <w:ilvl w:val="0"/>
          <w:numId w:val="12"/>
        </w:numPr>
        <w:spacing w:before="60" w:after="60" w:line="288" w:lineRule="auto"/>
        <w:ind w:left="1080"/>
        <w:jc w:val="both"/>
        <w:rPr>
          <w:rFonts w:cs="Arial"/>
          <w:lang w:bidi="uk-UA"/>
        </w:rPr>
      </w:pPr>
      <w:r>
        <w:rPr>
          <w:rFonts w:eastAsia="Calibri" w:cs="Arial"/>
          <w:lang w:val="uk-UA" w:eastAsia="uk-UA" w:bidi="uk-UA"/>
        </w:rPr>
        <w:t>Зміна клімату</w:t>
      </w:r>
      <w:r>
        <w:rPr>
          <w:rFonts w:cs="Arial"/>
          <w:lang w:bidi="uk-UA"/>
        </w:rPr>
        <w:t>;</w:t>
      </w:r>
    </w:p>
    <w:p w:rsidR="00642FB4" w:rsidRDefault="00642FB4">
      <w:pPr>
        <w:numPr>
          <w:ilvl w:val="0"/>
          <w:numId w:val="12"/>
        </w:numPr>
        <w:spacing w:before="60" w:after="60" w:line="288" w:lineRule="auto"/>
        <w:ind w:left="1080"/>
        <w:jc w:val="both"/>
        <w:rPr>
          <w:rFonts w:cs="Arial"/>
          <w:lang w:bidi="uk-UA"/>
        </w:rPr>
      </w:pPr>
      <w:r>
        <w:rPr>
          <w:rFonts w:eastAsia="Calibri" w:cs="Arial"/>
          <w:lang w:val="uk-UA" w:eastAsia="uk-UA" w:bidi="uk-UA"/>
        </w:rPr>
        <w:t>Населення та громадське здоров'я</w:t>
      </w:r>
      <w:r>
        <w:rPr>
          <w:rFonts w:cs="Arial"/>
          <w:lang w:bidi="uk-UA"/>
        </w:rPr>
        <w:t>;</w:t>
      </w:r>
    </w:p>
    <w:p w:rsidR="00642FB4" w:rsidRDefault="00642FB4">
      <w:pPr>
        <w:numPr>
          <w:ilvl w:val="0"/>
          <w:numId w:val="12"/>
        </w:numPr>
        <w:spacing w:before="60" w:after="60" w:line="288" w:lineRule="auto"/>
        <w:ind w:left="1080"/>
        <w:jc w:val="both"/>
        <w:rPr>
          <w:rFonts w:cs="Arial"/>
          <w:lang w:bidi="uk-UA"/>
        </w:rPr>
      </w:pPr>
      <w:r>
        <w:rPr>
          <w:rFonts w:eastAsia="Calibri" w:cs="Arial"/>
          <w:lang w:val="uk-UA" w:eastAsia="uk-UA" w:bidi="uk-UA"/>
        </w:rPr>
        <w:t>біорізноманіття, флору і фауну</w:t>
      </w:r>
      <w:r>
        <w:rPr>
          <w:rFonts w:cs="Arial"/>
          <w:lang w:bidi="uk-UA"/>
        </w:rPr>
        <w:t>;</w:t>
      </w:r>
    </w:p>
    <w:p w:rsidR="00642FB4" w:rsidRDefault="00642FB4">
      <w:pPr>
        <w:numPr>
          <w:ilvl w:val="0"/>
          <w:numId w:val="12"/>
        </w:numPr>
        <w:spacing w:before="60" w:after="60" w:line="288" w:lineRule="auto"/>
        <w:ind w:left="1080"/>
        <w:jc w:val="both"/>
        <w:rPr>
          <w:rFonts w:cs="Arial"/>
          <w:lang w:bidi="uk-UA"/>
        </w:rPr>
      </w:pPr>
      <w:r>
        <w:rPr>
          <w:rFonts w:eastAsia="Calibri" w:cs="Arial"/>
          <w:lang w:val="uk-UA" w:eastAsia="uk-UA" w:bidi="uk-UA"/>
        </w:rPr>
        <w:t>поводження з відходами</w:t>
      </w:r>
      <w:r>
        <w:rPr>
          <w:rFonts w:cs="Arial"/>
          <w:lang w:bidi="uk-UA"/>
        </w:rPr>
        <w:t>;</w:t>
      </w:r>
    </w:p>
    <w:p w:rsidR="00642FB4" w:rsidRDefault="00642FB4">
      <w:pPr>
        <w:numPr>
          <w:ilvl w:val="0"/>
          <w:numId w:val="12"/>
        </w:numPr>
        <w:spacing w:before="60" w:after="60" w:line="288" w:lineRule="auto"/>
        <w:ind w:left="1080"/>
        <w:jc w:val="both"/>
        <w:rPr>
          <w:rFonts w:cs="Arial"/>
          <w:lang w:bidi="uk-UA"/>
        </w:rPr>
      </w:pPr>
      <w:r>
        <w:rPr>
          <w:rFonts w:eastAsia="Calibri" w:cs="Arial"/>
          <w:lang w:val="uk-UA" w:eastAsia="uk-UA" w:bidi="uk-UA"/>
        </w:rPr>
        <w:t>культурної патрімонії</w:t>
      </w:r>
      <w:r>
        <w:rPr>
          <w:rFonts w:cs="Arial"/>
          <w:lang w:bidi="uk-UA"/>
        </w:rPr>
        <w:t>;</w:t>
      </w:r>
    </w:p>
    <w:p w:rsidR="009F108B" w:rsidRPr="006C74EB" w:rsidRDefault="00642FB4" w:rsidP="006C74EB">
      <w:pPr>
        <w:numPr>
          <w:ilvl w:val="0"/>
          <w:numId w:val="12"/>
        </w:numPr>
        <w:spacing w:before="60" w:after="60" w:line="288" w:lineRule="auto"/>
        <w:ind w:left="1080"/>
        <w:jc w:val="both"/>
        <w:rPr>
          <w:rFonts w:cs="Arial"/>
          <w:lang w:val="ru-RU" w:bidi="uk-UA"/>
        </w:rPr>
      </w:pPr>
      <w:r>
        <w:rPr>
          <w:rFonts w:eastAsia="Calibri" w:cs="Arial"/>
          <w:lang w:val="uk-UA" w:eastAsia="uk-UA" w:bidi="uk-UA"/>
        </w:rPr>
        <w:t>ефективне використання ресурсів, в тому числі відновлюваних джерел</w:t>
      </w:r>
      <w:r>
        <w:rPr>
          <w:rFonts w:cs="Arial"/>
          <w:lang w:bidi="uk-UA"/>
        </w:rPr>
        <w:t>.</w:t>
      </w:r>
    </w:p>
    <w:p w:rsidR="009F108B" w:rsidRDefault="004A16E2" w:rsidP="006C74EB">
      <w:pPr>
        <w:spacing w:before="60" w:after="60" w:line="288" w:lineRule="auto"/>
        <w:ind w:firstLine="709"/>
        <w:jc w:val="both"/>
        <w:rPr>
          <w:rFonts w:cs="Arial"/>
        </w:rPr>
      </w:pPr>
      <w:r w:rsidRPr="004A16E2">
        <w:rPr>
          <w:rFonts w:cs="Arial"/>
        </w:rPr>
        <w:t>З метою впровадження тематичних цілей програми “Румунія — Україна” будуть враховуватися положення Директив, Постанов і Положень ЄС щодо якості атмосферного повітря, поверхневих і підземних вод, ґрунту, кліматичних змін, здоров'я населення, біорізноманіття, збереження культурної спадщини, ефективного використання ресурсів та/або національного законодавства (Румунії і України), якщо вони є більш жорсткими.</w:t>
      </w:r>
    </w:p>
    <w:p w:rsidR="00CB4DD1" w:rsidRDefault="00CB4DD1">
      <w:pPr>
        <w:spacing w:before="60" w:after="60" w:line="288" w:lineRule="auto"/>
        <w:ind w:firstLine="720"/>
        <w:jc w:val="both"/>
        <w:rPr>
          <w:rFonts w:eastAsia="Calibri" w:cs="Arial"/>
          <w:lang w:val="uk-UA" w:eastAsia="uk-UA" w:bidi="uk-UA"/>
        </w:rPr>
      </w:pPr>
    </w:p>
    <w:p w:rsidR="00642FB4" w:rsidRDefault="00642FB4">
      <w:pPr>
        <w:spacing w:before="60" w:after="60" w:line="288" w:lineRule="auto"/>
        <w:ind w:firstLine="720"/>
        <w:jc w:val="both"/>
        <w:rPr>
          <w:rFonts w:cs="Arial"/>
          <w:lang w:bidi="uk-UA"/>
        </w:rPr>
      </w:pPr>
      <w:r>
        <w:rPr>
          <w:rFonts w:eastAsia="Calibri" w:cs="Arial"/>
          <w:lang w:val="uk-UA" w:eastAsia="uk-UA" w:bidi="uk-UA"/>
        </w:rPr>
        <w:t>Ці проекти будуть сприяти індикативні діяльності, які впливають води має відповідати правовим / положень двосторонньої Румунії - в Україну у сфері управління водними ресурсами</w:t>
      </w:r>
      <w:r>
        <w:rPr>
          <w:rFonts w:cs="Arial"/>
          <w:lang w:bidi="uk-UA"/>
        </w:rPr>
        <w:t xml:space="preserve"> </w:t>
      </w:r>
      <w:r>
        <w:rPr>
          <w:rFonts w:eastAsia="Calibri" w:cs="Arial"/>
          <w:lang w:val="uk-UA" w:eastAsia="uk-UA" w:bidi="uk-UA"/>
        </w:rPr>
        <w:t xml:space="preserve">(Угода між Урядом Румунії та Урядом України про співробітництво в прикордонних водах, підписаний 30 вересня 1997 в Галац і ратифікований Законом № 16/1999. Проекти, затверджені для фінансування та обнародувано іншими установами, пов'язаних з управлінням водними ресурсами, повинні мати дозвіл компетентного органу в області, Національна адміністрація "Румунські води " і водойма адміністрацій на території Програми </w:t>
      </w:r>
      <w:r>
        <w:rPr>
          <w:rFonts w:cs="Arial"/>
          <w:lang w:val="uk-UA" w:bidi="uk-UA"/>
        </w:rPr>
        <w:t>Р</w:t>
      </w:r>
      <w:r>
        <w:rPr>
          <w:rFonts w:cs="Arial"/>
          <w:lang w:bidi="uk-UA"/>
        </w:rPr>
        <w:t>o</w:t>
      </w:r>
      <w:r>
        <w:rPr>
          <w:rFonts w:cs="Arial"/>
          <w:lang w:val="uk-UA" w:bidi="uk-UA"/>
        </w:rPr>
        <w:t>-Укр</w:t>
      </w:r>
      <w:r>
        <w:rPr>
          <w:rFonts w:eastAsia="Calibri" w:cs="Arial"/>
          <w:lang w:val="uk-UA" w:eastAsia="uk-UA" w:bidi="uk-UA"/>
        </w:rPr>
        <w:t>.</w:t>
      </w:r>
    </w:p>
    <w:p w:rsidR="00642FB4" w:rsidRDefault="00642FB4">
      <w:pPr>
        <w:spacing w:before="60" w:after="60" w:line="288" w:lineRule="auto"/>
        <w:ind w:firstLine="720"/>
        <w:jc w:val="both"/>
        <w:rPr>
          <w:rFonts w:cs="Arial"/>
          <w:lang w:bidi="uk-UA"/>
        </w:rPr>
      </w:pPr>
      <w:r>
        <w:rPr>
          <w:rFonts w:eastAsia="Calibri" w:cs="Arial"/>
          <w:lang w:val="uk-UA" w:eastAsia="uk-UA" w:bidi="uk-UA"/>
        </w:rPr>
        <w:t>Будь-яка робота / інвестиції / діяльність повинна бути завершена за транскордонним водам або в області загального інтересу вимагають дозвіл Національного управління "Румунських вод" і повинні отримати</w:t>
      </w:r>
      <w:r>
        <w:rPr>
          <w:rFonts w:eastAsia="Calibri" w:cs="Arial"/>
          <w:b/>
          <w:bCs/>
          <w:kern w:val="32"/>
          <w:lang w:val="uk-UA" w:eastAsia="uk-UA" w:bidi="uk-UA"/>
        </w:rPr>
        <w:t xml:space="preserve"> </w:t>
      </w:r>
      <w:r>
        <w:rPr>
          <w:rFonts w:eastAsia="Calibri" w:cs="Arial"/>
          <w:lang w:val="uk-UA" w:eastAsia="uk-UA" w:bidi="uk-UA"/>
        </w:rPr>
        <w:t xml:space="preserve">угоду  відповідних органів України. Крім того, проекти, що фінансуються за програмою </w:t>
      </w:r>
      <w:r>
        <w:rPr>
          <w:rFonts w:cs="Arial"/>
          <w:lang w:val="uk-UA" w:bidi="uk-UA"/>
        </w:rPr>
        <w:t>Р</w:t>
      </w:r>
      <w:r>
        <w:rPr>
          <w:rFonts w:cs="Arial"/>
          <w:lang w:bidi="uk-UA"/>
        </w:rPr>
        <w:t>o</w:t>
      </w:r>
      <w:r>
        <w:rPr>
          <w:rFonts w:cs="Arial"/>
          <w:lang w:val="uk-UA" w:bidi="uk-UA"/>
        </w:rPr>
        <w:t>-Укр</w:t>
      </w:r>
      <w:r>
        <w:rPr>
          <w:rFonts w:eastAsia="Calibri" w:cs="Arial"/>
          <w:lang w:val="uk-UA" w:eastAsia="uk-UA" w:bidi="uk-UA"/>
        </w:rPr>
        <w:t xml:space="preserve"> доведеться розглянути всі законодавчі положення щодо комплексного управління відходами в Румунії та аналогічного законодавства в Україні</w:t>
      </w:r>
      <w:r>
        <w:rPr>
          <w:rFonts w:cs="Arial"/>
          <w:lang w:bidi="uk-UA"/>
        </w:rPr>
        <w:t>.</w:t>
      </w:r>
    </w:p>
    <w:p w:rsidR="00642FB4" w:rsidRDefault="00642FB4">
      <w:pPr>
        <w:ind w:firstLine="720"/>
        <w:jc w:val="both"/>
        <w:rPr>
          <w:rFonts w:cs="Arial"/>
          <w:lang w:bidi="uk-UA"/>
        </w:rPr>
      </w:pPr>
      <w:r>
        <w:rPr>
          <w:rFonts w:eastAsia="Calibri" w:cs="Arial"/>
          <w:lang w:val="uk-UA" w:eastAsia="uk-UA" w:bidi="uk-UA"/>
        </w:rPr>
        <w:t>Екологічна оцінка виконується з використанням бальної системи, представлені в таблиці</w:t>
      </w:r>
      <w:r>
        <w:rPr>
          <w:rFonts w:cs="Arial"/>
          <w:lang w:bidi="uk-UA"/>
        </w:rPr>
        <w:t xml:space="preserve">    </w:t>
      </w:r>
    </w:p>
    <w:p w:rsidR="00642FB4" w:rsidRDefault="00642FB4">
      <w:pPr>
        <w:ind w:firstLine="720"/>
        <w:jc w:val="both"/>
        <w:rPr>
          <w:rFonts w:cs="Arial"/>
          <w:lang w:bidi="uk-UA"/>
        </w:rPr>
      </w:pPr>
      <w:r>
        <w:rPr>
          <w:rFonts w:cs="Arial"/>
          <w:lang w:bidi="uk-UA"/>
        </w:rPr>
        <w:t>7.1.</w:t>
      </w:r>
    </w:p>
    <w:p w:rsidR="00642FB4" w:rsidRDefault="00642FB4">
      <w:pPr>
        <w:ind w:firstLine="720"/>
        <w:jc w:val="both"/>
        <w:rPr>
          <w:rFonts w:cs="Arial"/>
          <w:lang w:bidi="uk-UA"/>
        </w:rPr>
      </w:pPr>
    </w:p>
    <w:p w:rsidR="00642FB4" w:rsidRDefault="00642FB4">
      <w:pPr>
        <w:ind w:firstLine="720"/>
        <w:jc w:val="both"/>
        <w:rPr>
          <w:rFonts w:cs="Arial"/>
          <w:b/>
          <w:sz w:val="22"/>
          <w:szCs w:val="22"/>
          <w:lang w:bidi="uk-UA"/>
        </w:rPr>
      </w:pPr>
      <w:r>
        <w:rPr>
          <w:rFonts w:eastAsia="Calibri" w:cs="Arial"/>
          <w:b/>
          <w:lang w:val="uk-UA" w:eastAsia="uk-UA" w:bidi="uk-UA"/>
        </w:rPr>
        <w:t>Таблиця</w:t>
      </w:r>
      <w:r>
        <w:rPr>
          <w:rFonts w:cs="Arial"/>
          <w:b/>
          <w:sz w:val="22"/>
          <w:szCs w:val="22"/>
          <w:lang w:bidi="uk-UA"/>
        </w:rPr>
        <w:t xml:space="preserve"> 7.1</w:t>
      </w:r>
      <w:r>
        <w:rPr>
          <w:rFonts w:cs="Arial"/>
          <w:sz w:val="22"/>
          <w:szCs w:val="22"/>
          <w:lang w:bidi="uk-UA"/>
        </w:rPr>
        <w:t xml:space="preserve"> </w:t>
      </w:r>
      <w:r>
        <w:rPr>
          <w:rFonts w:eastAsia="Calibri" w:cs="Arial"/>
          <w:b/>
          <w:lang w:val="uk-UA" w:eastAsia="uk-UA" w:bidi="uk-UA"/>
        </w:rPr>
        <w:t>Бальна система з оцінки впливу на навколишнє середовище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2"/>
        <w:gridCol w:w="2887"/>
        <w:gridCol w:w="6133"/>
      </w:tblGrid>
      <w:tr w:rsidR="00642FB4">
        <w:tc>
          <w:tcPr>
            <w:tcW w:w="950" w:type="dxa"/>
            <w:shd w:val="clear" w:color="auto" w:fill="auto"/>
            <w:vAlign w:val="center"/>
          </w:tcPr>
          <w:p w:rsidR="00642FB4" w:rsidRDefault="00642FB4">
            <w:pPr>
              <w:spacing w:before="60" w:after="60"/>
              <w:jc w:val="both"/>
              <w:rPr>
                <w:rFonts w:cs="Arial"/>
                <w:b/>
                <w:lang w:bidi="uk-UA"/>
              </w:rPr>
            </w:pPr>
            <w:r>
              <w:rPr>
                <w:rFonts w:eastAsia="Calibri" w:cs="Arial"/>
                <w:b/>
                <w:lang w:val="uk-UA" w:eastAsia="uk-UA" w:bidi="uk-UA"/>
              </w:rPr>
              <w:t>символ</w:t>
            </w:r>
          </w:p>
        </w:tc>
        <w:tc>
          <w:tcPr>
            <w:tcW w:w="2938" w:type="dxa"/>
            <w:shd w:val="clear" w:color="auto" w:fill="auto"/>
            <w:vAlign w:val="center"/>
          </w:tcPr>
          <w:p w:rsidR="00642FB4" w:rsidRDefault="00642FB4">
            <w:pPr>
              <w:spacing w:before="60" w:after="60"/>
              <w:jc w:val="both"/>
              <w:rPr>
                <w:rFonts w:cs="Arial"/>
                <w:b/>
                <w:lang w:bidi="uk-UA"/>
              </w:rPr>
            </w:pPr>
            <w:r>
              <w:rPr>
                <w:rFonts w:eastAsia="Calibri" w:cs="Arial"/>
                <w:b/>
                <w:lang w:val="uk-UA" w:eastAsia="uk-UA" w:bidi="uk-UA"/>
              </w:rPr>
              <w:t>значення</w:t>
            </w:r>
          </w:p>
        </w:tc>
        <w:tc>
          <w:tcPr>
            <w:tcW w:w="6354" w:type="dxa"/>
            <w:shd w:val="clear" w:color="auto" w:fill="auto"/>
            <w:vAlign w:val="center"/>
          </w:tcPr>
          <w:p w:rsidR="00642FB4" w:rsidRDefault="00642FB4">
            <w:pPr>
              <w:spacing w:before="60" w:after="60"/>
              <w:jc w:val="both"/>
              <w:rPr>
                <w:rFonts w:cs="Arial"/>
                <w:b/>
                <w:lang w:bidi="uk-UA"/>
              </w:rPr>
            </w:pPr>
            <w:r>
              <w:rPr>
                <w:rFonts w:eastAsia="Calibri" w:cs="Arial"/>
                <w:b/>
                <w:lang w:val="uk-UA" w:eastAsia="uk-UA" w:bidi="uk-UA"/>
              </w:rPr>
              <w:t>визначення</w:t>
            </w:r>
          </w:p>
        </w:tc>
      </w:tr>
      <w:tr w:rsidR="00642FB4">
        <w:tc>
          <w:tcPr>
            <w:tcW w:w="950" w:type="dxa"/>
            <w:shd w:val="clear" w:color="auto" w:fill="auto"/>
            <w:vAlign w:val="center"/>
          </w:tcPr>
          <w:p w:rsidR="00642FB4" w:rsidRDefault="00642FB4">
            <w:pPr>
              <w:jc w:val="both"/>
              <w:rPr>
                <w:rFonts w:cs="Arial"/>
                <w:b/>
                <w:sz w:val="20"/>
                <w:szCs w:val="20"/>
                <w:lang w:bidi="uk-UA"/>
              </w:rPr>
            </w:pPr>
            <w:r>
              <w:rPr>
                <w:rFonts w:cs="Arial"/>
                <w:b/>
                <w:sz w:val="20"/>
                <w:szCs w:val="20"/>
                <w:lang w:bidi="uk-UA"/>
              </w:rPr>
              <w:t>++</w:t>
            </w:r>
          </w:p>
        </w:tc>
        <w:tc>
          <w:tcPr>
            <w:tcW w:w="2938" w:type="dxa"/>
            <w:shd w:val="clear" w:color="auto" w:fill="auto"/>
            <w:vAlign w:val="center"/>
          </w:tcPr>
          <w:p w:rsidR="00642FB4" w:rsidRDefault="00642FB4">
            <w:pPr>
              <w:jc w:val="both"/>
              <w:rPr>
                <w:rFonts w:cs="Arial"/>
                <w:lang w:bidi="uk-UA"/>
              </w:rPr>
            </w:pPr>
            <w:r>
              <w:rPr>
                <w:rFonts w:eastAsia="Calibri" w:cs="Arial"/>
                <w:lang w:val="uk-UA" w:eastAsia="uk-UA" w:bidi="uk-UA"/>
              </w:rPr>
              <w:t>Значний вплив позитивно</w:t>
            </w:r>
          </w:p>
        </w:tc>
        <w:tc>
          <w:tcPr>
            <w:tcW w:w="6354" w:type="dxa"/>
            <w:shd w:val="clear" w:color="auto" w:fill="auto"/>
            <w:vAlign w:val="center"/>
          </w:tcPr>
          <w:p w:rsidR="00642FB4" w:rsidRDefault="00642FB4">
            <w:pPr>
              <w:jc w:val="both"/>
              <w:rPr>
                <w:rFonts w:cs="Arial"/>
                <w:lang w:bidi="uk-UA"/>
              </w:rPr>
            </w:pPr>
            <w:r>
              <w:rPr>
                <w:rFonts w:eastAsia="Calibri" w:cs="Arial"/>
                <w:lang w:val="uk-UA" w:eastAsia="uk-UA" w:bidi="uk-UA"/>
              </w:rPr>
              <w:t>Висока позитивна користь для навколишнього середовища,</w:t>
            </w:r>
            <w:r>
              <w:rPr>
                <w:rFonts w:cs="Arial"/>
                <w:lang w:bidi="uk-UA"/>
              </w:rPr>
              <w:t xml:space="preserve"> </w:t>
            </w:r>
            <w:r>
              <w:rPr>
                <w:rFonts w:eastAsia="Calibri" w:cs="Arial"/>
                <w:lang w:val="uk-UA" w:eastAsia="uk-UA" w:bidi="uk-UA"/>
              </w:rPr>
              <w:t>яка має велике значення у зв'язку з наслідками політики</w:t>
            </w:r>
          </w:p>
        </w:tc>
      </w:tr>
      <w:tr w:rsidR="00642FB4">
        <w:tc>
          <w:tcPr>
            <w:tcW w:w="950" w:type="dxa"/>
            <w:shd w:val="clear" w:color="auto" w:fill="auto"/>
            <w:vAlign w:val="center"/>
          </w:tcPr>
          <w:p w:rsidR="00642FB4" w:rsidRDefault="00642FB4">
            <w:pPr>
              <w:jc w:val="both"/>
              <w:rPr>
                <w:rFonts w:cs="Arial"/>
                <w:b/>
                <w:sz w:val="20"/>
                <w:szCs w:val="20"/>
                <w:lang w:bidi="uk-UA"/>
              </w:rPr>
            </w:pPr>
            <w:r>
              <w:rPr>
                <w:rFonts w:cs="Arial"/>
                <w:b/>
                <w:sz w:val="20"/>
                <w:szCs w:val="20"/>
                <w:lang w:bidi="uk-UA"/>
              </w:rPr>
              <w:t>+</w:t>
            </w:r>
          </w:p>
        </w:tc>
        <w:tc>
          <w:tcPr>
            <w:tcW w:w="2938" w:type="dxa"/>
            <w:shd w:val="clear" w:color="auto" w:fill="auto"/>
            <w:vAlign w:val="center"/>
          </w:tcPr>
          <w:p w:rsidR="00642FB4" w:rsidRDefault="00642FB4">
            <w:pPr>
              <w:jc w:val="both"/>
              <w:rPr>
                <w:rFonts w:cs="Arial"/>
                <w:lang w:bidi="uk-UA"/>
              </w:rPr>
            </w:pPr>
            <w:r>
              <w:rPr>
                <w:rFonts w:eastAsia="Calibri" w:cs="Arial"/>
                <w:lang w:val="uk-UA" w:eastAsia="uk-UA" w:bidi="uk-UA"/>
              </w:rPr>
              <w:t>позитивний вплив</w:t>
            </w:r>
          </w:p>
        </w:tc>
        <w:tc>
          <w:tcPr>
            <w:tcW w:w="6354" w:type="dxa"/>
            <w:shd w:val="clear" w:color="auto" w:fill="auto"/>
            <w:vAlign w:val="center"/>
          </w:tcPr>
          <w:p w:rsidR="00642FB4" w:rsidRDefault="00642FB4">
            <w:pPr>
              <w:jc w:val="both"/>
              <w:rPr>
                <w:rFonts w:cs="Arial"/>
                <w:lang w:bidi="uk-UA"/>
              </w:rPr>
            </w:pPr>
            <w:r>
              <w:rPr>
                <w:rFonts w:eastAsia="Calibri" w:cs="Arial"/>
                <w:lang w:val="uk-UA" w:eastAsia="uk-UA" w:bidi="uk-UA"/>
              </w:rPr>
              <w:t>Позитивний вплив на навколишнє середовище, але які не можуть бути значними,</w:t>
            </w:r>
          </w:p>
        </w:tc>
      </w:tr>
      <w:tr w:rsidR="00642FB4">
        <w:tc>
          <w:tcPr>
            <w:tcW w:w="950" w:type="dxa"/>
            <w:shd w:val="clear" w:color="auto" w:fill="auto"/>
            <w:vAlign w:val="center"/>
          </w:tcPr>
          <w:p w:rsidR="00642FB4" w:rsidRDefault="00642FB4">
            <w:pPr>
              <w:jc w:val="both"/>
              <w:rPr>
                <w:rFonts w:cs="Arial"/>
                <w:b/>
                <w:sz w:val="20"/>
                <w:szCs w:val="20"/>
                <w:lang w:bidi="uk-UA"/>
              </w:rPr>
            </w:pPr>
            <w:r>
              <w:rPr>
                <w:rFonts w:cs="Arial"/>
                <w:b/>
                <w:sz w:val="20"/>
                <w:szCs w:val="20"/>
                <w:lang w:bidi="uk-UA"/>
              </w:rPr>
              <w:t>0</w:t>
            </w:r>
          </w:p>
        </w:tc>
        <w:tc>
          <w:tcPr>
            <w:tcW w:w="2938" w:type="dxa"/>
            <w:shd w:val="clear" w:color="auto" w:fill="auto"/>
            <w:vAlign w:val="center"/>
          </w:tcPr>
          <w:p w:rsidR="00642FB4" w:rsidRDefault="00642FB4">
            <w:pPr>
              <w:jc w:val="both"/>
              <w:rPr>
                <w:rFonts w:cs="Arial"/>
                <w:lang w:bidi="uk-UA"/>
              </w:rPr>
            </w:pPr>
            <w:r>
              <w:rPr>
                <w:rFonts w:eastAsia="Calibri" w:cs="Arial"/>
                <w:lang w:val="uk-UA" w:eastAsia="uk-UA" w:bidi="uk-UA"/>
              </w:rPr>
              <w:t>нейтральний</w:t>
            </w:r>
          </w:p>
        </w:tc>
        <w:tc>
          <w:tcPr>
            <w:tcW w:w="6354" w:type="dxa"/>
            <w:shd w:val="clear" w:color="auto" w:fill="auto"/>
            <w:vAlign w:val="center"/>
          </w:tcPr>
          <w:p w:rsidR="00642FB4" w:rsidRDefault="00642FB4">
            <w:pPr>
              <w:jc w:val="both"/>
              <w:rPr>
                <w:rFonts w:cs="Arial"/>
                <w:lang w:bidi="uk-UA"/>
              </w:rPr>
            </w:pPr>
            <w:r>
              <w:rPr>
                <w:rFonts w:eastAsia="Calibri" w:cs="Arial"/>
                <w:lang w:val="uk-UA" w:eastAsia="uk-UA" w:bidi="uk-UA"/>
              </w:rPr>
              <w:t>не видно ніякого ефекту</w:t>
            </w:r>
          </w:p>
        </w:tc>
      </w:tr>
      <w:tr w:rsidR="00642FB4">
        <w:tc>
          <w:tcPr>
            <w:tcW w:w="950" w:type="dxa"/>
            <w:shd w:val="clear" w:color="auto" w:fill="auto"/>
            <w:vAlign w:val="center"/>
          </w:tcPr>
          <w:p w:rsidR="00642FB4" w:rsidRDefault="00642FB4">
            <w:pPr>
              <w:jc w:val="both"/>
              <w:rPr>
                <w:rFonts w:cs="Arial"/>
                <w:b/>
                <w:sz w:val="20"/>
                <w:szCs w:val="20"/>
                <w:lang w:bidi="uk-UA"/>
              </w:rPr>
            </w:pPr>
            <w:r>
              <w:rPr>
                <w:rFonts w:cs="Arial"/>
                <w:b/>
                <w:sz w:val="20"/>
                <w:szCs w:val="20"/>
                <w:lang w:bidi="uk-UA"/>
              </w:rPr>
              <w:t>-</w:t>
            </w:r>
          </w:p>
        </w:tc>
        <w:tc>
          <w:tcPr>
            <w:tcW w:w="2938" w:type="dxa"/>
            <w:shd w:val="clear" w:color="auto" w:fill="auto"/>
            <w:vAlign w:val="center"/>
          </w:tcPr>
          <w:p w:rsidR="00642FB4" w:rsidRDefault="00642FB4">
            <w:pPr>
              <w:jc w:val="both"/>
              <w:rPr>
                <w:rFonts w:cs="Arial"/>
                <w:lang w:bidi="uk-UA"/>
              </w:rPr>
            </w:pPr>
            <w:r>
              <w:rPr>
                <w:rFonts w:eastAsia="Calibri" w:cs="Arial"/>
                <w:lang w:val="uk-UA" w:eastAsia="uk-UA" w:bidi="uk-UA"/>
              </w:rPr>
              <w:t>негативний вплив</w:t>
            </w:r>
          </w:p>
        </w:tc>
        <w:tc>
          <w:tcPr>
            <w:tcW w:w="6354" w:type="dxa"/>
            <w:shd w:val="clear" w:color="auto" w:fill="auto"/>
            <w:vAlign w:val="center"/>
          </w:tcPr>
          <w:p w:rsidR="00642FB4" w:rsidRDefault="00642FB4">
            <w:pPr>
              <w:jc w:val="both"/>
              <w:rPr>
                <w:rFonts w:cs="Arial"/>
                <w:lang w:bidi="uk-UA"/>
              </w:rPr>
            </w:pPr>
            <w:r>
              <w:rPr>
                <w:rFonts w:eastAsia="Calibri" w:cs="Arial"/>
                <w:lang w:val="uk-UA" w:eastAsia="uk-UA" w:bidi="uk-UA"/>
              </w:rPr>
              <w:t>Негативний вплив, але не може вважатися значним</w:t>
            </w:r>
          </w:p>
        </w:tc>
      </w:tr>
      <w:tr w:rsidR="00642FB4">
        <w:tc>
          <w:tcPr>
            <w:tcW w:w="950" w:type="dxa"/>
            <w:shd w:val="clear" w:color="auto" w:fill="auto"/>
            <w:vAlign w:val="center"/>
          </w:tcPr>
          <w:p w:rsidR="00642FB4" w:rsidRDefault="00642FB4">
            <w:pPr>
              <w:jc w:val="both"/>
              <w:rPr>
                <w:rFonts w:cs="Arial"/>
                <w:b/>
                <w:sz w:val="20"/>
                <w:szCs w:val="20"/>
                <w:lang w:bidi="uk-UA"/>
              </w:rPr>
            </w:pPr>
            <w:r>
              <w:rPr>
                <w:rFonts w:cs="Arial"/>
                <w:b/>
                <w:sz w:val="20"/>
                <w:szCs w:val="20"/>
                <w:lang w:bidi="uk-UA"/>
              </w:rPr>
              <w:t>--</w:t>
            </w:r>
          </w:p>
        </w:tc>
        <w:tc>
          <w:tcPr>
            <w:tcW w:w="2938" w:type="dxa"/>
            <w:shd w:val="clear" w:color="auto" w:fill="auto"/>
            <w:vAlign w:val="center"/>
          </w:tcPr>
          <w:p w:rsidR="00642FB4" w:rsidRDefault="00642FB4">
            <w:pPr>
              <w:jc w:val="both"/>
              <w:rPr>
                <w:rFonts w:cs="Arial"/>
                <w:lang w:bidi="uk-UA"/>
              </w:rPr>
            </w:pPr>
            <w:r>
              <w:rPr>
                <w:rFonts w:eastAsia="Calibri" w:cs="Arial"/>
                <w:lang w:val="uk-UA" w:eastAsia="uk-UA" w:bidi="uk-UA"/>
              </w:rPr>
              <w:t>Значний вплив негативно</w:t>
            </w:r>
          </w:p>
        </w:tc>
        <w:tc>
          <w:tcPr>
            <w:tcW w:w="6354" w:type="dxa"/>
            <w:shd w:val="clear" w:color="auto" w:fill="auto"/>
            <w:vAlign w:val="center"/>
          </w:tcPr>
          <w:p w:rsidR="00642FB4" w:rsidRDefault="00642FB4">
            <w:pPr>
              <w:jc w:val="both"/>
              <w:rPr>
                <w:rFonts w:cs="Arial"/>
                <w:lang w:bidi="uk-UA"/>
              </w:rPr>
            </w:pPr>
            <w:r>
              <w:rPr>
                <w:rFonts w:eastAsia="Calibri" w:cs="Arial"/>
                <w:lang w:val="uk-UA" w:eastAsia="uk-UA" w:bidi="uk-UA"/>
              </w:rPr>
              <w:t>Високий несприятливий вплив на екологічні проблеми, які вимагають огляду політики поточну форму</w:t>
            </w:r>
          </w:p>
        </w:tc>
      </w:tr>
      <w:tr w:rsidR="00642FB4">
        <w:tc>
          <w:tcPr>
            <w:tcW w:w="950" w:type="dxa"/>
            <w:shd w:val="clear" w:color="auto" w:fill="auto"/>
            <w:vAlign w:val="center"/>
          </w:tcPr>
          <w:p w:rsidR="00642FB4" w:rsidRDefault="00642FB4">
            <w:pPr>
              <w:jc w:val="both"/>
              <w:rPr>
                <w:rFonts w:cs="Arial"/>
                <w:b/>
                <w:sz w:val="20"/>
                <w:szCs w:val="20"/>
                <w:lang w:bidi="uk-UA"/>
              </w:rPr>
            </w:pPr>
            <w:r>
              <w:rPr>
                <w:rFonts w:cs="Arial"/>
                <w:b/>
                <w:sz w:val="20"/>
                <w:szCs w:val="20"/>
                <w:lang w:bidi="uk-UA"/>
              </w:rPr>
              <w:t>?</w:t>
            </w:r>
          </w:p>
        </w:tc>
        <w:tc>
          <w:tcPr>
            <w:tcW w:w="2938" w:type="dxa"/>
            <w:shd w:val="clear" w:color="auto" w:fill="auto"/>
            <w:vAlign w:val="center"/>
          </w:tcPr>
          <w:p w:rsidR="00642FB4" w:rsidRDefault="00642FB4">
            <w:pPr>
              <w:jc w:val="both"/>
              <w:rPr>
                <w:rFonts w:cs="Arial"/>
                <w:lang w:bidi="uk-UA"/>
              </w:rPr>
            </w:pPr>
            <w:r>
              <w:rPr>
                <w:rFonts w:eastAsia="Calibri" w:cs="Arial"/>
                <w:lang w:val="uk-UA" w:eastAsia="uk-UA" w:bidi="uk-UA"/>
              </w:rPr>
              <w:t>невизначеність</w:t>
            </w:r>
          </w:p>
        </w:tc>
        <w:tc>
          <w:tcPr>
            <w:tcW w:w="6354" w:type="dxa"/>
            <w:shd w:val="clear" w:color="auto" w:fill="auto"/>
            <w:vAlign w:val="center"/>
          </w:tcPr>
          <w:p w:rsidR="00642FB4" w:rsidRDefault="00642FB4">
            <w:pPr>
              <w:jc w:val="both"/>
              <w:rPr>
                <w:rFonts w:cs="Arial"/>
                <w:lang w:bidi="uk-UA"/>
              </w:rPr>
            </w:pPr>
            <w:r>
              <w:rPr>
                <w:rFonts w:eastAsia="Calibri" w:cs="Arial"/>
                <w:lang w:val="uk-UA" w:eastAsia="uk-UA" w:bidi="uk-UA"/>
              </w:rPr>
              <w:t>Ефект не може бути визначений, тому що на цьому рівні деталізації мало даних та інформації</w:t>
            </w:r>
          </w:p>
        </w:tc>
      </w:tr>
    </w:tbl>
    <w:p w:rsidR="00642FB4" w:rsidRDefault="00642FB4">
      <w:pPr>
        <w:ind w:firstLine="720"/>
        <w:jc w:val="both"/>
        <w:rPr>
          <w:rFonts w:cs="Arial"/>
          <w:sz w:val="22"/>
          <w:szCs w:val="22"/>
          <w:lang w:bidi="uk-UA"/>
        </w:rPr>
      </w:pPr>
    </w:p>
    <w:p w:rsidR="00642FB4" w:rsidRDefault="00642FB4">
      <w:pPr>
        <w:jc w:val="both"/>
        <w:rPr>
          <w:rFonts w:cs="Arial"/>
          <w:highlight w:val="yellow"/>
          <w:lang w:eastAsia="uk-UA" w:bidi="uk-UA"/>
        </w:rPr>
      </w:pPr>
      <w:r>
        <w:rPr>
          <w:rFonts w:eastAsia="Calibri" w:cs="Arial"/>
          <w:lang w:val="uk-UA" w:eastAsia="uk-UA" w:bidi="uk-UA"/>
        </w:rPr>
        <w:t>У таблиці 7.2 показано вплив дій, що свідчать про кожного екологічного фактора вважаються доречними.</w:t>
      </w:r>
    </w:p>
    <w:p w:rsidR="00642FB4" w:rsidRDefault="00642FB4">
      <w:pPr>
        <w:jc w:val="both"/>
        <w:rPr>
          <w:rFonts w:cs="Arial"/>
          <w:highlight w:val="yellow"/>
          <w:lang w:eastAsia="uk-UA" w:bidi="uk-UA"/>
        </w:rPr>
      </w:pPr>
    </w:p>
    <w:p w:rsidR="00642FB4" w:rsidRDefault="00642FB4">
      <w:pPr>
        <w:jc w:val="both"/>
        <w:rPr>
          <w:rFonts w:cs="Arial"/>
          <w:highlight w:val="yellow"/>
          <w:lang w:eastAsia="uk-UA" w:bidi="uk-UA"/>
        </w:rPr>
      </w:pPr>
    </w:p>
    <w:p w:rsidR="00642FB4" w:rsidRDefault="00642FB4">
      <w:pPr>
        <w:jc w:val="both"/>
        <w:rPr>
          <w:rFonts w:cs="Arial"/>
          <w:highlight w:val="yellow"/>
          <w:lang w:eastAsia="uk-UA" w:bidi="uk-UA"/>
        </w:rPr>
      </w:pPr>
    </w:p>
    <w:p w:rsidR="00642FB4" w:rsidRDefault="00642FB4">
      <w:pPr>
        <w:jc w:val="both"/>
        <w:rPr>
          <w:rFonts w:cs="Arial"/>
          <w:highlight w:val="yellow"/>
          <w:lang w:eastAsia="uk-UA" w:bidi="uk-UA"/>
        </w:rPr>
      </w:pPr>
    </w:p>
    <w:p w:rsidR="00642FB4" w:rsidRDefault="00642FB4">
      <w:pPr>
        <w:jc w:val="both"/>
        <w:rPr>
          <w:rFonts w:cs="Arial"/>
          <w:highlight w:val="yellow"/>
          <w:lang w:eastAsia="uk-UA" w:bidi="uk-UA"/>
        </w:rPr>
      </w:pPr>
    </w:p>
    <w:p w:rsidR="00642FB4" w:rsidRDefault="00642FB4">
      <w:pPr>
        <w:jc w:val="both"/>
        <w:rPr>
          <w:rFonts w:cs="Arial"/>
          <w:highlight w:val="yellow"/>
          <w:lang w:eastAsia="uk-UA" w:bidi="uk-UA"/>
        </w:rPr>
      </w:pPr>
    </w:p>
    <w:p w:rsidR="00642FB4" w:rsidRDefault="00642FB4">
      <w:pPr>
        <w:jc w:val="both"/>
        <w:rPr>
          <w:rFonts w:cs="Arial"/>
          <w:highlight w:val="yellow"/>
          <w:lang w:eastAsia="uk-UA" w:bidi="uk-UA"/>
        </w:rPr>
        <w:sectPr w:rsidR="00642FB4">
          <w:pgSz w:w="11909" w:h="16834" w:code="9"/>
          <w:pgMar w:top="567" w:right="849" w:bottom="567" w:left="1134" w:header="284" w:footer="0" w:gutter="0"/>
          <w:cols w:space="708"/>
          <w:docGrid w:linePitch="360"/>
        </w:sectPr>
      </w:pP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68"/>
        <w:gridCol w:w="720"/>
        <w:gridCol w:w="630"/>
        <w:gridCol w:w="630"/>
        <w:gridCol w:w="617"/>
        <w:gridCol w:w="850"/>
        <w:gridCol w:w="709"/>
        <w:gridCol w:w="709"/>
        <w:gridCol w:w="709"/>
        <w:gridCol w:w="850"/>
      </w:tblGrid>
      <w:tr w:rsidR="00642FB4">
        <w:trPr>
          <w:trHeight w:val="1833"/>
          <w:tblHeader/>
        </w:trPr>
        <w:tc>
          <w:tcPr>
            <w:tcW w:w="8568" w:type="dxa"/>
            <w:shd w:val="clear" w:color="auto" w:fill="auto"/>
            <w:vAlign w:val="center"/>
          </w:tcPr>
          <w:p w:rsidR="00642FB4" w:rsidRDefault="00642FB4">
            <w:pPr>
              <w:jc w:val="center"/>
              <w:rPr>
                <w:rFonts w:eastAsia="Calibri" w:cs="Arial"/>
                <w:b/>
                <w:lang w:bidi="uk-UA"/>
              </w:rPr>
            </w:pPr>
            <w:r>
              <w:rPr>
                <w:rFonts w:eastAsia="Calibri" w:cs="Arial"/>
                <w:b/>
                <w:lang w:val="uk-UA" w:eastAsia="uk-UA" w:bidi="uk-UA"/>
              </w:rPr>
              <w:t xml:space="preserve">Оцінка впливу Програми </w:t>
            </w:r>
            <w:r>
              <w:rPr>
                <w:rFonts w:cs="Arial"/>
                <w:b/>
                <w:lang w:val="uk-UA" w:bidi="uk-UA"/>
              </w:rPr>
              <w:t>Р</w:t>
            </w:r>
            <w:r>
              <w:rPr>
                <w:rFonts w:cs="Arial"/>
                <w:b/>
                <w:lang w:bidi="uk-UA"/>
              </w:rPr>
              <w:t>o</w:t>
            </w:r>
            <w:r>
              <w:rPr>
                <w:rFonts w:cs="Arial"/>
                <w:b/>
                <w:lang w:val="uk-UA" w:bidi="uk-UA"/>
              </w:rPr>
              <w:t>-Укр</w:t>
            </w:r>
            <w:r>
              <w:rPr>
                <w:rFonts w:eastAsia="Calibri" w:cs="Arial"/>
                <w:b/>
                <w:lang w:val="uk-UA" w:eastAsia="uk-UA" w:bidi="uk-UA"/>
              </w:rPr>
              <w:t xml:space="preserve"> тематичних завдань по врахованих чинників навколишнього середовища</w:t>
            </w:r>
          </w:p>
        </w:tc>
        <w:tc>
          <w:tcPr>
            <w:tcW w:w="720" w:type="dxa"/>
            <w:shd w:val="clear" w:color="auto" w:fill="auto"/>
            <w:textDirection w:val="btLr"/>
            <w:vAlign w:val="center"/>
          </w:tcPr>
          <w:p w:rsidR="00642FB4" w:rsidRDefault="00642FB4">
            <w:pPr>
              <w:ind w:left="113" w:right="113"/>
              <w:rPr>
                <w:rFonts w:eastAsia="Calibri" w:cs="Arial"/>
                <w:b/>
                <w:lang w:bidi="uk-UA"/>
              </w:rPr>
            </w:pPr>
            <w:r>
              <w:rPr>
                <w:rFonts w:eastAsia="Calibri" w:cs="Arial"/>
                <w:b/>
                <w:lang w:val="uk-UA" w:eastAsia="uk-UA" w:bidi="uk-UA"/>
              </w:rPr>
              <w:t>повітря</w:t>
            </w:r>
            <w:r>
              <w:rPr>
                <w:rFonts w:eastAsia="Calibri" w:cs="Arial"/>
                <w:b/>
                <w:lang w:bidi="uk-UA"/>
              </w:rPr>
              <w:t xml:space="preserve"> </w:t>
            </w:r>
          </w:p>
        </w:tc>
        <w:tc>
          <w:tcPr>
            <w:tcW w:w="630" w:type="dxa"/>
            <w:shd w:val="clear" w:color="auto" w:fill="auto"/>
            <w:textDirection w:val="btLr"/>
            <w:vAlign w:val="bottom"/>
          </w:tcPr>
          <w:p w:rsidR="00642FB4" w:rsidRDefault="00642FB4">
            <w:pPr>
              <w:ind w:left="113" w:right="113"/>
              <w:rPr>
                <w:rFonts w:eastAsia="Calibri" w:cs="Arial"/>
                <w:b/>
                <w:lang w:bidi="uk-UA"/>
              </w:rPr>
            </w:pPr>
            <w:r>
              <w:rPr>
                <w:rFonts w:eastAsia="Calibri" w:cs="Arial"/>
                <w:b/>
                <w:lang w:val="uk-UA" w:eastAsia="uk-UA" w:bidi="uk-UA"/>
              </w:rPr>
              <w:t>вода</w:t>
            </w:r>
          </w:p>
        </w:tc>
        <w:tc>
          <w:tcPr>
            <w:tcW w:w="630" w:type="dxa"/>
            <w:shd w:val="clear" w:color="auto" w:fill="auto"/>
            <w:textDirection w:val="btLr"/>
            <w:vAlign w:val="bottom"/>
          </w:tcPr>
          <w:p w:rsidR="00642FB4" w:rsidRDefault="00642FB4">
            <w:pPr>
              <w:ind w:left="113" w:right="113"/>
              <w:rPr>
                <w:rFonts w:eastAsia="Calibri" w:cs="Arial"/>
                <w:b/>
                <w:lang w:bidi="uk-UA"/>
              </w:rPr>
            </w:pPr>
            <w:r>
              <w:rPr>
                <w:rFonts w:eastAsia="Calibri" w:cs="Arial"/>
                <w:b/>
                <w:lang w:val="uk-UA" w:eastAsia="uk-UA" w:bidi="uk-UA"/>
              </w:rPr>
              <w:t>грунт, підґрунтя, пеізаж</w:t>
            </w:r>
          </w:p>
        </w:tc>
        <w:tc>
          <w:tcPr>
            <w:tcW w:w="617" w:type="dxa"/>
            <w:textDirection w:val="btLr"/>
          </w:tcPr>
          <w:p w:rsidR="00642FB4" w:rsidRDefault="00642FB4">
            <w:pPr>
              <w:ind w:left="113" w:right="113"/>
              <w:rPr>
                <w:rFonts w:eastAsia="Calibri" w:cs="Arial"/>
                <w:b/>
                <w:lang w:bidi="uk-UA"/>
              </w:rPr>
            </w:pPr>
            <w:r>
              <w:rPr>
                <w:rFonts w:eastAsia="Calibri" w:cs="Arial"/>
                <w:b/>
                <w:lang w:val="uk-UA" w:eastAsia="uk-UA" w:bidi="uk-UA"/>
              </w:rPr>
              <w:t>зміна клімату</w:t>
            </w:r>
          </w:p>
        </w:tc>
        <w:tc>
          <w:tcPr>
            <w:tcW w:w="850" w:type="dxa"/>
            <w:shd w:val="clear" w:color="auto" w:fill="auto"/>
            <w:textDirection w:val="btLr"/>
            <w:vAlign w:val="bottom"/>
          </w:tcPr>
          <w:p w:rsidR="00642FB4" w:rsidRDefault="00642FB4">
            <w:pPr>
              <w:ind w:left="113" w:right="113"/>
              <w:rPr>
                <w:rFonts w:eastAsia="Calibri" w:cs="Arial"/>
                <w:b/>
                <w:lang w:bidi="uk-UA"/>
              </w:rPr>
            </w:pPr>
            <w:r>
              <w:rPr>
                <w:rFonts w:eastAsia="Calibri" w:cs="Arial"/>
                <w:b/>
                <w:lang w:val="uk-UA" w:eastAsia="uk-UA" w:bidi="uk-UA"/>
              </w:rPr>
              <w:t>Населення та громадське здоров'я</w:t>
            </w:r>
          </w:p>
        </w:tc>
        <w:tc>
          <w:tcPr>
            <w:tcW w:w="709" w:type="dxa"/>
            <w:shd w:val="clear" w:color="auto" w:fill="auto"/>
            <w:textDirection w:val="btLr"/>
            <w:vAlign w:val="bottom"/>
          </w:tcPr>
          <w:p w:rsidR="00642FB4" w:rsidRDefault="00642FB4">
            <w:pPr>
              <w:ind w:left="113" w:right="113"/>
              <w:rPr>
                <w:rFonts w:eastAsia="Calibri" w:cs="Arial"/>
                <w:b/>
                <w:lang w:bidi="uk-UA"/>
              </w:rPr>
            </w:pPr>
            <w:r>
              <w:rPr>
                <w:rFonts w:eastAsia="Calibri" w:cs="Arial"/>
                <w:b/>
                <w:lang w:val="uk-UA" w:eastAsia="uk-UA" w:bidi="uk-UA"/>
              </w:rPr>
              <w:t>Біорізноманіття, флора і фауна</w:t>
            </w:r>
          </w:p>
        </w:tc>
        <w:tc>
          <w:tcPr>
            <w:tcW w:w="709" w:type="dxa"/>
            <w:shd w:val="clear" w:color="auto" w:fill="auto"/>
            <w:textDirection w:val="btLr"/>
            <w:vAlign w:val="bottom"/>
          </w:tcPr>
          <w:p w:rsidR="00642FB4" w:rsidRDefault="00642FB4">
            <w:pPr>
              <w:ind w:left="113" w:right="113"/>
              <w:rPr>
                <w:rFonts w:eastAsia="Calibri" w:cs="Arial"/>
                <w:b/>
                <w:lang w:bidi="uk-UA"/>
              </w:rPr>
            </w:pPr>
            <w:r>
              <w:rPr>
                <w:rFonts w:eastAsia="Calibri" w:cs="Arial"/>
                <w:b/>
                <w:lang w:val="uk-UA" w:eastAsia="uk-UA" w:bidi="uk-UA"/>
              </w:rPr>
              <w:t>поводження з відходами</w:t>
            </w:r>
          </w:p>
        </w:tc>
        <w:tc>
          <w:tcPr>
            <w:tcW w:w="709" w:type="dxa"/>
            <w:shd w:val="clear" w:color="auto" w:fill="auto"/>
            <w:textDirection w:val="btLr"/>
            <w:vAlign w:val="bottom"/>
          </w:tcPr>
          <w:p w:rsidR="00642FB4" w:rsidRDefault="00642FB4">
            <w:pPr>
              <w:ind w:left="113" w:right="113"/>
              <w:rPr>
                <w:rFonts w:eastAsia="Calibri" w:cs="Arial"/>
                <w:b/>
                <w:lang w:bidi="uk-UA"/>
              </w:rPr>
            </w:pPr>
            <w:r>
              <w:rPr>
                <w:rFonts w:eastAsia="Calibri" w:cs="Arial"/>
                <w:b/>
                <w:lang w:val="uk-UA" w:eastAsia="uk-UA" w:bidi="uk-UA"/>
              </w:rPr>
              <w:t>культурна спадщина</w:t>
            </w:r>
          </w:p>
        </w:tc>
        <w:tc>
          <w:tcPr>
            <w:tcW w:w="850" w:type="dxa"/>
            <w:shd w:val="clear" w:color="auto" w:fill="auto"/>
            <w:textDirection w:val="btLr"/>
            <w:vAlign w:val="bottom"/>
          </w:tcPr>
          <w:p w:rsidR="00642FB4" w:rsidRDefault="00642FB4">
            <w:pPr>
              <w:ind w:left="113" w:right="113"/>
              <w:rPr>
                <w:rFonts w:eastAsia="Calibri" w:cs="Arial"/>
                <w:b/>
                <w:lang w:bidi="uk-UA"/>
              </w:rPr>
            </w:pPr>
            <w:r>
              <w:rPr>
                <w:rFonts w:eastAsia="Calibri" w:cs="Arial"/>
                <w:b/>
                <w:lang w:val="uk-UA" w:eastAsia="uk-UA" w:bidi="uk-UA"/>
              </w:rPr>
              <w:t>Ефективність використання ресурсів</w:t>
            </w:r>
          </w:p>
        </w:tc>
      </w:tr>
      <w:tr w:rsidR="00642FB4">
        <w:tc>
          <w:tcPr>
            <w:tcW w:w="14992" w:type="dxa"/>
            <w:gridSpan w:val="10"/>
          </w:tcPr>
          <w:p w:rsidR="00642FB4" w:rsidRDefault="00642FB4">
            <w:pPr>
              <w:jc w:val="both"/>
              <w:rPr>
                <w:rFonts w:eastAsia="Calibri" w:cs="Arial"/>
                <w:sz w:val="20"/>
                <w:szCs w:val="20"/>
                <w:lang w:bidi="uk-UA"/>
              </w:rPr>
            </w:pPr>
            <w:r>
              <w:rPr>
                <w:rFonts w:eastAsia="Calibri" w:cs="Arial"/>
                <w:b/>
                <w:sz w:val="20"/>
                <w:szCs w:val="20"/>
                <w:lang w:bidi="uk-UA"/>
              </w:rPr>
              <w:t xml:space="preserve">OT2 - </w:t>
            </w:r>
            <w:r>
              <w:rPr>
                <w:rFonts w:eastAsia="Calibri" w:cs="Arial"/>
                <w:b/>
                <w:lang w:val="uk-UA" w:eastAsia="uk-UA" w:bidi="uk-UA"/>
              </w:rPr>
              <w:t>Підтримка освіти, досліджень, розробок та інновацій</w:t>
            </w:r>
          </w:p>
        </w:tc>
      </w:tr>
      <w:tr w:rsidR="00642FB4">
        <w:tc>
          <w:tcPr>
            <w:tcW w:w="14992" w:type="dxa"/>
            <w:gridSpan w:val="10"/>
          </w:tcPr>
          <w:p w:rsidR="00642FB4" w:rsidRDefault="00642FB4">
            <w:pPr>
              <w:jc w:val="both"/>
              <w:rPr>
                <w:rFonts w:eastAsia="Calibri" w:cs="Arial"/>
                <w:lang w:bidi="uk-UA"/>
              </w:rPr>
            </w:pPr>
            <w:r>
              <w:rPr>
                <w:rFonts w:eastAsia="Calibri" w:cs="Arial"/>
                <w:b/>
                <w:lang w:val="uk-UA" w:eastAsia="uk-UA" w:bidi="uk-UA"/>
              </w:rPr>
              <w:t>мета</w:t>
            </w:r>
            <w:r>
              <w:rPr>
                <w:rFonts w:eastAsia="Calibri" w:cs="Arial"/>
                <w:i/>
                <w:lang w:bidi="uk-UA"/>
              </w:rPr>
              <w:t xml:space="preserve"> 1: </w:t>
            </w:r>
            <w:r>
              <w:rPr>
                <w:rFonts w:eastAsia="Calibri" w:cs="Arial"/>
                <w:b/>
                <w:lang w:val="uk-UA" w:eastAsia="uk-UA" w:bidi="uk-UA"/>
              </w:rPr>
              <w:t>Розробка системи освіти і підтримку досліджень та інновацій в галузі програмного сприяння співробітництву на місцевому, регіональному та центральному</w:t>
            </w:r>
          </w:p>
        </w:tc>
      </w:tr>
      <w:tr w:rsidR="00642FB4">
        <w:tc>
          <w:tcPr>
            <w:tcW w:w="14992" w:type="dxa"/>
            <w:gridSpan w:val="10"/>
          </w:tcPr>
          <w:p w:rsidR="00642FB4" w:rsidRDefault="00642FB4">
            <w:pPr>
              <w:jc w:val="both"/>
              <w:rPr>
                <w:rFonts w:eastAsia="Calibri" w:cs="Arial"/>
                <w:lang w:bidi="uk-UA"/>
              </w:rPr>
            </w:pPr>
            <w:r>
              <w:rPr>
                <w:rFonts w:eastAsia="Calibri" w:cs="Arial"/>
                <w:b/>
                <w:lang w:val="uk-UA" w:eastAsia="uk-UA" w:bidi="uk-UA"/>
              </w:rPr>
              <w:t>першістю</w:t>
            </w:r>
            <w:r>
              <w:rPr>
                <w:rFonts w:eastAsia="Calibri" w:cs="Arial"/>
                <w:b/>
                <w:lang w:bidi="uk-UA"/>
              </w:rPr>
              <w:t xml:space="preserve"> 1.1 </w:t>
            </w:r>
            <w:r>
              <w:rPr>
                <w:rFonts w:eastAsia="Calibri" w:cs="Arial"/>
                <w:lang w:val="uk-UA" w:eastAsia="uk-UA" w:bidi="uk-UA"/>
              </w:rPr>
              <w:t xml:space="preserve">- </w:t>
            </w:r>
            <w:r>
              <w:rPr>
                <w:rFonts w:eastAsia="Calibri" w:cs="Arial"/>
                <w:b/>
                <w:lang w:val="uk-UA" w:eastAsia="uk-UA" w:bidi="uk-UA"/>
              </w:rPr>
              <w:t>Інституційна співпраця в галузі освіти з метою розширення доступу до освіти та якості освіти</w:t>
            </w:r>
          </w:p>
        </w:tc>
      </w:tr>
      <w:tr w:rsidR="00642FB4">
        <w:trPr>
          <w:trHeight w:val="266"/>
        </w:trPr>
        <w:tc>
          <w:tcPr>
            <w:tcW w:w="8568" w:type="dxa"/>
            <w:shd w:val="clear" w:color="auto" w:fill="auto"/>
          </w:tcPr>
          <w:p w:rsidR="00642FB4" w:rsidRDefault="00642FB4">
            <w:pPr>
              <w:jc w:val="both"/>
              <w:rPr>
                <w:rFonts w:eastAsia="Calibri" w:cs="Arial"/>
                <w:lang w:bidi="uk-UA"/>
              </w:rPr>
            </w:pPr>
            <w:r>
              <w:rPr>
                <w:rFonts w:eastAsia="Calibri" w:cs="Arial"/>
                <w:lang w:val="uk-UA" w:eastAsia="uk-UA" w:bidi="uk-UA"/>
              </w:rPr>
              <w:t>Планування та розробка спільних освітніх стратегій</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rPr>
          <w:trHeight w:val="1464"/>
        </w:trPr>
        <w:tc>
          <w:tcPr>
            <w:tcW w:w="8568" w:type="dxa"/>
            <w:shd w:val="clear" w:color="auto" w:fill="auto"/>
          </w:tcPr>
          <w:p w:rsidR="00642FB4" w:rsidRDefault="00642FB4">
            <w:pPr>
              <w:jc w:val="both"/>
              <w:rPr>
                <w:rFonts w:eastAsia="Calibri" w:cs="Arial"/>
                <w:lang w:bidi="uk-UA"/>
              </w:rPr>
            </w:pPr>
            <w:r>
              <w:rPr>
                <w:rFonts w:eastAsia="Calibri" w:cs="Arial"/>
                <w:lang w:val="uk-UA" w:eastAsia="uk-UA" w:bidi="uk-UA"/>
              </w:rPr>
              <w:t>Обмін досвідом</w:t>
            </w:r>
            <w:r>
              <w:rPr>
                <w:rFonts w:eastAsia="Calibri" w:cs="Arial"/>
                <w:lang w:bidi="uk-UA"/>
              </w:rPr>
              <w:t xml:space="preserve">, </w:t>
            </w:r>
            <w:r>
              <w:rPr>
                <w:rFonts w:eastAsia="Calibri" w:cs="Arial"/>
                <w:lang w:val="uk-UA" w:eastAsia="uk-UA" w:bidi="uk-UA"/>
              </w:rPr>
              <w:t>обміни викладачами</w:t>
            </w:r>
            <w:r>
              <w:rPr>
                <w:rFonts w:eastAsia="Calibri" w:cs="Arial"/>
                <w:lang w:val="uk-UA" w:bidi="uk-UA"/>
              </w:rPr>
              <w:t xml:space="preserve"> </w:t>
            </w:r>
            <w:r>
              <w:rPr>
                <w:rFonts w:eastAsia="Calibri" w:cs="Arial"/>
                <w:lang w:val="uk-UA" w:eastAsia="uk-UA" w:bidi="uk-UA"/>
              </w:rPr>
              <w:t>переклади передовим досвідом між установами по обидва боки кордону з метою підвищення ефективності освіти шляхом диверсифікації навчальних програм для працівників системи освіти</w:t>
            </w:r>
            <w:r>
              <w:rPr>
                <w:rFonts w:eastAsia="Calibri" w:cs="Arial"/>
                <w:lang w:bidi="uk-UA"/>
              </w:rPr>
              <w:t>:</w:t>
            </w:r>
          </w:p>
          <w:p w:rsidR="00642FB4" w:rsidRDefault="00642FB4">
            <w:pPr>
              <w:jc w:val="both"/>
              <w:rPr>
                <w:rFonts w:eastAsia="Calibri" w:cs="Arial"/>
                <w:lang w:bidi="uk-UA"/>
              </w:rPr>
            </w:pPr>
            <w:r>
              <w:rPr>
                <w:rFonts w:eastAsia="Calibri" w:cs="Arial"/>
                <w:lang w:bidi="uk-UA"/>
              </w:rPr>
              <w:t xml:space="preserve">- розвитку школи,  управління школи, розвиток відносин між школою і співтовариством; </w:t>
            </w:r>
          </w:p>
          <w:p w:rsidR="00642FB4" w:rsidRDefault="00642FB4">
            <w:pPr>
              <w:jc w:val="both"/>
              <w:rPr>
                <w:rFonts w:eastAsia="Calibri" w:cs="Arial"/>
                <w:lang w:bidi="uk-UA"/>
              </w:rPr>
            </w:pPr>
            <w:r>
              <w:rPr>
                <w:rFonts w:eastAsia="Calibri" w:cs="Arial"/>
                <w:lang w:bidi="uk-UA"/>
              </w:rPr>
              <w:t xml:space="preserve">- </w:t>
            </w:r>
            <w:r>
              <w:rPr>
                <w:rFonts w:eastAsia="Calibri" w:cs="Arial"/>
                <w:lang w:val="uk-UA" w:eastAsia="uk-UA" w:bidi="uk-UA"/>
              </w:rPr>
              <w:t>розробка і застосування інноваційних методів навчання для підвищення кваліфікації викладачів, щоб полегшити навчання студентів</w:t>
            </w:r>
            <w:r>
              <w:rPr>
                <w:rFonts w:eastAsia="Calibri" w:cs="Arial"/>
                <w:lang w:bidi="uk-UA"/>
              </w:rPr>
              <w:t>.</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rPr>
          <w:trHeight w:val="347"/>
        </w:trPr>
        <w:tc>
          <w:tcPr>
            <w:tcW w:w="8568" w:type="dxa"/>
            <w:shd w:val="clear" w:color="auto" w:fill="auto"/>
            <w:vAlign w:val="center"/>
          </w:tcPr>
          <w:p w:rsidR="00642FB4" w:rsidRDefault="00642FB4">
            <w:pPr>
              <w:jc w:val="both"/>
              <w:rPr>
                <w:rFonts w:cs="Arial"/>
                <w:lang w:eastAsia="uk-UA" w:bidi="uk-UA"/>
              </w:rPr>
            </w:pPr>
            <w:r>
              <w:rPr>
                <w:rFonts w:eastAsia="Calibri" w:cs="Arial"/>
                <w:lang w:val="uk-UA" w:eastAsia="uk-UA" w:bidi="uk-UA"/>
              </w:rPr>
              <w:t>Розробка спільних освітніх програм в області підприємництва, програми, які стимулюють творчість, інновації та активне громадянство</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rPr>
          <w:trHeight w:val="602"/>
        </w:trPr>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відновлення</w:t>
            </w:r>
            <w:r>
              <w:rPr>
                <w:rFonts w:cs="Arial"/>
                <w:lang w:eastAsia="uk-UA" w:bidi="uk-UA"/>
              </w:rPr>
              <w:t xml:space="preserve"> / </w:t>
            </w:r>
            <w:r>
              <w:rPr>
                <w:rFonts w:eastAsia="Calibri" w:cs="Arial"/>
                <w:lang w:val="uk-UA" w:eastAsia="uk-UA" w:bidi="uk-UA"/>
              </w:rPr>
              <w:t>модернізація</w:t>
            </w:r>
            <w:r>
              <w:rPr>
                <w:rFonts w:cs="Arial"/>
                <w:lang w:eastAsia="uk-UA" w:bidi="uk-UA"/>
              </w:rPr>
              <w:t xml:space="preserve"> / </w:t>
            </w:r>
            <w:r>
              <w:rPr>
                <w:rFonts w:eastAsia="Calibri" w:cs="Arial"/>
                <w:lang w:val="uk-UA" w:eastAsia="uk-UA" w:bidi="uk-UA"/>
              </w:rPr>
              <w:t>розширення</w:t>
            </w:r>
            <w:r>
              <w:rPr>
                <w:rFonts w:cs="Arial"/>
                <w:lang w:eastAsia="uk-UA" w:bidi="uk-UA"/>
              </w:rPr>
              <w:t xml:space="preserve"> / </w:t>
            </w:r>
            <w:r>
              <w:rPr>
                <w:rFonts w:eastAsia="Calibri" w:cs="Arial"/>
                <w:lang w:val="uk-UA" w:eastAsia="uk-UA" w:bidi="uk-UA"/>
              </w:rPr>
              <w:t>придбання обладнання для розвитку освітньої інфраструктури та забезпечення матеріальні передумови для процесу освіти та підвищення якості участі в освітній</w:t>
            </w:r>
          </w:p>
        </w:tc>
        <w:tc>
          <w:tcPr>
            <w:tcW w:w="72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r>
      <w:tr w:rsidR="00642FB4">
        <w:tc>
          <w:tcPr>
            <w:tcW w:w="8568" w:type="dxa"/>
            <w:shd w:val="clear" w:color="auto" w:fill="auto"/>
          </w:tcPr>
          <w:p w:rsidR="00642FB4" w:rsidRDefault="00642FB4">
            <w:pPr>
              <w:jc w:val="both"/>
              <w:rPr>
                <w:rFonts w:eastAsia="Calibri" w:cs="Arial"/>
                <w:lang w:bidi="uk-UA"/>
              </w:rPr>
            </w:pPr>
            <w:r>
              <w:rPr>
                <w:rFonts w:eastAsia="Calibri" w:cs="Arial"/>
                <w:lang w:val="uk-UA" w:eastAsia="uk-UA" w:bidi="uk-UA"/>
              </w:rPr>
              <w:t>Розробка та впровадження партнерських відносин між освітніми установами з обох боків кордону для</w:t>
            </w:r>
            <w:r>
              <w:rPr>
                <w:rFonts w:eastAsia="Calibri" w:cs="Arial"/>
                <w:lang w:bidi="uk-UA"/>
              </w:rPr>
              <w:t>:</w:t>
            </w:r>
          </w:p>
          <w:p w:rsidR="00642FB4" w:rsidRDefault="00642FB4">
            <w:pPr>
              <w:jc w:val="both"/>
              <w:rPr>
                <w:rFonts w:eastAsia="Calibri" w:cs="Arial"/>
                <w:lang w:bidi="uk-UA"/>
              </w:rPr>
            </w:pPr>
            <w:r>
              <w:rPr>
                <w:rFonts w:eastAsia="Calibri" w:cs="Arial"/>
                <w:lang w:bidi="uk-UA"/>
              </w:rPr>
              <w:t xml:space="preserve">- </w:t>
            </w:r>
            <w:r>
              <w:rPr>
                <w:rFonts w:eastAsia="Calibri" w:cs="Arial"/>
                <w:lang w:val="uk-UA" w:eastAsia="uk-UA" w:bidi="uk-UA"/>
              </w:rPr>
              <w:t>профілактика і корекція відсіву учнів і на початку школи через інтегрований</w:t>
            </w:r>
            <w:r>
              <w:rPr>
                <w:rFonts w:eastAsia="Calibri" w:cs="Arial"/>
                <w:lang w:bidi="uk-UA"/>
              </w:rPr>
              <w:t xml:space="preserve"> </w:t>
            </w:r>
            <w:r>
              <w:rPr>
                <w:rFonts w:eastAsia="Calibri" w:cs="Arial"/>
                <w:lang w:val="uk-UA" w:eastAsia="uk-UA" w:bidi="uk-UA"/>
              </w:rPr>
              <w:t>(У тому числі інформаційно-пропагандистських кампаній), щоб запобігти випаданню і відвідуваності школи обнадійливий та реінтеграції тих, хто покинув рано систему освіти</w:t>
            </w:r>
          </w:p>
          <w:p w:rsidR="00642FB4" w:rsidRDefault="00642FB4">
            <w:pPr>
              <w:jc w:val="both"/>
              <w:rPr>
                <w:rFonts w:eastAsia="Calibri" w:cs="Arial"/>
                <w:lang w:bidi="uk-UA"/>
              </w:rPr>
            </w:pPr>
            <w:r>
              <w:rPr>
                <w:rFonts w:eastAsia="Calibri" w:cs="Arial"/>
                <w:lang w:bidi="uk-UA"/>
              </w:rPr>
              <w:t xml:space="preserve">- </w:t>
            </w:r>
            <w:r>
              <w:rPr>
                <w:rFonts w:eastAsia="Calibri" w:cs="Arial"/>
                <w:lang w:val="uk-UA" w:eastAsia="uk-UA" w:bidi="uk-UA"/>
              </w:rPr>
              <w:t>розробки програм "після школи" та позакласних заходів</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rPr>
          <w:trHeight w:val="1393"/>
        </w:trPr>
        <w:tc>
          <w:tcPr>
            <w:tcW w:w="8568" w:type="dxa"/>
            <w:shd w:val="clear" w:color="auto" w:fill="auto"/>
          </w:tcPr>
          <w:p w:rsidR="00642FB4" w:rsidRDefault="00642FB4">
            <w:pPr>
              <w:jc w:val="both"/>
              <w:rPr>
                <w:rFonts w:eastAsia="Calibri" w:cs="Arial"/>
                <w:lang w:bidi="uk-UA"/>
              </w:rPr>
            </w:pPr>
            <w:r>
              <w:rPr>
                <w:rFonts w:eastAsia="Calibri" w:cs="Arial"/>
                <w:lang w:val="uk-UA" w:eastAsia="uk-UA" w:bidi="uk-UA"/>
              </w:rPr>
              <w:t>Розробка і реалізація спільних заходів на підтримку знедолених груп</w:t>
            </w:r>
            <w:r>
              <w:rPr>
                <w:rFonts w:eastAsia="Calibri" w:cs="Arial"/>
                <w:lang w:bidi="uk-UA"/>
              </w:rPr>
              <w:t>:</w:t>
            </w:r>
          </w:p>
          <w:p w:rsidR="00642FB4" w:rsidRDefault="00642FB4">
            <w:pPr>
              <w:jc w:val="both"/>
              <w:rPr>
                <w:rFonts w:eastAsia="Calibri" w:cs="Arial"/>
                <w:lang w:bidi="uk-UA"/>
              </w:rPr>
            </w:pPr>
            <w:r>
              <w:rPr>
                <w:rFonts w:eastAsia="Calibri" w:cs="Arial"/>
                <w:lang w:bidi="uk-UA"/>
              </w:rPr>
              <w:t>- Інтегровані дії підтримки, спрямовані на дітей  з батьками, що проживають за кордоном (які можуть включати в себе, серед іншого, консультування та інформування програм "після школи" освітніх і культурних заходів))</w:t>
            </w:r>
          </w:p>
          <w:p w:rsidR="00642FB4" w:rsidRDefault="00642FB4">
            <w:pPr>
              <w:jc w:val="both"/>
              <w:rPr>
                <w:rFonts w:eastAsia="Calibri" w:cs="Arial"/>
                <w:lang w:bidi="uk-UA"/>
              </w:rPr>
            </w:pPr>
            <w:r>
              <w:rPr>
                <w:rFonts w:eastAsia="Calibri" w:cs="Arial"/>
                <w:lang w:bidi="uk-UA"/>
              </w:rPr>
              <w:t xml:space="preserve">- </w:t>
            </w:r>
            <w:r>
              <w:rPr>
                <w:rFonts w:eastAsia="Calibri" w:cs="Arial"/>
                <w:lang w:val="uk-UA" w:eastAsia="uk-UA" w:bidi="uk-UA"/>
              </w:rPr>
              <w:t>підтримувати дії, спрямовані на сприяння соціальній інтеграції людей з обмеженими фізичними можливостями (діти, молодь та дорослі)</w:t>
            </w:r>
            <w:r>
              <w:rPr>
                <w:rFonts w:eastAsia="Calibri" w:cs="Arial"/>
                <w:lang w:bidi="uk-UA"/>
              </w:rPr>
              <w:t xml:space="preserve"> </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c>
          <w:tcPr>
            <w:tcW w:w="8568" w:type="dxa"/>
            <w:shd w:val="clear" w:color="auto" w:fill="auto"/>
            <w:vAlign w:val="center"/>
          </w:tcPr>
          <w:p w:rsidR="00642FB4" w:rsidRDefault="00642FB4">
            <w:pPr>
              <w:jc w:val="both"/>
              <w:rPr>
                <w:rFonts w:cs="Arial"/>
                <w:lang w:eastAsia="uk-UA" w:bidi="uk-UA"/>
              </w:rPr>
            </w:pPr>
            <w:r>
              <w:rPr>
                <w:rFonts w:eastAsia="Calibri" w:cs="Arial"/>
                <w:lang w:val="uk-UA" w:eastAsia="uk-UA" w:bidi="uk-UA"/>
              </w:rPr>
              <w:t>Підтримка молодї (в тому числі освітніх кампаній), щоб запобігти зловживанням наркотиками, торгівлею людьми, зловживання алкоголем і т.д.</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p w:rsidR="00642FB4" w:rsidRDefault="00642FB4">
            <w:pPr>
              <w:jc w:val="center"/>
              <w:rPr>
                <w:rFonts w:eastAsia="Calibri" w:cs="Arial"/>
                <w:lang w:bidi="uk-UA"/>
              </w:rPr>
            </w:pPr>
          </w:p>
        </w:tc>
      </w:tr>
      <w:tr w:rsidR="00642FB4">
        <w:tc>
          <w:tcPr>
            <w:tcW w:w="8568" w:type="dxa"/>
            <w:shd w:val="clear" w:color="auto" w:fill="auto"/>
            <w:vAlign w:val="center"/>
          </w:tcPr>
          <w:p w:rsidR="00642FB4" w:rsidRDefault="00642FB4">
            <w:pPr>
              <w:jc w:val="both"/>
              <w:rPr>
                <w:rFonts w:cs="Arial"/>
                <w:lang w:eastAsia="uk-UA" w:bidi="uk-UA"/>
              </w:rPr>
            </w:pPr>
            <w:r>
              <w:rPr>
                <w:rFonts w:eastAsia="Calibri" w:cs="Arial"/>
                <w:lang w:val="uk-UA" w:eastAsia="uk-UA" w:bidi="uk-UA"/>
              </w:rPr>
              <w:t>Розробка і реалізація програм і заходів щодо поліпшення транскордонної / підвищення кваліфікації навичок і компетенцій, необхідних спрощенню / на ринку праці</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c>
          <w:tcPr>
            <w:tcW w:w="14992" w:type="dxa"/>
            <w:gridSpan w:val="10"/>
          </w:tcPr>
          <w:p w:rsidR="00642FB4" w:rsidRDefault="00642FB4">
            <w:pPr>
              <w:jc w:val="both"/>
              <w:rPr>
                <w:rFonts w:eastAsia="Calibri" w:cs="Arial"/>
                <w:lang w:bidi="uk-UA"/>
              </w:rPr>
            </w:pPr>
            <w:r>
              <w:rPr>
                <w:rFonts w:eastAsia="Calibri" w:cs="Arial"/>
                <w:b/>
                <w:lang w:val="uk-UA" w:eastAsia="uk-UA" w:bidi="uk-UA"/>
              </w:rPr>
              <w:t>першістю</w:t>
            </w:r>
            <w:r>
              <w:rPr>
                <w:rFonts w:eastAsia="Calibri" w:cs="Arial"/>
                <w:b/>
                <w:lang w:bidi="uk-UA"/>
              </w:rPr>
              <w:t xml:space="preserve"> 1.2 – </w:t>
            </w:r>
            <w:r>
              <w:rPr>
                <w:rFonts w:eastAsia="Calibri" w:cs="Arial"/>
                <w:b/>
                <w:lang w:val="uk-UA" w:eastAsia="uk-UA" w:bidi="uk-UA"/>
              </w:rPr>
              <w:t>Заохочення і підтримка досліджень та інновацій</w:t>
            </w:r>
          </w:p>
        </w:tc>
      </w:tr>
      <w:tr w:rsidR="00642FB4">
        <w:trPr>
          <w:trHeight w:val="467"/>
        </w:trPr>
        <w:tc>
          <w:tcPr>
            <w:tcW w:w="8568" w:type="dxa"/>
            <w:shd w:val="clear" w:color="auto" w:fill="auto"/>
            <w:vAlign w:val="center"/>
          </w:tcPr>
          <w:p w:rsidR="00642FB4" w:rsidRDefault="00642FB4">
            <w:pPr>
              <w:jc w:val="both"/>
              <w:rPr>
                <w:rFonts w:cs="Arial"/>
                <w:lang w:eastAsia="uk-UA" w:bidi="uk-UA"/>
              </w:rPr>
            </w:pPr>
            <w:r>
              <w:rPr>
                <w:rFonts w:eastAsia="Calibri" w:cs="Arial"/>
                <w:lang w:val="uk-UA" w:eastAsia="uk-UA" w:bidi="uk-UA"/>
              </w:rPr>
              <w:t>Розвиток партнерських мереж / між університетами для спільних теоретичних науково-дослідної діяльності</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p w:rsidR="00642FB4" w:rsidRDefault="00642FB4">
            <w:pPr>
              <w:jc w:val="center"/>
              <w:rPr>
                <w:rFonts w:eastAsia="Calibri" w:cs="Arial"/>
                <w:lang w:bidi="uk-UA"/>
              </w:rPr>
            </w:pPr>
          </w:p>
        </w:tc>
      </w:tr>
      <w:tr w:rsidR="00642FB4">
        <w:tc>
          <w:tcPr>
            <w:tcW w:w="8568" w:type="dxa"/>
            <w:shd w:val="clear" w:color="auto" w:fill="auto"/>
          </w:tcPr>
          <w:p w:rsidR="00642FB4" w:rsidRDefault="00642FB4">
            <w:pPr>
              <w:jc w:val="both"/>
              <w:rPr>
                <w:rFonts w:cs="Arial"/>
                <w:lang w:eastAsia="uk-UA" w:bidi="uk-UA"/>
              </w:rPr>
            </w:pPr>
            <w:r>
              <w:rPr>
                <w:rFonts w:cs="Arial"/>
                <w:lang w:eastAsia="uk-UA" w:bidi="uk-UA"/>
              </w:rPr>
              <w:t>Спільні дослідження (у тому числі придбання обладнання) на навколишнє середовище (зміна клімату, збереження біорізноманіття, відновлюваних джерел енергії та підвищення ефективності використання ресурсів і т.д.).</w:t>
            </w:r>
          </w:p>
        </w:tc>
        <w:tc>
          <w:tcPr>
            <w:tcW w:w="72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17" w:type="dxa"/>
          </w:tcPr>
          <w:p w:rsidR="00642FB4" w:rsidRDefault="00642FB4">
            <w:pPr>
              <w:jc w:val="center"/>
              <w:rPr>
                <w:rFonts w:cs="Arial"/>
                <w:lang w:bidi="uk-UA"/>
              </w:rPr>
            </w:pPr>
            <w:r>
              <w:rPr>
                <w:rFonts w:cs="Arial"/>
                <w:lang w:bidi="uk-UA"/>
              </w:rPr>
              <w:t>++</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Заохочення підтримки досліджень та інновацій через реабілітації / модернізації / розширення інфраструктури, в тому числі на придбання спеціального обладнання</w:t>
            </w:r>
          </w:p>
        </w:tc>
        <w:tc>
          <w:tcPr>
            <w:tcW w:w="72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c>
          <w:tcPr>
            <w:tcW w:w="14992" w:type="dxa"/>
            <w:gridSpan w:val="10"/>
          </w:tcPr>
          <w:p w:rsidR="00642FB4" w:rsidRDefault="00642FB4">
            <w:pPr>
              <w:tabs>
                <w:tab w:val="left" w:pos="1747"/>
              </w:tabs>
              <w:rPr>
                <w:rFonts w:eastAsia="Calibri" w:cs="Arial"/>
                <w:highlight w:val="yellow"/>
                <w:lang w:bidi="uk-UA"/>
              </w:rPr>
            </w:pPr>
            <w:r>
              <w:rPr>
                <w:rFonts w:eastAsia="Calibri" w:cs="Arial"/>
                <w:b/>
                <w:lang w:bidi="uk-UA"/>
              </w:rPr>
              <w:t xml:space="preserve">OT3- </w:t>
            </w:r>
            <w:r>
              <w:rPr>
                <w:rFonts w:eastAsia="Calibri" w:cs="Arial"/>
                <w:b/>
                <w:lang w:val="uk-UA" w:eastAsia="uk-UA" w:bidi="uk-UA"/>
              </w:rPr>
              <w:t>просування</w:t>
            </w:r>
            <w:r>
              <w:rPr>
                <w:rFonts w:eastAsia="Calibri" w:cs="Arial"/>
                <w:b/>
                <w:lang w:bidi="uk-UA"/>
              </w:rPr>
              <w:t xml:space="preserve"> </w:t>
            </w:r>
            <w:r>
              <w:rPr>
                <w:rFonts w:eastAsia="Calibri" w:cs="Arial"/>
                <w:b/>
                <w:lang w:val="uk-UA" w:eastAsia="uk-UA" w:bidi="uk-UA"/>
              </w:rPr>
              <w:t>місцевої культури</w:t>
            </w:r>
            <w:r>
              <w:rPr>
                <w:rFonts w:eastAsia="Calibri" w:cs="Arial"/>
                <w:b/>
                <w:lang w:bidi="uk-UA"/>
              </w:rPr>
              <w:t xml:space="preserve"> </w:t>
            </w:r>
            <w:r>
              <w:rPr>
                <w:rFonts w:eastAsia="Calibri" w:cs="Arial"/>
                <w:b/>
                <w:lang w:val="uk-UA" w:bidi="uk-UA"/>
              </w:rPr>
              <w:t xml:space="preserve">і </w:t>
            </w:r>
            <w:r>
              <w:rPr>
                <w:rFonts w:eastAsia="Calibri" w:cs="Arial"/>
                <w:b/>
                <w:lang w:val="uk-UA" w:eastAsia="uk-UA" w:bidi="uk-UA"/>
              </w:rPr>
              <w:t>збереження культурної патрімонії</w:t>
            </w:r>
          </w:p>
        </w:tc>
      </w:tr>
      <w:tr w:rsidR="00642FB4">
        <w:trPr>
          <w:trHeight w:val="395"/>
        </w:trPr>
        <w:tc>
          <w:tcPr>
            <w:tcW w:w="14992" w:type="dxa"/>
            <w:gridSpan w:val="10"/>
          </w:tcPr>
          <w:p w:rsidR="00642FB4" w:rsidRDefault="00642FB4">
            <w:pPr>
              <w:tabs>
                <w:tab w:val="left" w:pos="1747"/>
              </w:tabs>
              <w:rPr>
                <w:rFonts w:eastAsia="Calibri" w:cs="Arial"/>
                <w:highlight w:val="yellow"/>
                <w:lang w:bidi="uk-UA"/>
              </w:rPr>
            </w:pPr>
            <w:r>
              <w:rPr>
                <w:rFonts w:eastAsia="Calibri" w:cs="Arial"/>
                <w:b/>
                <w:lang w:val="uk-UA" w:eastAsia="uk-UA" w:bidi="uk-UA"/>
              </w:rPr>
              <w:t>мета</w:t>
            </w:r>
            <w:r>
              <w:rPr>
                <w:rFonts w:eastAsia="Calibri" w:cs="Arial"/>
                <w:b/>
                <w:i/>
                <w:lang w:bidi="uk-UA"/>
              </w:rPr>
              <w:t xml:space="preserve"> 2:</w:t>
            </w:r>
            <w:r>
              <w:rPr>
                <w:rFonts w:eastAsia="Calibri" w:cs="Arial"/>
                <w:i/>
                <w:lang w:bidi="uk-UA"/>
              </w:rPr>
              <w:t xml:space="preserve">  </w:t>
            </w:r>
            <w:r>
              <w:rPr>
                <w:rFonts w:eastAsia="Calibri" w:cs="Arial"/>
                <w:b/>
                <w:lang w:val="uk-UA" w:eastAsia="uk-UA" w:bidi="uk-UA"/>
              </w:rPr>
              <w:t>Збереження культурної та історичної патрімонії в відповідній території, підтримуючи розвиток місцевої культури конкретної культурної самобутності та культурного діалогу, сприяючи привабливості відповідній території</w:t>
            </w:r>
          </w:p>
        </w:tc>
      </w:tr>
      <w:tr w:rsidR="00642FB4">
        <w:trPr>
          <w:trHeight w:val="190"/>
        </w:trPr>
        <w:tc>
          <w:tcPr>
            <w:tcW w:w="14992" w:type="dxa"/>
            <w:gridSpan w:val="10"/>
          </w:tcPr>
          <w:p w:rsidR="00642FB4" w:rsidRDefault="00642FB4">
            <w:pPr>
              <w:tabs>
                <w:tab w:val="left" w:pos="1747"/>
              </w:tabs>
              <w:rPr>
                <w:rFonts w:eastAsia="Calibri" w:cs="Arial"/>
                <w:highlight w:val="yellow"/>
                <w:lang w:bidi="uk-UA"/>
              </w:rPr>
            </w:pPr>
            <w:r>
              <w:rPr>
                <w:rFonts w:eastAsia="Calibri" w:cs="Arial"/>
                <w:b/>
                <w:lang w:val="uk-UA" w:eastAsia="uk-UA" w:bidi="uk-UA"/>
              </w:rPr>
              <w:t>пріоритет</w:t>
            </w:r>
            <w:r>
              <w:rPr>
                <w:rFonts w:eastAsia="Calibri" w:cs="Arial"/>
                <w:b/>
                <w:lang w:bidi="uk-UA"/>
              </w:rPr>
              <w:t xml:space="preserve"> 2.1 </w:t>
            </w:r>
            <w:r>
              <w:rPr>
                <w:rFonts w:eastAsia="Calibri" w:cs="Arial"/>
                <w:lang w:val="uk-UA" w:eastAsia="uk-UA" w:bidi="uk-UA"/>
              </w:rPr>
              <w:t xml:space="preserve">- </w:t>
            </w:r>
            <w:r>
              <w:rPr>
                <w:rFonts w:eastAsia="Calibri" w:cs="Arial"/>
                <w:b/>
                <w:lang w:val="uk-UA" w:eastAsia="uk-UA" w:bidi="uk-UA"/>
              </w:rPr>
              <w:t>Збереження і просування культурної та історичної патрімонії</w:t>
            </w:r>
          </w:p>
        </w:tc>
      </w:tr>
      <w:tr w:rsidR="00642FB4">
        <w:trPr>
          <w:trHeight w:val="691"/>
        </w:trPr>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 xml:space="preserve">Відновлення, збереження, зміцнення, захист, забезпечення культурних та історичних пам'яток (у тому числі пов'язаних з під'їзних шляхів), музеї, художні колекції та об'єкти та їх стратегії спільного просування </w:t>
            </w:r>
            <w:r>
              <w:rPr>
                <w:rFonts w:cs="Arial"/>
                <w:lang w:eastAsia="uk-UA" w:bidi="uk-UA"/>
              </w:rPr>
              <w:t>/</w:t>
            </w:r>
            <w:r>
              <w:rPr>
                <w:rFonts w:eastAsia="Calibri" w:cs="Arial"/>
                <w:b/>
                <w:bCs/>
                <w:lang w:val="uk-UA" w:eastAsia="uk-UA" w:bidi="uk-UA"/>
              </w:rPr>
              <w:t xml:space="preserve"> </w:t>
            </w:r>
            <w:r>
              <w:rPr>
                <w:rFonts w:eastAsia="Calibri" w:cs="Arial"/>
                <w:lang w:val="uk-UA" w:eastAsia="uk-UA" w:bidi="uk-UA"/>
              </w:rPr>
              <w:t>прикордонні поняття</w:t>
            </w:r>
          </w:p>
        </w:tc>
        <w:tc>
          <w:tcPr>
            <w:tcW w:w="72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p w:rsidR="00642FB4" w:rsidRDefault="00642FB4">
            <w:pPr>
              <w:jc w:val="center"/>
              <w:rPr>
                <w:rFonts w:eastAsia="Calibri" w:cs="Arial"/>
                <w:lang w:bidi="uk-UA"/>
              </w:rPr>
            </w:pPr>
          </w:p>
        </w:tc>
      </w:tr>
      <w:tr w:rsidR="00642FB4">
        <w:trPr>
          <w:trHeight w:val="362"/>
        </w:trPr>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Збереження, охорона та загальна капіталізація пам'ятники і історичні та культурні цінності</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p w:rsidR="00642FB4" w:rsidRDefault="00642FB4">
            <w:pPr>
              <w:jc w:val="center"/>
              <w:rPr>
                <w:rFonts w:eastAsia="Calibri" w:cs="Arial"/>
                <w:lang w:bidi="uk-UA"/>
              </w:rPr>
            </w:pPr>
          </w:p>
        </w:tc>
      </w:tr>
      <w:tr w:rsidR="00642FB4">
        <w:tc>
          <w:tcPr>
            <w:tcW w:w="8568" w:type="dxa"/>
            <w:shd w:val="clear" w:color="auto" w:fill="auto"/>
            <w:vAlign w:val="center"/>
          </w:tcPr>
          <w:p w:rsidR="00642FB4" w:rsidRDefault="00642FB4">
            <w:pPr>
              <w:jc w:val="both"/>
              <w:rPr>
                <w:rFonts w:cs="Arial"/>
                <w:lang w:eastAsia="uk-UA" w:bidi="uk-UA"/>
              </w:rPr>
            </w:pPr>
            <w:r>
              <w:rPr>
                <w:rFonts w:eastAsia="Calibri" w:cs="Arial"/>
                <w:lang w:val="uk-UA" w:eastAsia="uk-UA" w:bidi="uk-UA"/>
              </w:rPr>
              <w:t xml:space="preserve">Підтримка партнерських відносин між установами культури з метою сприяння культурної та історичної </w:t>
            </w:r>
            <w:r w:rsidR="001B6BC7">
              <w:rPr>
                <w:rFonts w:eastAsia="Calibri" w:cs="Arial"/>
                <w:lang w:val="uk-UA" w:eastAsia="uk-UA" w:bidi="uk-UA"/>
              </w:rPr>
              <w:t>патримонії</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p w:rsidR="00642FB4" w:rsidRDefault="00642FB4">
            <w:pPr>
              <w:jc w:val="center"/>
              <w:rPr>
                <w:rFonts w:eastAsia="Calibri" w:cs="Arial"/>
                <w:lang w:bidi="uk-UA"/>
              </w:rPr>
            </w:pPr>
          </w:p>
        </w:tc>
      </w:tr>
      <w:tr w:rsidR="00642FB4">
        <w:tc>
          <w:tcPr>
            <w:tcW w:w="8568" w:type="dxa"/>
            <w:shd w:val="clear" w:color="auto" w:fill="auto"/>
            <w:vAlign w:val="center"/>
          </w:tcPr>
          <w:p w:rsidR="00642FB4" w:rsidRDefault="00642FB4">
            <w:pPr>
              <w:jc w:val="both"/>
              <w:rPr>
                <w:rFonts w:cs="Arial"/>
                <w:lang w:eastAsia="uk-UA" w:bidi="uk-UA"/>
              </w:rPr>
            </w:pPr>
            <w:r>
              <w:rPr>
                <w:rFonts w:eastAsia="Calibri" w:cs="Arial"/>
                <w:lang w:val="uk-UA" w:eastAsia="uk-UA" w:bidi="uk-UA"/>
              </w:rPr>
              <w:t>Підтримка конкретних традиційних ремесел, важливо зберегти місцеву культуру та ідентичність</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p w:rsidR="00642FB4" w:rsidRDefault="00642FB4">
            <w:pPr>
              <w:jc w:val="center"/>
              <w:rPr>
                <w:rFonts w:eastAsia="Calibri" w:cs="Arial"/>
                <w:lang w:bidi="uk-UA"/>
              </w:rPr>
            </w:pPr>
          </w:p>
        </w:tc>
      </w:tr>
      <w:tr w:rsidR="00642FB4">
        <w:trPr>
          <w:trHeight w:val="530"/>
        </w:trPr>
        <w:tc>
          <w:tcPr>
            <w:tcW w:w="8568" w:type="dxa"/>
            <w:shd w:val="clear" w:color="auto" w:fill="auto"/>
            <w:vAlign w:val="center"/>
          </w:tcPr>
          <w:p w:rsidR="00642FB4" w:rsidRDefault="00642FB4">
            <w:pPr>
              <w:jc w:val="both"/>
              <w:rPr>
                <w:rFonts w:cs="Arial"/>
                <w:lang w:eastAsia="uk-UA" w:bidi="uk-UA"/>
              </w:rPr>
            </w:pPr>
            <w:r>
              <w:rPr>
                <w:rFonts w:eastAsia="Calibri" w:cs="Arial"/>
                <w:lang w:val="uk-UA" w:eastAsia="uk-UA" w:bidi="uk-UA"/>
              </w:rPr>
              <w:t>Сприяння традиційними визначеними в відповідній території</w:t>
            </w:r>
            <w:r>
              <w:rPr>
                <w:rFonts w:cs="Arial"/>
                <w:lang w:eastAsia="uk-UA" w:bidi="uk-UA"/>
              </w:rPr>
              <w:t xml:space="preserve"> (</w:t>
            </w:r>
            <w:r>
              <w:rPr>
                <w:rFonts w:eastAsia="Calibri" w:cs="Arial"/>
                <w:lang w:val="uk-UA" w:eastAsia="uk-UA" w:bidi="uk-UA"/>
              </w:rPr>
              <w:t>включаючи</w:t>
            </w:r>
            <w:r>
              <w:rPr>
                <w:rFonts w:cs="Arial"/>
                <w:lang w:eastAsia="uk-UA" w:bidi="uk-UA"/>
              </w:rPr>
              <w:t xml:space="preserve">, </w:t>
            </w:r>
            <w:r>
              <w:rPr>
                <w:rFonts w:eastAsia="Calibri" w:cs="Arial"/>
                <w:lang w:val="uk-UA" w:eastAsia="uk-UA" w:bidi="uk-UA"/>
              </w:rPr>
              <w:t>кордони культурні події місцевого значення</w:t>
            </w:r>
            <w:r>
              <w:rPr>
                <w:rFonts w:cs="Arial"/>
                <w:lang w:eastAsia="uk-UA" w:bidi="uk-UA"/>
              </w:rPr>
              <w:t>)</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p w:rsidR="00642FB4" w:rsidRDefault="00642FB4">
            <w:pPr>
              <w:jc w:val="center"/>
              <w:rPr>
                <w:rFonts w:eastAsia="Calibri" w:cs="Arial"/>
                <w:lang w:bidi="uk-UA"/>
              </w:rPr>
            </w:pPr>
          </w:p>
        </w:tc>
      </w:tr>
      <w:tr w:rsidR="00642FB4">
        <w:tc>
          <w:tcPr>
            <w:tcW w:w="8568" w:type="dxa"/>
            <w:shd w:val="clear" w:color="auto" w:fill="auto"/>
            <w:vAlign w:val="center"/>
          </w:tcPr>
          <w:p w:rsidR="00642FB4" w:rsidRDefault="00642FB4">
            <w:pPr>
              <w:jc w:val="both"/>
              <w:rPr>
                <w:rFonts w:cs="Arial"/>
                <w:lang w:eastAsia="uk-UA" w:bidi="uk-UA"/>
              </w:rPr>
            </w:pPr>
            <w:r>
              <w:rPr>
                <w:rFonts w:eastAsia="Calibri" w:cs="Arial"/>
                <w:lang w:val="uk-UA" w:eastAsia="uk-UA" w:bidi="uk-UA"/>
              </w:rPr>
              <w:t>Збереження, розвиток культурної та історичної патрімонії, зокрема за допомогою культурних подій у транскордонному вимірі</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p w:rsidR="00642FB4" w:rsidRDefault="00642FB4">
            <w:pPr>
              <w:jc w:val="center"/>
              <w:rPr>
                <w:rFonts w:eastAsia="Calibri" w:cs="Arial"/>
                <w:lang w:bidi="uk-UA"/>
              </w:rPr>
            </w:pPr>
          </w:p>
        </w:tc>
      </w:tr>
      <w:tr w:rsidR="00642FB4">
        <w:trPr>
          <w:trHeight w:val="525"/>
        </w:trPr>
        <w:tc>
          <w:tcPr>
            <w:tcW w:w="8568" w:type="dxa"/>
            <w:shd w:val="clear" w:color="auto" w:fill="auto"/>
            <w:vAlign w:val="center"/>
          </w:tcPr>
          <w:p w:rsidR="00642FB4" w:rsidRDefault="00642FB4">
            <w:pPr>
              <w:jc w:val="both"/>
              <w:rPr>
                <w:rFonts w:cs="Arial"/>
                <w:lang w:eastAsia="uk-UA" w:bidi="uk-UA"/>
              </w:rPr>
            </w:pPr>
            <w:r>
              <w:rPr>
                <w:rFonts w:eastAsia="Calibri" w:cs="Arial"/>
                <w:lang w:val="uk-UA" w:eastAsia="uk-UA" w:bidi="uk-UA"/>
              </w:rPr>
              <w:t xml:space="preserve">Історико-культурниї патрімонії допомогою розробки спільних рекламних стратегій, продуктів і послуг </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p w:rsidR="00642FB4" w:rsidRDefault="00642FB4">
            <w:pPr>
              <w:jc w:val="center"/>
              <w:rPr>
                <w:rFonts w:eastAsia="Calibri" w:cs="Arial"/>
                <w:lang w:bidi="uk-UA"/>
              </w:rPr>
            </w:pPr>
          </w:p>
        </w:tc>
      </w:tr>
      <w:tr w:rsidR="00642FB4">
        <w:tc>
          <w:tcPr>
            <w:tcW w:w="14992" w:type="dxa"/>
            <w:gridSpan w:val="10"/>
          </w:tcPr>
          <w:p w:rsidR="00642FB4" w:rsidRDefault="00642FB4">
            <w:pPr>
              <w:tabs>
                <w:tab w:val="left" w:pos="1747"/>
              </w:tabs>
              <w:rPr>
                <w:rFonts w:eastAsia="Calibri" w:cs="Arial"/>
                <w:highlight w:val="yellow"/>
                <w:lang w:bidi="uk-UA"/>
              </w:rPr>
            </w:pPr>
            <w:r>
              <w:rPr>
                <w:rFonts w:eastAsia="Calibri" w:cs="Arial"/>
                <w:b/>
                <w:lang w:bidi="uk-UA"/>
              </w:rPr>
              <w:t xml:space="preserve">OT7 </w:t>
            </w:r>
            <w:r>
              <w:rPr>
                <w:rFonts w:eastAsia="Calibri" w:cs="Arial"/>
                <w:lang w:val="uk-UA" w:eastAsia="uk-UA" w:bidi="uk-UA"/>
              </w:rPr>
              <w:t xml:space="preserve">- </w:t>
            </w:r>
            <w:r>
              <w:rPr>
                <w:rFonts w:eastAsia="Calibri" w:cs="Arial"/>
                <w:b/>
                <w:lang w:val="uk-UA" w:eastAsia="uk-UA" w:bidi="uk-UA"/>
              </w:rPr>
              <w:t>Покращення доступу до регіону, розвиток і транспортних мереж та комунікаційних систем</w:t>
            </w:r>
          </w:p>
        </w:tc>
      </w:tr>
      <w:tr w:rsidR="00642FB4">
        <w:trPr>
          <w:trHeight w:val="207"/>
        </w:trPr>
        <w:tc>
          <w:tcPr>
            <w:tcW w:w="14992" w:type="dxa"/>
            <w:gridSpan w:val="10"/>
          </w:tcPr>
          <w:p w:rsidR="00642FB4" w:rsidRDefault="00642FB4">
            <w:pPr>
              <w:tabs>
                <w:tab w:val="left" w:pos="1747"/>
              </w:tabs>
              <w:rPr>
                <w:rFonts w:eastAsia="Calibri" w:cs="Arial"/>
                <w:highlight w:val="yellow"/>
                <w:lang w:bidi="uk-UA"/>
              </w:rPr>
            </w:pPr>
            <w:r>
              <w:rPr>
                <w:rFonts w:eastAsia="Calibri" w:cs="Arial"/>
                <w:b/>
                <w:lang w:val="uk-UA" w:eastAsia="uk-UA" w:bidi="uk-UA"/>
              </w:rPr>
              <w:t>мета</w:t>
            </w:r>
            <w:r>
              <w:rPr>
                <w:rFonts w:eastAsia="Calibri" w:cs="Arial"/>
                <w:b/>
                <w:i/>
                <w:lang w:bidi="uk-UA"/>
              </w:rPr>
              <w:t xml:space="preserve"> 3</w:t>
            </w:r>
            <w:r>
              <w:rPr>
                <w:rFonts w:eastAsia="Calibri" w:cs="Arial"/>
                <w:i/>
                <w:lang w:bidi="uk-UA"/>
              </w:rPr>
              <w:t xml:space="preserve">: </w:t>
            </w:r>
            <w:r>
              <w:rPr>
                <w:rFonts w:eastAsia="Calibri" w:cs="Arial"/>
                <w:b/>
                <w:lang w:val="uk-UA" w:eastAsia="uk-UA" w:bidi="uk-UA"/>
              </w:rPr>
              <w:t>Поліпшення послуг громадського транспорту, інфраструктури та співпраці та взаємодії ІКТ</w:t>
            </w:r>
          </w:p>
        </w:tc>
      </w:tr>
      <w:tr w:rsidR="00642FB4">
        <w:tc>
          <w:tcPr>
            <w:tcW w:w="14992" w:type="dxa"/>
            <w:gridSpan w:val="10"/>
          </w:tcPr>
          <w:p w:rsidR="00642FB4" w:rsidRDefault="00642FB4">
            <w:pPr>
              <w:tabs>
                <w:tab w:val="left" w:pos="1747"/>
              </w:tabs>
              <w:rPr>
                <w:rFonts w:eastAsia="Calibri" w:cs="Arial"/>
                <w:highlight w:val="yellow"/>
                <w:lang w:bidi="uk-UA"/>
              </w:rPr>
            </w:pPr>
            <w:r>
              <w:rPr>
                <w:rFonts w:eastAsia="Calibri" w:cs="Arial"/>
                <w:b/>
                <w:lang w:val="uk-UA" w:eastAsia="uk-UA" w:bidi="uk-UA"/>
              </w:rPr>
              <w:t>першістю</w:t>
            </w:r>
            <w:r>
              <w:rPr>
                <w:rFonts w:eastAsia="Calibri" w:cs="Arial"/>
                <w:b/>
                <w:lang w:bidi="uk-UA"/>
              </w:rPr>
              <w:t xml:space="preserve"> 3.1 – </w:t>
            </w:r>
            <w:r>
              <w:rPr>
                <w:rFonts w:eastAsia="Calibri" w:cs="Arial"/>
                <w:b/>
                <w:lang w:val="uk-UA" w:eastAsia="uk-UA" w:bidi="uk-UA"/>
              </w:rPr>
              <w:t>Розвиток транскордонного транспортної  інфраструктури та ІКТ</w:t>
            </w:r>
            <w:r>
              <w:rPr>
                <w:rFonts w:eastAsia="Calibri" w:cs="Arial"/>
                <w:lang w:val="uk-UA" w:eastAsia="uk-UA" w:bidi="uk-UA"/>
              </w:rPr>
              <w:t xml:space="preserve"> </w:t>
            </w:r>
          </w:p>
        </w:tc>
      </w:tr>
      <w:tr w:rsidR="00642FB4">
        <w:trPr>
          <w:trHeight w:val="315"/>
        </w:trPr>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Реконструкція, реабілітація, модернізація прикордонного транспорту</w:t>
            </w:r>
          </w:p>
        </w:tc>
        <w:tc>
          <w:tcPr>
            <w:tcW w:w="72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17" w:type="dxa"/>
          </w:tcPr>
          <w:p w:rsidR="00642FB4" w:rsidRDefault="00642FB4">
            <w:pPr>
              <w:jc w:val="center"/>
              <w:rPr>
                <w:rFonts w:eastAsia="Calibri" w:cs="Arial"/>
                <w:lang w:bidi="uk-UA"/>
              </w:rPr>
            </w:pPr>
            <w:r>
              <w:rPr>
                <w:rFonts w:eastAsia="Calibri" w:cs="Arial"/>
                <w:lang w:bidi="uk-UA"/>
              </w:rPr>
              <w:t>-</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rPr>
          <w:trHeight w:val="278"/>
        </w:trPr>
        <w:tc>
          <w:tcPr>
            <w:tcW w:w="8568" w:type="dxa"/>
            <w:tcBorders>
              <w:bottom w:val="single" w:sz="4" w:space="0" w:color="auto"/>
            </w:tcBorders>
            <w:shd w:val="clear" w:color="auto" w:fill="auto"/>
          </w:tcPr>
          <w:p w:rsidR="00642FB4" w:rsidRDefault="00642FB4">
            <w:pPr>
              <w:jc w:val="both"/>
              <w:rPr>
                <w:rFonts w:cs="Arial"/>
                <w:lang w:eastAsia="uk-UA" w:bidi="uk-UA"/>
              </w:rPr>
            </w:pPr>
            <w:r>
              <w:rPr>
                <w:rFonts w:eastAsia="Calibri" w:cs="Arial"/>
                <w:lang w:val="uk-UA" w:eastAsia="uk-UA" w:bidi="uk-UA"/>
              </w:rPr>
              <w:t>Розробка екологічно чистих транспортних ініціатив та інноваційних рішеннях кордону</w:t>
            </w:r>
          </w:p>
        </w:tc>
        <w:tc>
          <w:tcPr>
            <w:tcW w:w="720" w:type="dxa"/>
            <w:tcBorders>
              <w:bottom w:val="single" w:sz="4" w:space="0" w:color="auto"/>
            </w:tcBorders>
            <w:shd w:val="clear" w:color="auto" w:fill="auto"/>
          </w:tcPr>
          <w:p w:rsidR="00642FB4" w:rsidRDefault="00642FB4">
            <w:pPr>
              <w:jc w:val="center"/>
              <w:rPr>
                <w:rFonts w:eastAsia="Calibri" w:cs="Arial"/>
                <w:lang w:bidi="uk-UA"/>
              </w:rPr>
            </w:pPr>
            <w:r>
              <w:rPr>
                <w:rFonts w:eastAsia="Calibri" w:cs="Arial"/>
                <w:lang w:bidi="uk-UA"/>
              </w:rPr>
              <w:t>++</w:t>
            </w:r>
          </w:p>
        </w:tc>
        <w:tc>
          <w:tcPr>
            <w:tcW w:w="630" w:type="dxa"/>
            <w:tcBorders>
              <w:bottom w:val="single" w:sz="4" w:space="0" w:color="auto"/>
            </w:tcBorders>
            <w:shd w:val="clear" w:color="auto" w:fill="auto"/>
          </w:tcPr>
          <w:p w:rsidR="00642FB4" w:rsidRDefault="00642FB4">
            <w:pPr>
              <w:jc w:val="center"/>
              <w:rPr>
                <w:rFonts w:eastAsia="Calibri" w:cs="Arial"/>
                <w:lang w:bidi="uk-UA"/>
              </w:rPr>
            </w:pPr>
            <w:r>
              <w:rPr>
                <w:rFonts w:eastAsia="Calibri" w:cs="Arial"/>
                <w:lang w:bidi="uk-UA"/>
              </w:rPr>
              <w:t>++</w:t>
            </w:r>
          </w:p>
        </w:tc>
        <w:tc>
          <w:tcPr>
            <w:tcW w:w="630" w:type="dxa"/>
            <w:tcBorders>
              <w:bottom w:val="single" w:sz="4" w:space="0" w:color="auto"/>
            </w:tcBorders>
            <w:shd w:val="clear" w:color="auto" w:fill="auto"/>
          </w:tcPr>
          <w:p w:rsidR="00642FB4" w:rsidRDefault="00642FB4">
            <w:pPr>
              <w:jc w:val="center"/>
              <w:rPr>
                <w:rFonts w:eastAsia="Calibri" w:cs="Arial"/>
                <w:lang w:bidi="uk-UA"/>
              </w:rPr>
            </w:pPr>
            <w:r>
              <w:rPr>
                <w:rFonts w:eastAsia="Calibri" w:cs="Arial"/>
                <w:lang w:bidi="uk-UA"/>
              </w:rPr>
              <w:t>+</w:t>
            </w:r>
          </w:p>
        </w:tc>
        <w:tc>
          <w:tcPr>
            <w:tcW w:w="617" w:type="dxa"/>
            <w:tcBorders>
              <w:bottom w:val="single" w:sz="4" w:space="0" w:color="auto"/>
            </w:tcBorders>
          </w:tcPr>
          <w:p w:rsidR="00642FB4" w:rsidRDefault="00642FB4">
            <w:pPr>
              <w:jc w:val="center"/>
              <w:rPr>
                <w:rFonts w:eastAsia="Calibri" w:cs="Arial"/>
                <w:lang w:bidi="uk-UA"/>
              </w:rPr>
            </w:pPr>
            <w:r>
              <w:rPr>
                <w:rFonts w:eastAsia="Calibri" w:cs="Arial"/>
                <w:lang w:bidi="uk-UA"/>
              </w:rPr>
              <w:t>++</w:t>
            </w:r>
          </w:p>
        </w:tc>
        <w:tc>
          <w:tcPr>
            <w:tcW w:w="850" w:type="dxa"/>
            <w:tcBorders>
              <w:bottom w:val="single" w:sz="4" w:space="0" w:color="auto"/>
            </w:tcBorders>
            <w:shd w:val="clear" w:color="auto" w:fill="auto"/>
          </w:tcPr>
          <w:p w:rsidR="00642FB4" w:rsidRDefault="00642FB4">
            <w:pPr>
              <w:jc w:val="center"/>
              <w:rPr>
                <w:rFonts w:eastAsia="Calibri" w:cs="Arial"/>
                <w:lang w:bidi="uk-UA"/>
              </w:rPr>
            </w:pPr>
            <w:r>
              <w:rPr>
                <w:rFonts w:eastAsia="Calibri" w:cs="Arial"/>
                <w:lang w:bidi="uk-UA"/>
              </w:rPr>
              <w:t>+</w:t>
            </w:r>
          </w:p>
        </w:tc>
        <w:tc>
          <w:tcPr>
            <w:tcW w:w="709" w:type="dxa"/>
            <w:tcBorders>
              <w:bottom w:val="single" w:sz="4" w:space="0" w:color="auto"/>
            </w:tcBorders>
            <w:shd w:val="clear" w:color="auto" w:fill="auto"/>
          </w:tcPr>
          <w:p w:rsidR="00642FB4" w:rsidRDefault="00642FB4">
            <w:pPr>
              <w:jc w:val="center"/>
              <w:rPr>
                <w:rFonts w:eastAsia="Calibri" w:cs="Arial"/>
                <w:lang w:bidi="uk-UA"/>
              </w:rPr>
            </w:pPr>
            <w:r>
              <w:rPr>
                <w:rFonts w:eastAsia="Calibri" w:cs="Arial"/>
                <w:lang w:bidi="uk-UA"/>
              </w:rPr>
              <w:t>-</w:t>
            </w:r>
          </w:p>
        </w:tc>
        <w:tc>
          <w:tcPr>
            <w:tcW w:w="709" w:type="dxa"/>
            <w:tcBorders>
              <w:bottom w:val="single" w:sz="4" w:space="0" w:color="auto"/>
            </w:tcBorders>
            <w:shd w:val="clear" w:color="auto" w:fill="auto"/>
          </w:tcPr>
          <w:p w:rsidR="00642FB4" w:rsidRDefault="00642FB4">
            <w:pPr>
              <w:jc w:val="center"/>
              <w:rPr>
                <w:rFonts w:eastAsia="Calibri" w:cs="Arial"/>
                <w:lang w:bidi="uk-UA"/>
              </w:rPr>
            </w:pPr>
            <w:r>
              <w:rPr>
                <w:rFonts w:eastAsia="Calibri" w:cs="Arial"/>
                <w:lang w:bidi="uk-UA"/>
              </w:rPr>
              <w:t>-</w:t>
            </w:r>
          </w:p>
        </w:tc>
        <w:tc>
          <w:tcPr>
            <w:tcW w:w="709" w:type="dxa"/>
            <w:tcBorders>
              <w:bottom w:val="single" w:sz="4" w:space="0" w:color="auto"/>
            </w:tcBorders>
            <w:shd w:val="clear" w:color="auto" w:fill="auto"/>
          </w:tcPr>
          <w:p w:rsidR="00642FB4" w:rsidRDefault="00642FB4">
            <w:pPr>
              <w:jc w:val="center"/>
              <w:rPr>
                <w:rFonts w:eastAsia="Calibri" w:cs="Arial"/>
                <w:lang w:bidi="uk-UA"/>
              </w:rPr>
            </w:pPr>
            <w:r>
              <w:rPr>
                <w:rFonts w:eastAsia="Calibri" w:cs="Arial"/>
                <w:lang w:bidi="uk-UA"/>
              </w:rPr>
              <w:t>0</w:t>
            </w:r>
          </w:p>
        </w:tc>
        <w:tc>
          <w:tcPr>
            <w:tcW w:w="850" w:type="dxa"/>
            <w:tcBorders>
              <w:bottom w:val="single" w:sz="4" w:space="0" w:color="auto"/>
            </w:tcBorders>
            <w:shd w:val="clear" w:color="auto" w:fill="auto"/>
          </w:tcPr>
          <w:p w:rsidR="00642FB4" w:rsidRDefault="00642FB4">
            <w:pPr>
              <w:jc w:val="center"/>
              <w:rPr>
                <w:rFonts w:eastAsia="Calibri" w:cs="Arial"/>
                <w:lang w:bidi="uk-UA"/>
              </w:rPr>
            </w:pPr>
            <w:r>
              <w:rPr>
                <w:rFonts w:eastAsia="Calibri" w:cs="Arial"/>
                <w:lang w:bidi="uk-UA"/>
              </w:rPr>
              <w:t>+</w:t>
            </w:r>
          </w:p>
        </w:tc>
      </w:tr>
      <w:tr w:rsidR="00642FB4">
        <w:trPr>
          <w:trHeight w:val="281"/>
        </w:trPr>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Оздоровчі заклади мультимодальні перевезення (дорога / вода)</w:t>
            </w:r>
            <w:r>
              <w:rPr>
                <w:rFonts w:cs="Arial"/>
                <w:lang w:eastAsia="uk-UA" w:bidi="uk-UA"/>
              </w:rPr>
              <w:t xml:space="preserve"> </w:t>
            </w:r>
            <w:r>
              <w:rPr>
                <w:rFonts w:eastAsia="Calibri" w:cs="Arial"/>
                <w:lang w:val="uk-UA" w:eastAsia="uk-UA" w:bidi="uk-UA"/>
              </w:rPr>
              <w:t>транскордонний інтерес</w:t>
            </w:r>
          </w:p>
        </w:tc>
        <w:tc>
          <w:tcPr>
            <w:tcW w:w="72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17" w:type="dxa"/>
          </w:tcPr>
          <w:p w:rsidR="00642FB4" w:rsidRDefault="00642FB4">
            <w:pPr>
              <w:jc w:val="center"/>
              <w:rPr>
                <w:rFonts w:eastAsia="Calibri" w:cs="Arial"/>
                <w:lang w:bidi="uk-UA"/>
              </w:rPr>
            </w:pPr>
            <w:r>
              <w:rPr>
                <w:rFonts w:eastAsia="Calibri" w:cs="Arial"/>
                <w:lang w:bidi="uk-UA"/>
              </w:rPr>
              <w:t>++</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Реконструкція, реабілітація, розширення доріг або дорожніх  сегментів, що з'єднують населені пункти вздовж головної дороги, що ведуть до кордону</w:t>
            </w:r>
          </w:p>
        </w:tc>
        <w:tc>
          <w:tcPr>
            <w:tcW w:w="72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17" w:type="dxa"/>
          </w:tcPr>
          <w:p w:rsidR="00642FB4" w:rsidRDefault="00642FB4">
            <w:pPr>
              <w:jc w:val="center"/>
              <w:rPr>
                <w:rFonts w:eastAsia="Calibri" w:cs="Arial"/>
                <w:lang w:bidi="uk-UA"/>
              </w:rPr>
            </w:pPr>
            <w:r>
              <w:rPr>
                <w:rFonts w:eastAsia="Calibri" w:cs="Arial"/>
                <w:lang w:bidi="uk-UA"/>
              </w:rPr>
              <w:t>++</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Поліпшення / відновлення / будівництво доріг або дорожніх сегментів для доступу до транскордонних центрів</w:t>
            </w:r>
          </w:p>
        </w:tc>
        <w:tc>
          <w:tcPr>
            <w:tcW w:w="72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17" w:type="dxa"/>
          </w:tcPr>
          <w:p w:rsidR="00642FB4" w:rsidRDefault="00642FB4">
            <w:pPr>
              <w:jc w:val="center"/>
              <w:rPr>
                <w:rFonts w:eastAsia="Calibri" w:cs="Arial"/>
                <w:lang w:bidi="uk-UA"/>
              </w:rPr>
            </w:pPr>
            <w:r>
              <w:rPr>
                <w:rFonts w:eastAsia="Calibri" w:cs="Arial"/>
                <w:lang w:bidi="uk-UA"/>
              </w:rPr>
              <w:t>++</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Розробка стратегій / політики / планів разом, щоб поліпшити транскордонної транспортної інфраструктури</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Розвиток транскордонних зв'язків, інформації та інтегрованих комунікаційних мереж та послуг</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Оновлення існуючих об'єктів для включення зв'язок між громадами та громадських послуг, які сприяють співпраці на міжнародній границі і ширше</w:t>
            </w:r>
          </w:p>
        </w:tc>
        <w:tc>
          <w:tcPr>
            <w:tcW w:w="72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17" w:type="dxa"/>
          </w:tcPr>
          <w:p w:rsidR="00642FB4" w:rsidRDefault="00642FB4">
            <w:pPr>
              <w:jc w:val="center"/>
              <w:rPr>
                <w:rFonts w:eastAsia="Calibri" w:cs="Arial"/>
                <w:lang w:bidi="uk-UA"/>
              </w:rPr>
            </w:pPr>
            <w:r>
              <w:rPr>
                <w:rFonts w:eastAsia="Calibri" w:cs="Arial"/>
                <w:lang w:bidi="uk-UA"/>
              </w:rPr>
              <w:t>+</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rPr>
          <w:trHeight w:val="271"/>
        </w:trPr>
        <w:tc>
          <w:tcPr>
            <w:tcW w:w="14992" w:type="dxa"/>
            <w:gridSpan w:val="10"/>
          </w:tcPr>
          <w:p w:rsidR="00642FB4" w:rsidRDefault="00642FB4">
            <w:pPr>
              <w:tabs>
                <w:tab w:val="left" w:pos="1747"/>
              </w:tabs>
              <w:rPr>
                <w:rFonts w:eastAsia="Calibri" w:cs="Arial"/>
                <w:lang w:bidi="uk-UA"/>
              </w:rPr>
            </w:pPr>
            <w:r>
              <w:rPr>
                <w:rFonts w:eastAsia="Calibri" w:cs="Arial"/>
                <w:b/>
                <w:lang w:bidi="uk-UA"/>
              </w:rPr>
              <w:t xml:space="preserve">OT8 - </w:t>
            </w:r>
            <w:r>
              <w:rPr>
                <w:rFonts w:eastAsia="Calibri" w:cs="Arial"/>
                <w:b/>
                <w:lang w:val="uk-UA" w:eastAsia="uk-UA" w:bidi="uk-UA"/>
              </w:rPr>
              <w:t>ЗАГАЛЬНІ ПРОБЛЕМИ</w:t>
            </w:r>
            <w:r>
              <w:rPr>
                <w:rFonts w:eastAsia="Calibri" w:cs="Arial"/>
                <w:b/>
                <w:lang w:bidi="uk-UA"/>
              </w:rPr>
              <w:t xml:space="preserve"> БЕЗПЕКІ І ЗАХИСТУ</w:t>
            </w:r>
          </w:p>
        </w:tc>
      </w:tr>
      <w:tr w:rsidR="00642FB4">
        <w:trPr>
          <w:trHeight w:val="417"/>
        </w:trPr>
        <w:tc>
          <w:tcPr>
            <w:tcW w:w="14992" w:type="dxa"/>
            <w:gridSpan w:val="10"/>
          </w:tcPr>
          <w:p w:rsidR="00642FB4" w:rsidRDefault="00642FB4">
            <w:pPr>
              <w:tabs>
                <w:tab w:val="left" w:pos="1747"/>
              </w:tabs>
              <w:rPr>
                <w:rFonts w:eastAsia="Calibri" w:cs="Arial"/>
                <w:lang w:bidi="uk-UA"/>
              </w:rPr>
            </w:pPr>
            <w:r>
              <w:rPr>
                <w:rFonts w:eastAsia="Calibri" w:cs="Arial"/>
                <w:b/>
                <w:lang w:val="uk-UA" w:eastAsia="uk-UA" w:bidi="uk-UA"/>
              </w:rPr>
              <w:t>мета</w:t>
            </w:r>
            <w:r>
              <w:rPr>
                <w:rFonts w:eastAsia="Calibri" w:cs="Arial"/>
                <w:b/>
                <w:i/>
                <w:lang w:bidi="uk-UA"/>
              </w:rPr>
              <w:t xml:space="preserve"> 4:</w:t>
            </w:r>
            <w:r>
              <w:rPr>
                <w:rFonts w:eastAsia="Calibri" w:cs="Arial"/>
                <w:i/>
                <w:lang w:bidi="uk-UA"/>
              </w:rPr>
              <w:t xml:space="preserve"> </w:t>
            </w:r>
            <w:r>
              <w:rPr>
                <w:rFonts w:eastAsia="Calibri" w:cs="Arial"/>
                <w:lang w:val="uk-UA" w:eastAsia="uk-UA" w:bidi="uk-UA"/>
              </w:rPr>
              <w:t>Загальні проблеми безпеки на кордоні, доступ до охорони здоров'я, управління природними та антропогенних ризиків та надзвичайних ситуацій у спільних проектах</w:t>
            </w:r>
          </w:p>
        </w:tc>
      </w:tr>
      <w:tr w:rsidR="00642FB4">
        <w:tc>
          <w:tcPr>
            <w:tcW w:w="14992" w:type="dxa"/>
            <w:gridSpan w:val="10"/>
          </w:tcPr>
          <w:p w:rsidR="00642FB4" w:rsidRDefault="00642FB4">
            <w:pPr>
              <w:tabs>
                <w:tab w:val="left" w:pos="1747"/>
              </w:tabs>
              <w:rPr>
                <w:rFonts w:eastAsia="Calibri" w:cs="Arial"/>
                <w:lang w:bidi="uk-UA"/>
              </w:rPr>
            </w:pPr>
            <w:r>
              <w:rPr>
                <w:rFonts w:eastAsia="Calibri" w:cs="Arial"/>
                <w:b/>
                <w:lang w:val="uk-UA" w:eastAsia="uk-UA" w:bidi="uk-UA"/>
              </w:rPr>
              <w:t>першістю</w:t>
            </w:r>
            <w:r>
              <w:rPr>
                <w:rFonts w:eastAsia="Calibri" w:cs="Arial"/>
                <w:b/>
                <w:lang w:bidi="uk-UA"/>
              </w:rPr>
              <w:t xml:space="preserve"> 4.1 – </w:t>
            </w:r>
            <w:r>
              <w:rPr>
                <w:rFonts w:eastAsia="Calibri" w:cs="Arial"/>
                <w:b/>
                <w:lang w:val="uk-UA" w:eastAsia="uk-UA" w:bidi="uk-UA"/>
              </w:rPr>
              <w:t>Підтримка розвитку медичних послуг та доступ до охорони здоров'я</w:t>
            </w:r>
          </w:p>
        </w:tc>
      </w:tr>
      <w:tr w:rsidR="00642FB4">
        <w:trPr>
          <w:trHeight w:val="674"/>
        </w:trPr>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Спільні заходи, спрямовані на розширення доступу до охорони здоров'я в прикордонній зоні за допомогою будівництва / реабілітації / модернізації медичних послуг (у тому числі з використанням відновлюваних джерел енергії і т.д.)</w:t>
            </w:r>
          </w:p>
        </w:tc>
        <w:tc>
          <w:tcPr>
            <w:tcW w:w="72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17" w:type="dxa"/>
          </w:tcPr>
          <w:p w:rsidR="00642FB4" w:rsidRDefault="00642FB4">
            <w:pPr>
              <w:jc w:val="center"/>
              <w:rPr>
                <w:rFonts w:eastAsia="Calibri" w:cs="Arial"/>
                <w:lang w:bidi="uk-UA"/>
              </w:rPr>
            </w:pPr>
            <w:r>
              <w:rPr>
                <w:rFonts w:eastAsia="Calibri" w:cs="Arial"/>
                <w:lang w:bidi="uk-UA"/>
              </w:rPr>
              <w:t>+</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Розвиток мобільних лабораторій і лабораторій для виявлення / моніторингу та запобігання епідеміям клінічного захворювання кордоні</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Конкретні об'єкти інфраструктури охорони здоров'я (амбулаторні підрозділи, які отримують аварійні об'єкти, медичні центри, інтегрований соціальне втручання і т.д.)</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Спільні навчальні програми та мережі обміну, щоб підтримати роботу конкретних послуг охорони здоров'я, телемедицина</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Обмін досвідом, спільної діяльності з метою забезпечення узгодженості принципів лікування, поширених діагностичних програм</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Кампанії з підвищення обізнаності освіти охорони здоров'я, хвороби та епідемії</w:t>
            </w:r>
          </w:p>
        </w:tc>
        <w:tc>
          <w:tcPr>
            <w:tcW w:w="72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r>
      <w:tr w:rsidR="00642FB4">
        <w:tc>
          <w:tcPr>
            <w:tcW w:w="14992" w:type="dxa"/>
            <w:gridSpan w:val="10"/>
          </w:tcPr>
          <w:p w:rsidR="00642FB4" w:rsidRDefault="00642FB4">
            <w:pPr>
              <w:jc w:val="both"/>
              <w:rPr>
                <w:rFonts w:eastAsia="Calibri" w:cs="Arial"/>
                <w:lang w:bidi="uk-UA"/>
              </w:rPr>
            </w:pPr>
            <w:r>
              <w:rPr>
                <w:rFonts w:eastAsia="Calibri" w:cs="Arial"/>
                <w:b/>
                <w:lang w:val="uk-UA" w:eastAsia="uk-UA" w:bidi="uk-UA"/>
              </w:rPr>
              <w:t>першістю</w:t>
            </w:r>
            <w:r>
              <w:rPr>
                <w:rFonts w:eastAsia="Calibri" w:cs="Arial"/>
                <w:b/>
                <w:lang w:bidi="uk-UA"/>
              </w:rPr>
              <w:t xml:space="preserve"> 4.2 – </w:t>
            </w:r>
            <w:r>
              <w:rPr>
                <w:rFonts w:eastAsia="Calibri" w:cs="Arial"/>
                <w:b/>
                <w:lang w:val="uk-UA" w:eastAsia="uk-UA" w:bidi="uk-UA"/>
              </w:rPr>
              <w:t>Підтримка спільних заходів щодо попередження природних і людських викликало і спільні заходи в надзвичайних ситуаціях</w:t>
            </w:r>
          </w:p>
        </w:tc>
      </w:tr>
      <w:tr w:rsidR="00642FB4">
        <w:trPr>
          <w:trHeight w:val="282"/>
        </w:trPr>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Загальні заходи щодо запобігання зсувів і повеней в прикордонних районах</w:t>
            </w:r>
          </w:p>
        </w:tc>
        <w:tc>
          <w:tcPr>
            <w:tcW w:w="72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17" w:type="dxa"/>
          </w:tcPr>
          <w:p w:rsidR="00642FB4" w:rsidRDefault="00642FB4">
            <w:pPr>
              <w:jc w:val="center"/>
              <w:rPr>
                <w:rFonts w:eastAsia="Calibri" w:cs="Arial"/>
                <w:lang w:bidi="uk-UA"/>
              </w:rPr>
            </w:pPr>
            <w:r>
              <w:rPr>
                <w:rFonts w:eastAsia="Calibri" w:cs="Arial"/>
                <w:lang w:bidi="uk-UA"/>
              </w:rPr>
              <w:t>?</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Вбудований ефективним спільний моніторинг і попередження стихійних лих і пом'якшення наслідків</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17" w:type="dxa"/>
          </w:tcPr>
          <w:p w:rsidR="00642FB4" w:rsidRDefault="00642FB4">
            <w:pPr>
              <w:jc w:val="center"/>
              <w:rPr>
                <w:rFonts w:eastAsia="Calibri" w:cs="Arial"/>
                <w:lang w:bidi="uk-UA"/>
              </w:rPr>
            </w:pPr>
            <w:r>
              <w:rPr>
                <w:rFonts w:eastAsia="Calibri" w:cs="Arial"/>
                <w:lang w:bidi="uk-UA"/>
              </w:rPr>
              <w:t>?</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Спільні стратегії та інструменти для управління та запобігання ризиків, у тому числі спільні плани дій</w:t>
            </w:r>
          </w:p>
        </w:tc>
        <w:tc>
          <w:tcPr>
            <w:tcW w:w="72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Розробка загальної мапи та детальну базу даних (із зазначенням природних і техногенних ризиків та землекористування для регіональних влад планування, природоохоронних відомств і екстрених служб</w:t>
            </w:r>
            <w:r>
              <w:rPr>
                <w:rFonts w:cs="Arial"/>
                <w:lang w:eastAsia="uk-UA" w:bidi="uk-UA"/>
              </w:rPr>
              <w:t>)</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Обмін досвідом і знаннями, в тому числі підвищення рівня інформованості про профілактику ризиків та ефективного управління у прикордонній зоні</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 xml:space="preserve">Розробка єдиних стандартів для комплексного міського планування та управління </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Інвестиції та розвиток загальних систем, комплексне управління аварійної служби</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Планування скоординованих дій органів влади у надзвичайних ситуаціях, викликаних природними або антропогенними лихами (повені, пожежі, спека, землетруси, урагани).</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c>
          <w:tcPr>
            <w:tcW w:w="14992" w:type="dxa"/>
            <w:gridSpan w:val="10"/>
          </w:tcPr>
          <w:p w:rsidR="00642FB4" w:rsidRDefault="00642FB4">
            <w:pPr>
              <w:jc w:val="both"/>
              <w:rPr>
                <w:rFonts w:eastAsia="Calibri" w:cs="Arial"/>
                <w:lang w:bidi="uk-UA"/>
              </w:rPr>
            </w:pPr>
            <w:r>
              <w:rPr>
                <w:rFonts w:eastAsia="Calibri" w:cs="Arial"/>
                <w:b/>
                <w:lang w:val="uk-UA" w:eastAsia="uk-UA" w:bidi="uk-UA"/>
              </w:rPr>
              <w:t>першістю</w:t>
            </w:r>
            <w:r>
              <w:rPr>
                <w:rFonts w:eastAsia="Calibri" w:cs="Arial"/>
                <w:b/>
                <w:lang w:bidi="uk-UA"/>
              </w:rPr>
              <w:t xml:space="preserve"> 4.3 </w:t>
            </w:r>
            <w:r>
              <w:rPr>
                <w:rFonts w:eastAsia="Calibri" w:cs="Arial"/>
                <w:b/>
                <w:sz w:val="28"/>
                <w:szCs w:val="28"/>
                <w:lang w:bidi="uk-UA"/>
              </w:rPr>
              <w:t xml:space="preserve">-  </w:t>
            </w:r>
            <w:r>
              <w:rPr>
                <w:rFonts w:eastAsia="Calibri" w:cs="Arial"/>
                <w:b/>
                <w:lang w:val="uk-UA" w:eastAsia="uk-UA" w:bidi="uk-UA"/>
              </w:rPr>
              <w:t>Запобігання та боротьба з організованою злочинністю і поліцейського співробітництва</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Спільні дії з підвищення мобільності та адміністративних підрозділів поліції (у тому числі послуг прикордонної поліції</w:t>
            </w:r>
            <w:r>
              <w:rPr>
                <w:rFonts w:cs="Arial"/>
                <w:lang w:eastAsia="uk-UA" w:bidi="uk-UA"/>
              </w:rPr>
              <w:t>)</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Створення робочіх платформ  для підвищення ефективності поліції, прикордонної поліції та митних структур для обміну даними та інформацією</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Спільне навчання поліції, митниці, прикордонної поліції, жандармерії, обмін передовим досвідом у конкретних областях діяльності (аналіз, кримінальних розслідувань, організована злочинність)</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Інвестиції в будівництво, реконструкцію або модернізацію інфраструктури та прикордонних поліцейських та інших суміжних будівель</w:t>
            </w:r>
          </w:p>
        </w:tc>
        <w:tc>
          <w:tcPr>
            <w:tcW w:w="72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17" w:type="dxa"/>
          </w:tcPr>
          <w:p w:rsidR="00642FB4" w:rsidRDefault="00642FB4">
            <w:pPr>
              <w:jc w:val="center"/>
              <w:rPr>
                <w:rFonts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Інвестиції в устаткування і конкретні об'єкти діючої роботи поліції/ митниці / прикордонний поліцейський / жандармерії (наприклад, лабораторне обладнання, інструменти виявлення, апаратного та програмного забезпечення, транспортних засобів)</w:t>
            </w:r>
          </w:p>
        </w:tc>
        <w:tc>
          <w:tcPr>
            <w:tcW w:w="72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17" w:type="dxa"/>
          </w:tcPr>
          <w:p w:rsidR="00642FB4" w:rsidRDefault="00642FB4">
            <w:pPr>
              <w:jc w:val="center"/>
              <w:rPr>
                <w:rFonts w:eastAsia="Calibri" w:cs="Arial"/>
                <w:lang w:bidi="uk-UA"/>
              </w:rPr>
            </w:pPr>
            <w:r>
              <w:rPr>
                <w:rFonts w:eastAsia="Calibri" w:cs="Arial"/>
                <w:lang w:bidi="uk-UA"/>
              </w:rPr>
              <w:t>+</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r>
      <w:tr w:rsidR="00642FB4">
        <w:tc>
          <w:tcPr>
            <w:tcW w:w="8568" w:type="dxa"/>
            <w:shd w:val="clear" w:color="auto" w:fill="auto"/>
          </w:tcPr>
          <w:p w:rsidR="00642FB4" w:rsidRDefault="00642FB4">
            <w:pPr>
              <w:jc w:val="both"/>
              <w:rPr>
                <w:rFonts w:cs="Arial"/>
                <w:lang w:eastAsia="uk-UA" w:bidi="uk-UA"/>
              </w:rPr>
            </w:pPr>
            <w:r>
              <w:rPr>
                <w:rFonts w:eastAsia="Calibri" w:cs="Arial"/>
                <w:lang w:val="uk-UA" w:eastAsia="uk-UA" w:bidi="uk-UA"/>
              </w:rPr>
              <w:t>Розробка загальних стратегій і політики, обміну досвідом у боротьбі з організованою злочинністю.</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c>
          <w:tcPr>
            <w:tcW w:w="14992" w:type="dxa"/>
            <w:gridSpan w:val="10"/>
          </w:tcPr>
          <w:p w:rsidR="00642FB4" w:rsidRDefault="00642FB4">
            <w:pPr>
              <w:jc w:val="both"/>
              <w:rPr>
                <w:rFonts w:eastAsia="Calibri" w:cs="Arial"/>
                <w:lang w:bidi="uk-UA"/>
              </w:rPr>
            </w:pPr>
            <w:r>
              <w:rPr>
                <w:rFonts w:eastAsia="Calibri" w:cs="Arial"/>
                <w:lang w:val="uk-UA" w:eastAsia="uk-UA" w:bidi="uk-UA"/>
              </w:rPr>
              <w:t>Великі інфраструктурні проекти</w:t>
            </w:r>
          </w:p>
        </w:tc>
      </w:tr>
      <w:tr w:rsidR="00642FB4">
        <w:tc>
          <w:tcPr>
            <w:tcW w:w="8568" w:type="dxa"/>
            <w:shd w:val="clear" w:color="auto" w:fill="auto"/>
          </w:tcPr>
          <w:p w:rsidR="00642FB4" w:rsidRDefault="00642FB4">
            <w:pPr>
              <w:jc w:val="both"/>
              <w:rPr>
                <w:rFonts w:eastAsia="Calibri" w:cs="Arial"/>
                <w:lang w:bidi="uk-UA"/>
              </w:rPr>
            </w:pPr>
            <w:r>
              <w:rPr>
                <w:rFonts w:eastAsia="Calibri" w:cs="Arial"/>
                <w:lang w:val="uk-UA" w:eastAsia="uk-UA" w:bidi="uk-UA"/>
              </w:rPr>
              <w:t xml:space="preserve">"Чиста ріка" </w:t>
            </w:r>
            <w:r w:rsidR="001B6BC7">
              <w:rPr>
                <w:rFonts w:eastAsia="Calibri" w:cs="Arial"/>
                <w:lang w:val="uk-UA" w:eastAsia="uk-UA" w:bidi="uk-UA"/>
              </w:rPr>
              <w:t>–</w:t>
            </w:r>
            <w:r>
              <w:rPr>
                <w:rFonts w:eastAsia="Calibri" w:cs="Arial"/>
                <w:lang w:val="uk-UA" w:eastAsia="uk-UA" w:bidi="uk-UA"/>
              </w:rPr>
              <w:t xml:space="preserve"> Дунай</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17" w:type="dxa"/>
          </w:tcPr>
          <w:p w:rsidR="00642FB4" w:rsidRDefault="00642FB4">
            <w:pPr>
              <w:jc w:val="center"/>
              <w:rPr>
                <w:rFonts w:eastAsia="Calibri" w:cs="Arial"/>
                <w:lang w:bidi="uk-UA"/>
              </w:rPr>
            </w:pPr>
            <w:r>
              <w:rPr>
                <w:rFonts w:eastAsia="Calibri" w:cs="Arial"/>
                <w:lang w:bidi="uk-UA"/>
              </w:rPr>
              <w:t>+</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rPr>
          <w:trHeight w:val="341"/>
        </w:trPr>
        <w:tc>
          <w:tcPr>
            <w:tcW w:w="8568" w:type="dxa"/>
            <w:shd w:val="clear" w:color="auto" w:fill="auto"/>
          </w:tcPr>
          <w:p w:rsidR="00642FB4" w:rsidRDefault="00642FB4">
            <w:pPr>
              <w:jc w:val="both"/>
              <w:rPr>
                <w:rFonts w:eastAsia="Calibri" w:cs="Arial"/>
                <w:lang w:bidi="uk-UA"/>
              </w:rPr>
            </w:pPr>
            <w:r>
              <w:rPr>
                <w:rFonts w:eastAsia="Calibri" w:cs="Arial"/>
                <w:lang w:val="uk-UA" w:eastAsia="uk-UA" w:bidi="uk-UA"/>
              </w:rPr>
              <w:t>Поліпшення транскордонної інфраструктури - шлюз в Європу</w:t>
            </w:r>
          </w:p>
        </w:tc>
        <w:tc>
          <w:tcPr>
            <w:tcW w:w="72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30" w:type="dxa"/>
            <w:shd w:val="clear" w:color="auto" w:fill="auto"/>
          </w:tcPr>
          <w:p w:rsidR="00642FB4" w:rsidRDefault="00642FB4">
            <w:pPr>
              <w:jc w:val="center"/>
              <w:rPr>
                <w:rFonts w:eastAsia="Calibri" w:cs="Arial"/>
                <w:lang w:bidi="uk-UA"/>
              </w:rPr>
            </w:pPr>
            <w:r>
              <w:rPr>
                <w:rFonts w:eastAsia="Calibri" w:cs="Arial"/>
                <w:lang w:bidi="uk-UA"/>
              </w:rPr>
              <w:t>+</w:t>
            </w:r>
          </w:p>
        </w:tc>
        <w:tc>
          <w:tcPr>
            <w:tcW w:w="617" w:type="dxa"/>
          </w:tcPr>
          <w:p w:rsidR="00642FB4" w:rsidRDefault="00642FB4">
            <w:pPr>
              <w:jc w:val="center"/>
              <w:rPr>
                <w:rFonts w:eastAsia="Calibri" w:cs="Arial"/>
                <w:lang w:bidi="uk-UA"/>
              </w:rPr>
            </w:pPr>
            <w:r>
              <w:rPr>
                <w:rFonts w:eastAsia="Calibri" w:cs="Arial"/>
                <w:lang w:bidi="uk-UA"/>
              </w:rPr>
              <w:t>+</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c>
          <w:tcPr>
            <w:tcW w:w="8568" w:type="dxa"/>
            <w:shd w:val="clear" w:color="auto" w:fill="auto"/>
          </w:tcPr>
          <w:p w:rsidR="00642FB4" w:rsidRDefault="00642FB4">
            <w:pPr>
              <w:jc w:val="both"/>
              <w:rPr>
                <w:rFonts w:eastAsia="Calibri" w:cs="Arial"/>
                <w:lang w:bidi="uk-UA"/>
              </w:rPr>
            </w:pPr>
            <w:r>
              <w:rPr>
                <w:rFonts w:eastAsia="Calibri" w:cs="Arial"/>
                <w:lang w:val="uk-UA" w:eastAsia="uk-UA" w:bidi="uk-UA"/>
              </w:rPr>
              <w:t>Регіональне співробітництво в галузі попередження та боротьби з транскордонною злочинністю між Румунією та Україною</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r w:rsidR="00642FB4">
        <w:tc>
          <w:tcPr>
            <w:tcW w:w="8568" w:type="dxa"/>
            <w:shd w:val="clear" w:color="auto" w:fill="auto"/>
          </w:tcPr>
          <w:p w:rsidR="00642FB4" w:rsidRDefault="00642FB4">
            <w:pPr>
              <w:jc w:val="both"/>
              <w:rPr>
                <w:rFonts w:eastAsia="Calibri" w:cs="Arial"/>
                <w:lang w:bidi="uk-UA"/>
              </w:rPr>
            </w:pPr>
            <w:r>
              <w:rPr>
                <w:rFonts w:eastAsia="Calibri" w:cs="Arial"/>
                <w:lang w:val="uk-UA" w:eastAsia="uk-UA" w:bidi="uk-UA"/>
              </w:rPr>
              <w:t>Підвищення безпеки та прикордонного рівня громадської безпеки за допомогою поліпшення допомогою спільних навчальних та співробітництва дій у ліквідації наслідків надзвичайних ситуацій</w:t>
            </w:r>
          </w:p>
        </w:tc>
        <w:tc>
          <w:tcPr>
            <w:tcW w:w="72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30" w:type="dxa"/>
            <w:shd w:val="clear" w:color="auto" w:fill="auto"/>
          </w:tcPr>
          <w:p w:rsidR="00642FB4" w:rsidRDefault="00642FB4">
            <w:pPr>
              <w:jc w:val="center"/>
              <w:rPr>
                <w:rFonts w:eastAsia="Calibri" w:cs="Arial"/>
                <w:lang w:bidi="uk-UA"/>
              </w:rPr>
            </w:pPr>
            <w:r>
              <w:rPr>
                <w:rFonts w:eastAsia="Calibri" w:cs="Arial"/>
                <w:lang w:bidi="uk-UA"/>
              </w:rPr>
              <w:t>0</w:t>
            </w:r>
          </w:p>
        </w:tc>
        <w:tc>
          <w:tcPr>
            <w:tcW w:w="617" w:type="dxa"/>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709" w:type="dxa"/>
            <w:shd w:val="clear" w:color="auto" w:fill="auto"/>
          </w:tcPr>
          <w:p w:rsidR="00642FB4" w:rsidRDefault="00642FB4">
            <w:pPr>
              <w:jc w:val="center"/>
              <w:rPr>
                <w:rFonts w:eastAsia="Calibri" w:cs="Arial"/>
                <w:lang w:bidi="uk-UA"/>
              </w:rPr>
            </w:pPr>
            <w:r>
              <w:rPr>
                <w:rFonts w:eastAsia="Calibri" w:cs="Arial"/>
                <w:lang w:bidi="uk-UA"/>
              </w:rPr>
              <w:t>0</w:t>
            </w:r>
          </w:p>
        </w:tc>
        <w:tc>
          <w:tcPr>
            <w:tcW w:w="850" w:type="dxa"/>
            <w:shd w:val="clear" w:color="auto" w:fill="auto"/>
          </w:tcPr>
          <w:p w:rsidR="00642FB4" w:rsidRDefault="00642FB4">
            <w:pPr>
              <w:jc w:val="center"/>
              <w:rPr>
                <w:rFonts w:eastAsia="Calibri" w:cs="Arial"/>
                <w:lang w:bidi="uk-UA"/>
              </w:rPr>
            </w:pPr>
            <w:r>
              <w:rPr>
                <w:rFonts w:eastAsia="Calibri" w:cs="Arial"/>
                <w:lang w:bidi="uk-UA"/>
              </w:rPr>
              <w:t>0</w:t>
            </w:r>
          </w:p>
        </w:tc>
      </w:tr>
    </w:tbl>
    <w:p w:rsidR="00642FB4" w:rsidRDefault="00642FB4">
      <w:pPr>
        <w:jc w:val="both"/>
        <w:rPr>
          <w:rFonts w:cs="Arial"/>
          <w:highlight w:val="yellow"/>
          <w:lang w:eastAsia="uk-UA" w:bidi="uk-UA"/>
        </w:rPr>
      </w:pPr>
    </w:p>
    <w:p w:rsidR="00642FB4" w:rsidRDefault="00642FB4">
      <w:pPr>
        <w:jc w:val="both"/>
        <w:rPr>
          <w:highlight w:val="yellow"/>
          <w:lang w:eastAsia="uk-UA" w:bidi="uk-UA"/>
        </w:rPr>
        <w:sectPr w:rsidR="00642FB4">
          <w:headerReference w:type="default" r:id="rId142"/>
          <w:footerReference w:type="default" r:id="rId143"/>
          <w:pgSz w:w="16834" w:h="11909" w:orient="landscape" w:code="9"/>
          <w:pgMar w:top="1134" w:right="849" w:bottom="749" w:left="567" w:header="284" w:footer="0" w:gutter="0"/>
          <w:cols w:space="708"/>
          <w:docGrid w:linePitch="360"/>
        </w:sectPr>
      </w:pPr>
    </w:p>
    <w:p w:rsidR="00642FB4" w:rsidRPr="001D2B9A" w:rsidRDefault="00B521A8" w:rsidP="001D2B9A">
      <w:pPr>
        <w:pStyle w:val="Title"/>
        <w:numPr>
          <w:ilvl w:val="0"/>
          <w:numId w:val="5"/>
        </w:numPr>
        <w:rPr>
          <w:rFonts w:ascii="Arial" w:eastAsia="Calibri" w:hAnsi="Arial" w:cs="Arial"/>
          <w:sz w:val="24"/>
          <w:szCs w:val="24"/>
        </w:rPr>
      </w:pPr>
      <w:bookmarkStart w:id="155" w:name="_Toc419199674"/>
      <w:r w:rsidRPr="001D2B9A">
        <w:rPr>
          <w:rFonts w:ascii="Arial" w:eastAsia="Calibri" w:hAnsi="Arial" w:cs="Arial"/>
          <w:sz w:val="24"/>
          <w:szCs w:val="24"/>
        </w:rPr>
        <w:t>ЗАХОДИ, СПРЯМОВАНІ НА ЗАПОБІГАННЯ, СКОРОЧЕННЯ І, ДЕ ЦЕ МОЖЛИВО КОМПЕНСУВАТИ БУДЬ-ЯКІ НЕСПРИЯТЛИВІ ВПЛИВИ НА НАВКОЛИШНЄ СЕРЕДОВИЩЕ ШЛЯХОМ ВПРОВАДЖЕННЯ ПЛАНУ АБО ПРОГРАМИ</w:t>
      </w:r>
      <w:bookmarkEnd w:id="155"/>
    </w:p>
    <w:p w:rsidR="00642FB4" w:rsidRDefault="00642FB4">
      <w:pPr>
        <w:ind w:left="360"/>
        <w:contextualSpacing/>
        <w:jc w:val="both"/>
        <w:rPr>
          <w:rFonts w:eastAsia="EUAlbertina-Regular-Identity-H" w:cs="Arial"/>
          <w:b/>
          <w:lang w:eastAsia="en-US"/>
        </w:rPr>
      </w:pPr>
    </w:p>
    <w:p w:rsidR="00642FB4" w:rsidRDefault="00642FB4">
      <w:pPr>
        <w:spacing w:before="60" w:after="60" w:line="288" w:lineRule="auto"/>
        <w:ind w:firstLine="709"/>
        <w:jc w:val="both"/>
        <w:rPr>
          <w:rFonts w:cs="Arial"/>
          <w:lang w:bidi="uk-UA"/>
        </w:rPr>
      </w:pPr>
      <w:r>
        <w:rPr>
          <w:rFonts w:cs="Arial"/>
          <w:lang w:bidi="uk-UA"/>
        </w:rPr>
        <w:t xml:space="preserve">Від оцінки впливу на навколишнє середовище індикативних дій в рамках 4 тематичних завдань Програми </w:t>
      </w:r>
      <w:r>
        <w:rPr>
          <w:rFonts w:cs="Arial"/>
          <w:lang w:val="uk-UA" w:bidi="uk-UA"/>
        </w:rPr>
        <w:t>Р</w:t>
      </w:r>
      <w:r>
        <w:rPr>
          <w:rFonts w:cs="Arial"/>
          <w:lang w:bidi="uk-UA"/>
        </w:rPr>
        <w:t>o</w:t>
      </w:r>
      <w:r>
        <w:rPr>
          <w:rFonts w:cs="Arial"/>
          <w:lang w:val="uk-UA" w:bidi="uk-UA"/>
        </w:rPr>
        <w:t>-Укр</w:t>
      </w:r>
      <w:r>
        <w:rPr>
          <w:rFonts w:cs="Arial"/>
          <w:lang w:bidi="uk-UA"/>
        </w:rPr>
        <w:t>, виконаних в розділі 7 даного звіту навколишнього середовища показав, що більшість з них мають непрямий вплив, з впливом будучи нейтральною концептуальні заходи співробітництва та підтримки між двох партнерів:</w:t>
      </w:r>
    </w:p>
    <w:p w:rsidR="00642FB4" w:rsidRDefault="00642FB4">
      <w:pPr>
        <w:numPr>
          <w:ilvl w:val="0"/>
          <w:numId w:val="3"/>
        </w:numPr>
        <w:spacing w:before="60" w:after="60" w:line="288" w:lineRule="auto"/>
        <w:ind w:left="993" w:hanging="284"/>
        <w:jc w:val="both"/>
        <w:rPr>
          <w:rFonts w:cs="Arial"/>
          <w:lang w:bidi="uk-UA"/>
        </w:rPr>
      </w:pPr>
      <w:r>
        <w:rPr>
          <w:rFonts w:eastAsia="Calibri" w:cs="Arial"/>
          <w:lang w:val="uk-UA" w:eastAsia="uk-UA" w:bidi="uk-UA"/>
        </w:rPr>
        <w:t>Освіта, наука, технологічний розвиток та інновації</w:t>
      </w:r>
      <w:r>
        <w:rPr>
          <w:rFonts w:cs="Arial"/>
          <w:lang w:bidi="uk-UA"/>
        </w:rPr>
        <w:t>;</w:t>
      </w:r>
    </w:p>
    <w:p w:rsidR="00642FB4" w:rsidRDefault="00642FB4">
      <w:pPr>
        <w:numPr>
          <w:ilvl w:val="0"/>
          <w:numId w:val="3"/>
        </w:numPr>
        <w:spacing w:before="60" w:after="60" w:line="288" w:lineRule="auto"/>
        <w:ind w:left="993" w:hanging="284"/>
        <w:jc w:val="both"/>
        <w:rPr>
          <w:rFonts w:cs="Arial"/>
          <w:lang w:bidi="uk-UA"/>
        </w:rPr>
      </w:pPr>
      <w:r>
        <w:rPr>
          <w:rFonts w:eastAsia="Calibri" w:cs="Arial"/>
          <w:lang w:val="uk-UA" w:eastAsia="uk-UA" w:bidi="uk-UA"/>
        </w:rPr>
        <w:t>Збереження культурної та історичної патрімонії</w:t>
      </w:r>
      <w:r>
        <w:rPr>
          <w:rFonts w:cs="Arial"/>
          <w:lang w:bidi="uk-UA"/>
        </w:rPr>
        <w:t>;</w:t>
      </w:r>
    </w:p>
    <w:p w:rsidR="00642FB4" w:rsidRDefault="00642FB4">
      <w:pPr>
        <w:numPr>
          <w:ilvl w:val="0"/>
          <w:numId w:val="3"/>
        </w:numPr>
        <w:spacing w:before="60" w:after="60" w:line="288" w:lineRule="auto"/>
        <w:ind w:left="993" w:hanging="284"/>
        <w:jc w:val="both"/>
        <w:rPr>
          <w:rFonts w:cs="Arial"/>
          <w:lang w:bidi="uk-UA"/>
        </w:rPr>
      </w:pPr>
      <w:r>
        <w:rPr>
          <w:rFonts w:eastAsia="Calibri" w:cs="Arial"/>
          <w:lang w:val="uk-UA" w:eastAsia="uk-UA" w:bidi="uk-UA"/>
        </w:rPr>
        <w:t>Стратегії для поліпшення інфраструктури транскордонного транспорту</w:t>
      </w:r>
      <w:r>
        <w:rPr>
          <w:rFonts w:cs="Arial"/>
          <w:lang w:bidi="uk-UA"/>
        </w:rPr>
        <w:t>;</w:t>
      </w:r>
    </w:p>
    <w:p w:rsidR="00642FB4" w:rsidRDefault="00642FB4">
      <w:pPr>
        <w:numPr>
          <w:ilvl w:val="0"/>
          <w:numId w:val="3"/>
        </w:numPr>
        <w:spacing w:before="60" w:after="60" w:line="288" w:lineRule="auto"/>
        <w:ind w:left="993" w:hanging="284"/>
        <w:jc w:val="both"/>
        <w:rPr>
          <w:rFonts w:cs="Arial"/>
          <w:lang w:bidi="uk-UA"/>
        </w:rPr>
      </w:pPr>
      <w:r>
        <w:rPr>
          <w:rFonts w:eastAsia="Calibri" w:cs="Arial"/>
          <w:lang w:val="uk-UA" w:eastAsia="uk-UA" w:bidi="uk-UA"/>
        </w:rPr>
        <w:t>Розробка здоров'я та доступу до послуг охорони здоров'я</w:t>
      </w:r>
      <w:r>
        <w:rPr>
          <w:rFonts w:cs="Arial"/>
          <w:lang w:bidi="uk-UA"/>
        </w:rPr>
        <w:t>;</w:t>
      </w:r>
    </w:p>
    <w:p w:rsidR="00642FB4" w:rsidRDefault="00642FB4">
      <w:pPr>
        <w:numPr>
          <w:ilvl w:val="0"/>
          <w:numId w:val="3"/>
        </w:numPr>
        <w:spacing w:before="60" w:after="60" w:line="288" w:lineRule="auto"/>
        <w:ind w:left="993" w:hanging="284"/>
        <w:jc w:val="both"/>
        <w:rPr>
          <w:rFonts w:cs="Arial"/>
          <w:lang w:bidi="uk-UA"/>
        </w:rPr>
      </w:pPr>
      <w:r>
        <w:rPr>
          <w:rFonts w:eastAsia="Calibri" w:cs="Arial"/>
          <w:lang w:val="uk-UA" w:eastAsia="uk-UA" w:bidi="uk-UA"/>
        </w:rPr>
        <w:t xml:space="preserve">Стратегії запобігання та боротьби зі стихійними лихами, викликані  людми </w:t>
      </w:r>
      <w:r>
        <w:rPr>
          <w:rFonts w:cs="Arial"/>
          <w:lang w:bidi="uk-UA"/>
        </w:rPr>
        <w:t>;</w:t>
      </w:r>
    </w:p>
    <w:p w:rsidR="00642FB4" w:rsidRDefault="00642FB4">
      <w:pPr>
        <w:numPr>
          <w:ilvl w:val="0"/>
          <w:numId w:val="3"/>
        </w:numPr>
        <w:spacing w:before="60" w:after="60" w:line="288" w:lineRule="auto"/>
        <w:ind w:left="993" w:hanging="284"/>
        <w:jc w:val="both"/>
        <w:rPr>
          <w:rFonts w:cs="Arial"/>
          <w:lang w:bidi="uk-UA"/>
        </w:rPr>
      </w:pPr>
      <w:r>
        <w:rPr>
          <w:rFonts w:eastAsia="Calibri" w:cs="Arial"/>
          <w:lang w:val="uk-UA" w:eastAsia="uk-UA" w:bidi="uk-UA"/>
        </w:rPr>
        <w:t>Профілактика і боротьба з організованою злочинністю і поліцейського співробітництва</w:t>
      </w:r>
      <w:r>
        <w:rPr>
          <w:rFonts w:cs="Arial"/>
          <w:lang w:bidi="uk-UA"/>
        </w:rPr>
        <w:t>.</w:t>
      </w:r>
    </w:p>
    <w:p w:rsidR="00642FB4" w:rsidRDefault="00642FB4">
      <w:pPr>
        <w:spacing w:before="60" w:after="60" w:line="288" w:lineRule="auto"/>
        <w:ind w:left="993"/>
        <w:jc w:val="both"/>
        <w:rPr>
          <w:rFonts w:cs="Arial"/>
          <w:lang w:bidi="uk-UA"/>
        </w:rPr>
      </w:pPr>
    </w:p>
    <w:p w:rsidR="00642FB4" w:rsidRDefault="00642FB4">
      <w:pPr>
        <w:spacing w:before="60" w:after="60" w:line="288" w:lineRule="auto"/>
        <w:ind w:firstLine="709"/>
        <w:jc w:val="both"/>
        <w:rPr>
          <w:rFonts w:cs="Arial"/>
          <w:lang w:bidi="uk-UA"/>
        </w:rPr>
      </w:pPr>
      <w:r>
        <w:rPr>
          <w:rFonts w:eastAsia="Calibri" w:cs="Arial"/>
          <w:lang w:val="uk-UA" w:eastAsia="uk-UA" w:bidi="uk-UA"/>
        </w:rPr>
        <w:t>Враховуючи, що наслідки дій, що свідчать про майбутні проекти, що фінансуються за рахунок чотирьох тематичних цілей і п'яти великих інфраструктурних проектів на навколишнє середовище повинні бути зменшені настільки, наскільки це можливо, рекомендуються такі</w:t>
      </w:r>
      <w:r>
        <w:rPr>
          <w:rFonts w:cs="Arial"/>
          <w:lang w:bidi="uk-UA"/>
        </w:rPr>
        <w:t>:</w:t>
      </w:r>
    </w:p>
    <w:p w:rsidR="00642FB4" w:rsidRDefault="00642FB4">
      <w:pPr>
        <w:numPr>
          <w:ilvl w:val="0"/>
          <w:numId w:val="60"/>
        </w:numPr>
        <w:spacing w:before="60" w:after="60" w:line="288" w:lineRule="auto"/>
        <w:ind w:left="993" w:hanging="284"/>
        <w:jc w:val="both"/>
        <w:rPr>
          <w:rFonts w:cs="Arial"/>
          <w:lang w:bidi="uk-UA"/>
        </w:rPr>
      </w:pPr>
      <w:r>
        <w:rPr>
          <w:rFonts w:eastAsia="Calibri" w:cs="Arial"/>
          <w:lang w:val="uk-UA" w:eastAsia="uk-UA" w:bidi="uk-UA"/>
        </w:rPr>
        <w:t>Низьке споживання електроенергії та / або тепла</w:t>
      </w:r>
      <w:r>
        <w:rPr>
          <w:rFonts w:cs="Arial"/>
          <w:lang w:val="vi-VN" w:bidi="uk-UA"/>
        </w:rPr>
        <w:t>;</w:t>
      </w:r>
    </w:p>
    <w:p w:rsidR="00642FB4" w:rsidRDefault="00642FB4">
      <w:pPr>
        <w:numPr>
          <w:ilvl w:val="0"/>
          <w:numId w:val="60"/>
        </w:numPr>
        <w:spacing w:before="60" w:after="60" w:line="288" w:lineRule="auto"/>
        <w:ind w:left="993" w:hanging="284"/>
        <w:jc w:val="both"/>
        <w:rPr>
          <w:rFonts w:cs="Arial"/>
          <w:lang w:bidi="uk-UA"/>
        </w:rPr>
      </w:pPr>
      <w:r>
        <w:rPr>
          <w:rFonts w:eastAsia="Calibri" w:cs="Arial"/>
          <w:lang w:val="uk-UA" w:eastAsia="uk-UA" w:bidi="uk-UA"/>
        </w:rPr>
        <w:t>Низька витрата палива, сировини, небезпечних речовин</w:t>
      </w:r>
      <w:r>
        <w:rPr>
          <w:rFonts w:cs="Arial"/>
          <w:lang w:val="vi-VN" w:bidi="uk-UA"/>
        </w:rPr>
        <w:t>;</w:t>
      </w:r>
    </w:p>
    <w:p w:rsidR="00642FB4" w:rsidRDefault="00642FB4">
      <w:pPr>
        <w:numPr>
          <w:ilvl w:val="0"/>
          <w:numId w:val="60"/>
        </w:numPr>
        <w:spacing w:before="60" w:after="60" w:line="288" w:lineRule="auto"/>
        <w:ind w:left="993" w:hanging="284"/>
        <w:jc w:val="both"/>
        <w:rPr>
          <w:rFonts w:cs="Arial"/>
          <w:lang w:bidi="uk-UA"/>
        </w:rPr>
      </w:pPr>
      <w:r>
        <w:rPr>
          <w:rFonts w:eastAsia="Calibri" w:cs="Arial"/>
          <w:lang w:val="uk-UA" w:eastAsia="uk-UA" w:bidi="uk-UA"/>
        </w:rPr>
        <w:t>Обладнання з високої енергетичної ефективності</w:t>
      </w:r>
      <w:r>
        <w:rPr>
          <w:rFonts w:cs="Arial"/>
          <w:lang w:val="vi-VN" w:bidi="uk-UA"/>
        </w:rPr>
        <w:t>;</w:t>
      </w:r>
    </w:p>
    <w:p w:rsidR="00642FB4" w:rsidRDefault="00642FB4">
      <w:pPr>
        <w:numPr>
          <w:ilvl w:val="0"/>
          <w:numId w:val="60"/>
        </w:numPr>
        <w:spacing w:before="60" w:after="60" w:line="288" w:lineRule="auto"/>
        <w:ind w:left="993" w:hanging="284"/>
        <w:jc w:val="both"/>
        <w:rPr>
          <w:rFonts w:cs="Arial"/>
          <w:lang w:bidi="uk-UA"/>
        </w:rPr>
      </w:pPr>
      <w:r>
        <w:rPr>
          <w:rFonts w:eastAsia="Calibri" w:cs="Arial"/>
          <w:lang w:val="uk-UA" w:eastAsia="uk-UA" w:bidi="uk-UA"/>
        </w:rPr>
        <w:t>Вибір відповідних технологій для відновлення / збереження і поважати їх точно так, що рішення, обрані не впливають видів флори, фауни та водних екосистем відповідного</w:t>
      </w:r>
      <w:r>
        <w:rPr>
          <w:rFonts w:cs="Arial"/>
          <w:lang w:bidi="uk-UA"/>
        </w:rPr>
        <w:t>;</w:t>
      </w:r>
    </w:p>
    <w:p w:rsidR="00642FB4" w:rsidRDefault="00642FB4">
      <w:pPr>
        <w:numPr>
          <w:ilvl w:val="0"/>
          <w:numId w:val="60"/>
        </w:numPr>
        <w:spacing w:before="60" w:after="60" w:line="288" w:lineRule="auto"/>
        <w:ind w:left="993" w:hanging="284"/>
        <w:jc w:val="both"/>
        <w:rPr>
          <w:rFonts w:cs="Arial"/>
          <w:lang w:bidi="uk-UA"/>
        </w:rPr>
      </w:pPr>
      <w:r>
        <w:rPr>
          <w:rFonts w:eastAsia="Calibri" w:cs="Arial"/>
          <w:lang w:val="uk-UA" w:eastAsia="uk-UA" w:bidi="uk-UA"/>
        </w:rPr>
        <w:t>можливість</w:t>
      </w:r>
      <w:r>
        <w:rPr>
          <w:rFonts w:cs="Arial"/>
          <w:lang w:bidi="uk-UA"/>
        </w:rPr>
        <w:t xml:space="preserve"> </w:t>
      </w:r>
      <w:r>
        <w:rPr>
          <w:rFonts w:eastAsia="Calibri" w:cs="Arial"/>
          <w:lang w:val="uk-UA" w:eastAsia="uk-UA" w:bidi="uk-UA"/>
        </w:rPr>
        <w:t>підвищення цінності культурної патрімонії</w:t>
      </w:r>
      <w:r>
        <w:rPr>
          <w:rFonts w:cs="Arial"/>
          <w:lang w:bidi="uk-UA"/>
        </w:rPr>
        <w:t xml:space="preserve"> /</w:t>
      </w:r>
      <w:r>
        <w:rPr>
          <w:rFonts w:eastAsia="Calibri" w:cs="Arial"/>
          <w:lang w:eastAsia="uk-UA" w:bidi="uk-UA"/>
        </w:rPr>
        <w:t xml:space="preserve"> </w:t>
      </w:r>
      <w:r>
        <w:rPr>
          <w:rFonts w:cs="Arial"/>
          <w:lang w:val="uk-UA" w:bidi="uk-UA"/>
        </w:rPr>
        <w:t>і</w:t>
      </w:r>
      <w:r>
        <w:rPr>
          <w:rFonts w:cs="Arial"/>
          <w:lang w:bidi="uk-UA"/>
        </w:rPr>
        <w:t xml:space="preserve">сторично розглянути щоб не вплило флору і фауну, </w:t>
      </w:r>
      <w:r>
        <w:rPr>
          <w:rFonts w:eastAsia="Calibri" w:cs="Arial"/>
          <w:lang w:val="uk-UA" w:eastAsia="uk-UA" w:bidi="uk-UA"/>
        </w:rPr>
        <w:t>і водні екосистеми в районі</w:t>
      </w:r>
      <w:r>
        <w:rPr>
          <w:rFonts w:cs="Arial"/>
          <w:lang w:bidi="uk-UA"/>
        </w:rPr>
        <w:t>;</w:t>
      </w:r>
    </w:p>
    <w:p w:rsidR="00642FB4" w:rsidRDefault="00642FB4">
      <w:pPr>
        <w:numPr>
          <w:ilvl w:val="0"/>
          <w:numId w:val="60"/>
        </w:numPr>
        <w:spacing w:before="60" w:after="60" w:line="288" w:lineRule="auto"/>
        <w:ind w:left="993" w:hanging="284"/>
        <w:jc w:val="both"/>
        <w:rPr>
          <w:rFonts w:cs="Arial"/>
          <w:lang w:bidi="uk-UA"/>
        </w:rPr>
      </w:pPr>
      <w:r>
        <w:rPr>
          <w:rFonts w:eastAsia="Calibri" w:cs="Arial"/>
          <w:lang w:val="uk-UA" w:eastAsia="uk-UA" w:bidi="uk-UA"/>
        </w:rPr>
        <w:t>Мінімізація відходів</w:t>
      </w:r>
      <w:r>
        <w:rPr>
          <w:rFonts w:cs="Arial"/>
          <w:lang w:val="vi-VN" w:bidi="uk-UA"/>
        </w:rPr>
        <w:t>;</w:t>
      </w:r>
    </w:p>
    <w:p w:rsidR="00642FB4" w:rsidRDefault="00642FB4">
      <w:pPr>
        <w:numPr>
          <w:ilvl w:val="0"/>
          <w:numId w:val="60"/>
        </w:numPr>
        <w:spacing w:before="60" w:after="60" w:line="288" w:lineRule="auto"/>
        <w:ind w:left="993" w:hanging="284"/>
        <w:jc w:val="both"/>
        <w:rPr>
          <w:rFonts w:cs="Arial"/>
          <w:lang w:bidi="uk-UA"/>
        </w:rPr>
      </w:pPr>
      <w:r>
        <w:rPr>
          <w:rFonts w:eastAsia="Calibri" w:cs="Arial"/>
          <w:lang w:val="uk-UA" w:eastAsia="uk-UA" w:bidi="uk-UA"/>
        </w:rPr>
        <w:t>Забезпечити збір / сортування / переробки / утилізації відходів</w:t>
      </w:r>
      <w:r>
        <w:rPr>
          <w:rFonts w:cs="Arial"/>
          <w:lang w:bidi="uk-UA"/>
        </w:rPr>
        <w:t>;</w:t>
      </w:r>
    </w:p>
    <w:p w:rsidR="00642FB4" w:rsidRDefault="00642FB4">
      <w:pPr>
        <w:numPr>
          <w:ilvl w:val="0"/>
          <w:numId w:val="60"/>
        </w:numPr>
        <w:spacing w:before="60" w:after="60" w:line="288" w:lineRule="auto"/>
        <w:ind w:left="993" w:hanging="284"/>
        <w:jc w:val="both"/>
        <w:rPr>
          <w:rFonts w:cs="Arial"/>
          <w:lang w:bidi="uk-UA"/>
        </w:rPr>
      </w:pPr>
      <w:r>
        <w:rPr>
          <w:rFonts w:eastAsia="Calibri" w:cs="Arial"/>
          <w:lang w:val="uk-UA" w:eastAsia="uk-UA" w:bidi="uk-UA"/>
        </w:rPr>
        <w:t>Вибір технології для будівництва / реабілітації / розширення доріг з низькою виробництва пилу</w:t>
      </w:r>
      <w:r>
        <w:rPr>
          <w:rFonts w:cs="Arial"/>
          <w:lang w:bidi="uk-UA"/>
        </w:rPr>
        <w:t>;</w:t>
      </w:r>
    </w:p>
    <w:p w:rsidR="00642FB4" w:rsidRDefault="00642FB4">
      <w:pPr>
        <w:numPr>
          <w:ilvl w:val="0"/>
          <w:numId w:val="60"/>
        </w:numPr>
        <w:spacing w:before="60" w:after="60" w:line="288" w:lineRule="auto"/>
        <w:ind w:left="993" w:hanging="284"/>
        <w:jc w:val="both"/>
        <w:rPr>
          <w:rFonts w:cs="Arial"/>
          <w:lang w:bidi="uk-UA"/>
        </w:rPr>
      </w:pPr>
      <w:r>
        <w:rPr>
          <w:rFonts w:eastAsia="Calibri" w:cs="Arial"/>
          <w:lang w:val="uk-UA" w:eastAsia="uk-UA" w:bidi="uk-UA"/>
        </w:rPr>
        <w:t>Рішення для інфраструктури з тим, щоб уникнути забруднення грунту і води від нафти або інших будівельних матеріалів виробничого періоду;</w:t>
      </w:r>
    </w:p>
    <w:p w:rsidR="00642FB4" w:rsidRDefault="00642FB4">
      <w:pPr>
        <w:numPr>
          <w:ilvl w:val="0"/>
          <w:numId w:val="60"/>
        </w:numPr>
        <w:spacing w:before="60" w:after="60" w:line="288" w:lineRule="auto"/>
        <w:ind w:left="993" w:hanging="284"/>
        <w:jc w:val="both"/>
        <w:rPr>
          <w:rFonts w:cs="Arial"/>
          <w:lang w:bidi="uk-UA"/>
        </w:rPr>
      </w:pPr>
      <w:r>
        <w:rPr>
          <w:rFonts w:eastAsia="Calibri" w:cs="Arial"/>
          <w:lang w:val="uk-UA" w:eastAsia="uk-UA" w:bidi="uk-UA"/>
        </w:rPr>
        <w:t>Вибір маршрутів для нових доріг або частин доступу, які не впливають на флору і фауну та водних екосистем</w:t>
      </w:r>
      <w:r>
        <w:rPr>
          <w:rFonts w:cs="Arial"/>
          <w:lang w:bidi="uk-UA"/>
        </w:rPr>
        <w:t>;</w:t>
      </w:r>
    </w:p>
    <w:p w:rsidR="00642FB4" w:rsidRDefault="00642FB4">
      <w:pPr>
        <w:numPr>
          <w:ilvl w:val="0"/>
          <w:numId w:val="60"/>
        </w:numPr>
        <w:spacing w:before="60" w:after="60" w:line="288" w:lineRule="auto"/>
        <w:ind w:left="993" w:hanging="284"/>
        <w:jc w:val="both"/>
        <w:rPr>
          <w:rFonts w:cs="Arial"/>
          <w:lang w:bidi="uk-UA"/>
        </w:rPr>
      </w:pPr>
      <w:r>
        <w:rPr>
          <w:rFonts w:eastAsia="Calibri" w:cs="Arial"/>
          <w:lang w:val="uk-UA" w:eastAsia="uk-UA" w:bidi="uk-UA"/>
        </w:rPr>
        <w:t>Вибір нульовий викидів транспортних рішень</w:t>
      </w:r>
      <w:r>
        <w:rPr>
          <w:rFonts w:cs="Arial"/>
          <w:lang w:bidi="uk-UA"/>
        </w:rPr>
        <w:t>.</w:t>
      </w:r>
    </w:p>
    <w:p w:rsidR="00642FB4" w:rsidRDefault="00642FB4">
      <w:pPr>
        <w:spacing w:before="60" w:after="60" w:line="288" w:lineRule="auto"/>
        <w:ind w:left="993"/>
        <w:jc w:val="both"/>
        <w:rPr>
          <w:rFonts w:cs="Arial"/>
          <w:lang w:bidi="uk-UA"/>
        </w:rPr>
      </w:pPr>
    </w:p>
    <w:p w:rsidR="00642FB4" w:rsidRDefault="00642FB4">
      <w:pPr>
        <w:spacing w:before="60" w:after="60" w:line="288" w:lineRule="auto"/>
        <w:ind w:firstLine="709"/>
        <w:jc w:val="both"/>
        <w:rPr>
          <w:rFonts w:cs="Arial"/>
          <w:lang w:bidi="uk-UA"/>
        </w:rPr>
      </w:pPr>
      <w:r>
        <w:rPr>
          <w:rFonts w:eastAsia="Calibri" w:cs="Arial"/>
          <w:lang w:val="uk-UA" w:eastAsia="uk-UA" w:bidi="uk-UA"/>
        </w:rPr>
        <w:t>Тому що вплив інвестиційних проектів, що фінансуються в рамках програми на навколишнє середовище зведено до мінімуму, наскільки можливих інвестиційних проектів, що фінансуються в рамках програми, пов'язаної з водними ресурсами</w:t>
      </w:r>
      <w:r>
        <w:rPr>
          <w:rFonts w:cs="Arial"/>
          <w:lang w:bidi="uk-UA"/>
        </w:rPr>
        <w:t xml:space="preserve">, повинні отримати необхідні юридичні угоди, що реалізують проекти (Угода  адміністрації "Румунські води", відповідно </w:t>
      </w:r>
      <w:r>
        <w:rPr>
          <w:rFonts w:cs="Arial"/>
          <w:lang w:val="uk-UA" w:bidi="uk-UA"/>
        </w:rPr>
        <w:t>а</w:t>
      </w:r>
      <w:r>
        <w:rPr>
          <w:rFonts w:cs="Arial"/>
          <w:lang w:bidi="uk-UA"/>
        </w:rPr>
        <w:t xml:space="preserve">дміністрацій </w:t>
      </w:r>
      <w:r>
        <w:rPr>
          <w:rFonts w:eastAsia="Calibri" w:cs="Arial"/>
          <w:lang w:val="uk-UA" w:eastAsia="uk-UA" w:bidi="uk-UA"/>
        </w:rPr>
        <w:t>водосховища</w:t>
      </w:r>
      <w:r>
        <w:rPr>
          <w:rFonts w:cs="Arial"/>
          <w:lang w:bidi="uk-UA"/>
        </w:rPr>
        <w:t xml:space="preserve"> охоплення цих проектів, і по транскордонним водам і відповідні органи України).</w:t>
      </w:r>
    </w:p>
    <w:p w:rsidR="00642FB4" w:rsidRDefault="00642FB4">
      <w:pPr>
        <w:spacing w:before="60" w:after="60" w:line="288" w:lineRule="auto"/>
        <w:ind w:firstLine="709"/>
        <w:jc w:val="both"/>
        <w:rPr>
          <w:lang w:bidi="uk-UA"/>
        </w:rPr>
      </w:pPr>
    </w:p>
    <w:p w:rsidR="00642FB4" w:rsidRDefault="00642FB4">
      <w:pPr>
        <w:spacing w:before="60" w:after="60" w:line="288" w:lineRule="auto"/>
        <w:ind w:firstLine="709"/>
        <w:jc w:val="both"/>
        <w:rPr>
          <w:rFonts w:cs="Arial"/>
          <w:lang w:val="uk-UA" w:bidi="uk-UA"/>
        </w:rPr>
      </w:pPr>
      <w:r>
        <w:rPr>
          <w:rFonts w:eastAsia="Calibri" w:cs="Arial"/>
          <w:lang w:val="uk-UA" w:eastAsia="uk-UA" w:bidi="uk-UA"/>
        </w:rPr>
        <w:t>Для тих індикативних дій, які впливають на навколишнє середовище були запропоновані додаткові заходи щодо запобігання і скорочення можливого негативного впливу.</w:t>
      </w:r>
    </w:p>
    <w:p w:rsidR="00642FB4" w:rsidRDefault="00642FB4">
      <w:pPr>
        <w:spacing w:before="60" w:after="60" w:line="288" w:lineRule="auto"/>
        <w:ind w:firstLine="709"/>
        <w:jc w:val="both"/>
        <w:rPr>
          <w:lang w:bidi="uk-UA"/>
        </w:rPr>
      </w:pPr>
    </w:p>
    <w:p w:rsidR="00642FB4" w:rsidRDefault="00642FB4">
      <w:pPr>
        <w:ind w:firstLine="709"/>
        <w:jc w:val="both"/>
        <w:rPr>
          <w:lang w:bidi="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2"/>
        <w:gridCol w:w="45"/>
        <w:gridCol w:w="3345"/>
      </w:tblGrid>
      <w:tr w:rsidR="00642FB4">
        <w:tc>
          <w:tcPr>
            <w:tcW w:w="6832" w:type="dxa"/>
            <w:shd w:val="clear" w:color="auto" w:fill="auto"/>
            <w:vAlign w:val="center"/>
          </w:tcPr>
          <w:p w:rsidR="00642FB4" w:rsidRDefault="00642FB4">
            <w:pPr>
              <w:jc w:val="center"/>
              <w:rPr>
                <w:rFonts w:cs="Arial"/>
                <w:b/>
                <w:lang w:bidi="uk-UA"/>
              </w:rPr>
            </w:pPr>
            <w:r>
              <w:rPr>
                <w:rFonts w:eastAsia="Calibri" w:cs="Arial"/>
                <w:b/>
                <w:lang w:val="uk-UA" w:eastAsia="uk-UA" w:bidi="uk-UA"/>
              </w:rPr>
              <w:t>Орієнтовна Програма дій Ро-Укр</w:t>
            </w:r>
          </w:p>
        </w:tc>
        <w:tc>
          <w:tcPr>
            <w:tcW w:w="3410" w:type="dxa"/>
            <w:gridSpan w:val="2"/>
            <w:shd w:val="clear" w:color="auto" w:fill="auto"/>
            <w:vAlign w:val="center"/>
          </w:tcPr>
          <w:p w:rsidR="00642FB4" w:rsidRDefault="00642FB4">
            <w:pPr>
              <w:jc w:val="center"/>
              <w:rPr>
                <w:rFonts w:cs="Arial"/>
                <w:b/>
                <w:lang w:bidi="uk-UA"/>
              </w:rPr>
            </w:pPr>
            <w:r>
              <w:rPr>
                <w:rFonts w:eastAsia="Calibri" w:cs="Arial"/>
                <w:b/>
                <w:lang w:val="uk-UA" w:eastAsia="uk-UA" w:bidi="uk-UA"/>
              </w:rPr>
              <w:t>Заходи щодо запобігання і скорочення впливу</w:t>
            </w:r>
          </w:p>
        </w:tc>
      </w:tr>
      <w:tr w:rsidR="00642FB4">
        <w:tc>
          <w:tcPr>
            <w:tcW w:w="10242" w:type="dxa"/>
            <w:gridSpan w:val="3"/>
            <w:shd w:val="clear" w:color="auto" w:fill="auto"/>
          </w:tcPr>
          <w:p w:rsidR="00642FB4" w:rsidRDefault="00642FB4">
            <w:pPr>
              <w:jc w:val="both"/>
              <w:rPr>
                <w:rFonts w:cs="Arial"/>
                <w:b/>
                <w:lang w:bidi="uk-UA"/>
              </w:rPr>
            </w:pPr>
            <w:r>
              <w:rPr>
                <w:rFonts w:cs="Arial"/>
                <w:b/>
                <w:lang w:bidi="uk-UA"/>
              </w:rPr>
              <w:t xml:space="preserve">OT2 - </w:t>
            </w:r>
            <w:r>
              <w:rPr>
                <w:rFonts w:eastAsia="Calibri" w:cs="Arial"/>
                <w:b/>
                <w:lang w:val="uk-UA" w:eastAsia="uk-UA" w:bidi="uk-UA"/>
              </w:rPr>
              <w:t>Підтримка освіти, досліджень, розробок та інновацій</w:t>
            </w:r>
          </w:p>
          <w:p w:rsidR="00642FB4" w:rsidRDefault="00642FB4">
            <w:pPr>
              <w:jc w:val="both"/>
              <w:rPr>
                <w:rFonts w:cs="Arial"/>
                <w:b/>
                <w:lang w:bidi="uk-UA"/>
              </w:rPr>
            </w:pPr>
            <w:r>
              <w:rPr>
                <w:rFonts w:cs="Arial"/>
                <w:b/>
                <w:sz w:val="22"/>
                <w:szCs w:val="22"/>
                <w:lang w:val="uk-UA" w:bidi="uk-UA"/>
              </w:rPr>
              <w:t>мета</w:t>
            </w:r>
            <w:r>
              <w:rPr>
                <w:rFonts w:cs="Arial"/>
                <w:b/>
                <w:lang w:bidi="uk-UA"/>
              </w:rPr>
              <w:t xml:space="preserve"> 1: </w:t>
            </w:r>
            <w:r>
              <w:rPr>
                <w:rFonts w:eastAsia="Calibri" w:cs="Arial"/>
                <w:b/>
                <w:lang w:val="uk-UA" w:eastAsia="uk-UA" w:bidi="uk-UA"/>
              </w:rPr>
              <w:t>Розробка системи освіти та підтримку досліджень та інновацій в галузі програмного шляху сприяння співробітництву на місцевому, регіональному та центральному</w:t>
            </w:r>
          </w:p>
        </w:tc>
      </w:tr>
      <w:tr w:rsidR="00642FB4">
        <w:tc>
          <w:tcPr>
            <w:tcW w:w="10242" w:type="dxa"/>
            <w:gridSpan w:val="3"/>
            <w:shd w:val="clear" w:color="auto" w:fill="auto"/>
          </w:tcPr>
          <w:p w:rsidR="00642FB4" w:rsidRDefault="00642FB4">
            <w:pPr>
              <w:jc w:val="both"/>
              <w:rPr>
                <w:rFonts w:cs="Arial"/>
                <w:b/>
                <w:lang w:bidi="uk-UA"/>
              </w:rPr>
            </w:pPr>
            <w:r>
              <w:rPr>
                <w:rFonts w:eastAsia="Calibri" w:cs="Arial"/>
                <w:b/>
                <w:sz w:val="22"/>
                <w:szCs w:val="22"/>
                <w:lang w:val="uk-UA" w:eastAsia="uk-UA" w:bidi="uk-UA"/>
              </w:rPr>
              <w:t>першістю</w:t>
            </w:r>
            <w:r>
              <w:rPr>
                <w:rFonts w:cs="Arial"/>
                <w:b/>
                <w:i/>
                <w:lang w:bidi="uk-UA"/>
              </w:rPr>
              <w:t xml:space="preserve"> 1.</w:t>
            </w:r>
            <w:r>
              <w:rPr>
                <w:rFonts w:eastAsia="Calibri" w:cs="Arial"/>
                <w:bCs/>
                <w:kern w:val="32"/>
                <w:lang w:val="uk-UA" w:eastAsia="uk-UA" w:bidi="uk-UA"/>
              </w:rPr>
              <w:t xml:space="preserve"> </w:t>
            </w:r>
            <w:r>
              <w:rPr>
                <w:rFonts w:eastAsia="Calibri" w:cs="Arial"/>
                <w:b/>
                <w:lang w:val="uk-UA" w:eastAsia="uk-UA" w:bidi="uk-UA"/>
              </w:rPr>
              <w:t>Інституційна співпраця в галузі освіти з метою розширення доступу до освіти та якості освіти</w:t>
            </w:r>
          </w:p>
        </w:tc>
      </w:tr>
      <w:tr w:rsidR="00642FB4">
        <w:tc>
          <w:tcPr>
            <w:tcW w:w="6878" w:type="dxa"/>
            <w:gridSpan w:val="2"/>
            <w:shd w:val="clear" w:color="auto" w:fill="auto"/>
          </w:tcPr>
          <w:p w:rsidR="00642FB4" w:rsidRDefault="00642FB4">
            <w:pPr>
              <w:jc w:val="both"/>
              <w:rPr>
                <w:rFonts w:cs="Arial"/>
                <w:lang w:bidi="uk-UA"/>
              </w:rPr>
            </w:pPr>
            <w:r>
              <w:rPr>
                <w:rFonts w:eastAsia="Calibri" w:cs="Arial"/>
                <w:lang w:val="uk-UA" w:eastAsia="uk-UA" w:bidi="uk-UA"/>
              </w:rPr>
              <w:t>Реабілітація / модернізація / розширення / придбання обладнання для розвитку освітньої інфраструктури та забезпечення матеріальних передумов для процесу якісної освіти та підвищення участь в освітній</w:t>
            </w:r>
          </w:p>
        </w:tc>
        <w:tc>
          <w:tcPr>
            <w:tcW w:w="3364" w:type="dxa"/>
            <w:shd w:val="clear" w:color="auto" w:fill="auto"/>
          </w:tcPr>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низьке споживання електроенергії та / або тепла</w:t>
            </w:r>
            <w:r>
              <w:rPr>
                <w:rFonts w:cs="Arial"/>
                <w:lang w:bidi="uk-UA"/>
              </w:rPr>
              <w:t>;</w:t>
            </w:r>
          </w:p>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низькі витрати палива, сировини, небезпечних речовин</w:t>
            </w:r>
            <w:r>
              <w:rPr>
                <w:rFonts w:cs="Arial"/>
                <w:lang w:bidi="uk-UA"/>
              </w:rPr>
              <w:t>;</w:t>
            </w:r>
          </w:p>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обладнання з високої енергетичної ефективності</w:t>
            </w:r>
            <w:r>
              <w:rPr>
                <w:rFonts w:cs="Arial"/>
                <w:lang w:bidi="uk-UA"/>
              </w:rPr>
              <w:t>;</w:t>
            </w:r>
          </w:p>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мінімізація відходів</w:t>
            </w:r>
            <w:r>
              <w:rPr>
                <w:rFonts w:cs="Arial"/>
                <w:lang w:bidi="uk-UA"/>
              </w:rPr>
              <w:t>;</w:t>
            </w:r>
          </w:p>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забезпечення збору / сортування / переробки / утилізації відходів</w:t>
            </w:r>
            <w:r>
              <w:rPr>
                <w:rFonts w:cs="Arial"/>
                <w:lang w:bidi="uk-UA"/>
              </w:rPr>
              <w:t>.</w:t>
            </w:r>
          </w:p>
        </w:tc>
      </w:tr>
      <w:tr w:rsidR="00642FB4">
        <w:tc>
          <w:tcPr>
            <w:tcW w:w="10242" w:type="dxa"/>
            <w:gridSpan w:val="3"/>
            <w:shd w:val="clear" w:color="auto" w:fill="auto"/>
          </w:tcPr>
          <w:p w:rsidR="00642FB4" w:rsidRDefault="00642FB4">
            <w:pPr>
              <w:jc w:val="both"/>
              <w:rPr>
                <w:rFonts w:cs="Arial"/>
                <w:lang w:bidi="uk-UA"/>
              </w:rPr>
            </w:pPr>
            <w:r>
              <w:rPr>
                <w:rFonts w:eastAsia="Calibri" w:cs="Arial"/>
                <w:b/>
                <w:sz w:val="22"/>
                <w:szCs w:val="22"/>
                <w:lang w:val="uk-UA" w:eastAsia="uk-UA" w:bidi="uk-UA"/>
              </w:rPr>
              <w:t>першістю</w:t>
            </w:r>
            <w:r>
              <w:rPr>
                <w:rFonts w:cs="Arial"/>
                <w:i/>
                <w:lang w:bidi="uk-UA"/>
              </w:rPr>
              <w:t xml:space="preserve"> </w:t>
            </w:r>
            <w:r>
              <w:rPr>
                <w:rFonts w:cs="Arial"/>
                <w:b/>
                <w:i/>
                <w:lang w:bidi="uk-UA"/>
              </w:rPr>
              <w:t xml:space="preserve">1.2 </w:t>
            </w:r>
            <w:r>
              <w:rPr>
                <w:rFonts w:eastAsia="Calibri" w:cs="Arial"/>
                <w:b/>
                <w:lang w:val="uk-UA" w:eastAsia="uk-UA" w:bidi="uk-UA"/>
              </w:rPr>
              <w:t>Заохочення і підтримки досліджень та інновацій</w:t>
            </w:r>
          </w:p>
        </w:tc>
      </w:tr>
      <w:tr w:rsidR="00642FB4">
        <w:tc>
          <w:tcPr>
            <w:tcW w:w="6878" w:type="dxa"/>
            <w:gridSpan w:val="2"/>
            <w:shd w:val="clear" w:color="auto" w:fill="auto"/>
          </w:tcPr>
          <w:p w:rsidR="00642FB4" w:rsidRDefault="00642FB4">
            <w:pPr>
              <w:jc w:val="both"/>
              <w:rPr>
                <w:rFonts w:cs="Arial"/>
                <w:lang w:bidi="uk-UA"/>
              </w:rPr>
            </w:pPr>
            <w:r>
              <w:rPr>
                <w:rFonts w:eastAsia="Calibri" w:cs="Arial"/>
                <w:lang w:val="uk-UA" w:eastAsia="uk-UA" w:bidi="uk-UA"/>
              </w:rPr>
              <w:t>Заохочення і підтримки досліджень та інновацій через реабілітації / модернізації / розширення інфраструктури конкретного, в тому числі на придбання спеціального обладнання</w:t>
            </w:r>
          </w:p>
        </w:tc>
        <w:tc>
          <w:tcPr>
            <w:tcW w:w="3364" w:type="dxa"/>
            <w:shd w:val="clear" w:color="auto" w:fill="auto"/>
          </w:tcPr>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низьке споживання електроенергії та / або тепла</w:t>
            </w:r>
            <w:r>
              <w:rPr>
                <w:rFonts w:cs="Arial"/>
                <w:lang w:bidi="uk-UA"/>
              </w:rPr>
              <w:t>;</w:t>
            </w:r>
          </w:p>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низькі витрати палива, сировини, небезпечних речовин</w:t>
            </w:r>
            <w:r>
              <w:rPr>
                <w:rFonts w:cs="Arial"/>
                <w:lang w:bidi="uk-UA"/>
              </w:rPr>
              <w:t>;</w:t>
            </w:r>
          </w:p>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обладнання з високої енергетичної ефективності</w:t>
            </w:r>
            <w:r>
              <w:rPr>
                <w:rFonts w:cs="Arial"/>
                <w:lang w:bidi="uk-UA"/>
              </w:rPr>
              <w:t>.</w:t>
            </w:r>
          </w:p>
        </w:tc>
      </w:tr>
      <w:tr w:rsidR="00642FB4">
        <w:tc>
          <w:tcPr>
            <w:tcW w:w="10242" w:type="dxa"/>
            <w:gridSpan w:val="3"/>
            <w:shd w:val="clear" w:color="auto" w:fill="auto"/>
          </w:tcPr>
          <w:p w:rsidR="00642FB4" w:rsidRDefault="00642FB4">
            <w:pPr>
              <w:jc w:val="both"/>
              <w:rPr>
                <w:rFonts w:cs="Arial"/>
                <w:b/>
                <w:lang w:bidi="uk-UA"/>
              </w:rPr>
            </w:pPr>
            <w:r>
              <w:rPr>
                <w:rFonts w:cs="Arial"/>
                <w:b/>
                <w:lang w:bidi="uk-UA"/>
              </w:rPr>
              <w:t xml:space="preserve">OT3- </w:t>
            </w:r>
            <w:r>
              <w:rPr>
                <w:rFonts w:eastAsia="Calibri" w:cs="Arial"/>
                <w:lang w:val="uk-UA" w:eastAsia="uk-UA" w:bidi="uk-UA"/>
              </w:rPr>
              <w:t>Збереження і просування культурної та історичної патрімонії</w:t>
            </w:r>
          </w:p>
          <w:p w:rsidR="00642FB4" w:rsidRDefault="00642FB4">
            <w:pPr>
              <w:jc w:val="both"/>
              <w:rPr>
                <w:rFonts w:cs="Arial"/>
                <w:b/>
                <w:i/>
                <w:lang w:bidi="uk-UA"/>
              </w:rPr>
            </w:pPr>
            <w:r>
              <w:rPr>
                <w:rFonts w:cs="Arial"/>
                <w:b/>
                <w:lang w:val="uk-UA" w:bidi="uk-UA"/>
              </w:rPr>
              <w:t>мета</w:t>
            </w:r>
            <w:r>
              <w:rPr>
                <w:rFonts w:cs="Arial"/>
                <w:b/>
                <w:i/>
                <w:lang w:bidi="uk-UA"/>
              </w:rPr>
              <w:t xml:space="preserve"> 2: </w:t>
            </w:r>
            <w:r>
              <w:rPr>
                <w:rFonts w:cs="Arial"/>
                <w:lang w:bidi="uk-UA"/>
              </w:rPr>
              <w:t xml:space="preserve"> </w:t>
            </w:r>
            <w:r>
              <w:rPr>
                <w:rFonts w:eastAsia="Calibri" w:cs="Arial"/>
                <w:b/>
                <w:lang w:val="uk-UA" w:eastAsia="uk-UA" w:bidi="uk-UA"/>
              </w:rPr>
              <w:t>Збереження культурної та культурної патрімонії в відповідній території, підтримуючи розвиток місцевої культури конкретних культурної самобутності та культурного діалогу, сприяючи привабливості відповідній території</w:t>
            </w:r>
          </w:p>
          <w:p w:rsidR="00642FB4" w:rsidRDefault="00642FB4">
            <w:pPr>
              <w:jc w:val="both"/>
              <w:rPr>
                <w:rFonts w:cs="Arial"/>
                <w:lang w:bidi="uk-UA"/>
              </w:rPr>
            </w:pPr>
            <w:r>
              <w:rPr>
                <w:rFonts w:eastAsia="Calibri" w:cs="Arial"/>
                <w:b/>
                <w:sz w:val="22"/>
                <w:szCs w:val="22"/>
                <w:lang w:val="uk-UA" w:eastAsia="uk-UA" w:bidi="uk-UA"/>
              </w:rPr>
              <w:t>першістю</w:t>
            </w:r>
            <w:r>
              <w:rPr>
                <w:rFonts w:cs="Arial"/>
                <w:b/>
                <w:i/>
                <w:lang w:bidi="uk-UA"/>
              </w:rPr>
              <w:t xml:space="preserve"> 2.1 </w:t>
            </w:r>
            <w:r>
              <w:rPr>
                <w:rFonts w:eastAsia="Calibri" w:cs="Arial"/>
                <w:b/>
                <w:lang w:val="uk-UA" w:eastAsia="uk-UA" w:bidi="uk-UA"/>
              </w:rPr>
              <w:t>Збереження і просування культурної та історичної патрімонії</w:t>
            </w:r>
          </w:p>
        </w:tc>
      </w:tr>
      <w:tr w:rsidR="00642FB4">
        <w:tc>
          <w:tcPr>
            <w:tcW w:w="6878" w:type="dxa"/>
            <w:gridSpan w:val="2"/>
            <w:shd w:val="clear" w:color="auto" w:fill="auto"/>
          </w:tcPr>
          <w:p w:rsidR="00642FB4" w:rsidRDefault="00642FB4">
            <w:pPr>
              <w:jc w:val="both"/>
              <w:rPr>
                <w:rFonts w:cs="Arial"/>
                <w:lang w:eastAsia="uk-UA" w:bidi="uk-UA"/>
              </w:rPr>
            </w:pPr>
            <w:r>
              <w:rPr>
                <w:rFonts w:eastAsia="Calibri" w:cs="Arial"/>
                <w:lang w:val="uk-UA" w:eastAsia="uk-UA" w:bidi="uk-UA"/>
              </w:rPr>
              <w:t xml:space="preserve">Відновлення, збереження, зміцнення, захист, забезпечення культурних та історичних пам'яток (у тому числі пов'язаних з під'їзних шляхів), музеї, художні колекції та об'єкти та їх стратегії спільного просування </w:t>
            </w:r>
            <w:r>
              <w:rPr>
                <w:rFonts w:cs="Arial"/>
                <w:lang w:eastAsia="uk-UA" w:bidi="uk-UA"/>
              </w:rPr>
              <w:t>/</w:t>
            </w:r>
            <w:r>
              <w:rPr>
                <w:rFonts w:eastAsia="Calibri" w:cs="Arial"/>
                <w:b/>
                <w:bCs/>
                <w:lang w:val="uk-UA" w:eastAsia="uk-UA" w:bidi="uk-UA"/>
              </w:rPr>
              <w:t xml:space="preserve"> </w:t>
            </w:r>
            <w:r>
              <w:rPr>
                <w:rFonts w:eastAsia="Calibri" w:cs="Arial"/>
                <w:lang w:val="uk-UA" w:eastAsia="uk-UA" w:bidi="uk-UA"/>
              </w:rPr>
              <w:t>прикордонні поняття</w:t>
            </w:r>
          </w:p>
        </w:tc>
        <w:tc>
          <w:tcPr>
            <w:tcW w:w="3364" w:type="dxa"/>
            <w:shd w:val="clear" w:color="auto" w:fill="auto"/>
          </w:tcPr>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Точність положення щодо відновлення технологій, збереження</w:t>
            </w:r>
            <w:r>
              <w:rPr>
                <w:rFonts w:cs="Arial"/>
                <w:lang w:bidi="uk-UA"/>
              </w:rPr>
              <w:t>;</w:t>
            </w:r>
          </w:p>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Рішення, обрані не впливають видів флори, фауни та водних екосистем в районі</w:t>
            </w:r>
            <w:r>
              <w:rPr>
                <w:rFonts w:cs="Arial"/>
                <w:lang w:bidi="uk-UA"/>
              </w:rPr>
              <w:t>.</w:t>
            </w:r>
          </w:p>
        </w:tc>
      </w:tr>
      <w:tr w:rsidR="00642FB4">
        <w:tc>
          <w:tcPr>
            <w:tcW w:w="6878" w:type="dxa"/>
            <w:gridSpan w:val="2"/>
            <w:shd w:val="clear" w:color="auto" w:fill="auto"/>
          </w:tcPr>
          <w:p w:rsidR="00642FB4" w:rsidRDefault="00642FB4">
            <w:pPr>
              <w:jc w:val="both"/>
              <w:rPr>
                <w:rFonts w:cs="Arial"/>
                <w:lang w:eastAsia="uk-UA" w:bidi="uk-UA"/>
              </w:rPr>
            </w:pPr>
            <w:r>
              <w:rPr>
                <w:rFonts w:eastAsia="Calibri" w:cs="Arial"/>
                <w:lang w:val="uk-UA" w:eastAsia="uk-UA" w:bidi="uk-UA"/>
              </w:rPr>
              <w:t>Збереження, охорона та загальна капіталізація пам'ятники і історичні та культурні цінності</w:t>
            </w:r>
          </w:p>
        </w:tc>
        <w:tc>
          <w:tcPr>
            <w:tcW w:w="3364" w:type="dxa"/>
            <w:shd w:val="clear" w:color="auto" w:fill="auto"/>
          </w:tcPr>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Вибір відповідних технологій для збереження</w:t>
            </w:r>
            <w:r>
              <w:rPr>
                <w:rFonts w:cs="Arial"/>
                <w:lang w:bidi="uk-UA"/>
              </w:rPr>
              <w:t>;</w:t>
            </w:r>
          </w:p>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Шляхи відновлення патрімонії ураховувати щоб не впло флору,</w:t>
            </w:r>
            <w:r>
              <w:rPr>
                <w:rFonts w:cs="Arial"/>
                <w:lang w:bidi="uk-UA"/>
              </w:rPr>
              <w:t xml:space="preserve">, </w:t>
            </w:r>
            <w:r>
              <w:rPr>
                <w:rFonts w:eastAsia="Calibri" w:cs="Arial"/>
                <w:lang w:val="uk-UA" w:eastAsia="uk-UA" w:bidi="uk-UA"/>
              </w:rPr>
              <w:t>фауни та водних екосистем в районі</w:t>
            </w:r>
            <w:r>
              <w:rPr>
                <w:rFonts w:cs="Arial"/>
                <w:lang w:bidi="uk-UA"/>
              </w:rPr>
              <w:t>.</w:t>
            </w:r>
          </w:p>
        </w:tc>
      </w:tr>
      <w:tr w:rsidR="00642FB4">
        <w:tc>
          <w:tcPr>
            <w:tcW w:w="10242" w:type="dxa"/>
            <w:gridSpan w:val="3"/>
            <w:shd w:val="clear" w:color="auto" w:fill="auto"/>
          </w:tcPr>
          <w:p w:rsidR="00642FB4" w:rsidRDefault="00642FB4">
            <w:pPr>
              <w:jc w:val="both"/>
              <w:rPr>
                <w:rFonts w:cs="Arial"/>
                <w:b/>
                <w:lang w:bidi="uk-UA"/>
              </w:rPr>
            </w:pPr>
            <w:r>
              <w:rPr>
                <w:rFonts w:cs="Arial"/>
                <w:b/>
                <w:lang w:bidi="uk-UA"/>
              </w:rPr>
              <w:t xml:space="preserve">OT7 - </w:t>
            </w:r>
            <w:r>
              <w:rPr>
                <w:rFonts w:eastAsia="Calibri" w:cs="Arial"/>
                <w:b/>
                <w:lang w:val="uk-UA" w:eastAsia="uk-UA" w:bidi="uk-UA"/>
              </w:rPr>
              <w:t>Підвищити доступність в регіоні, і розвиток системи мережевої транспорт та зв'язку</w:t>
            </w:r>
          </w:p>
          <w:p w:rsidR="00642FB4" w:rsidRDefault="00642FB4">
            <w:pPr>
              <w:jc w:val="both"/>
              <w:rPr>
                <w:rFonts w:cs="Arial"/>
                <w:b/>
                <w:lang w:bidi="uk-UA"/>
              </w:rPr>
            </w:pPr>
            <w:r>
              <w:rPr>
                <w:rFonts w:cs="Arial"/>
                <w:b/>
                <w:lang w:val="uk-UA" w:bidi="uk-UA"/>
              </w:rPr>
              <w:t>мета</w:t>
            </w:r>
            <w:r>
              <w:rPr>
                <w:rFonts w:cs="Arial"/>
                <w:b/>
                <w:i/>
                <w:lang w:bidi="uk-UA"/>
              </w:rPr>
              <w:t xml:space="preserve"> 3</w:t>
            </w:r>
            <w:r>
              <w:rPr>
                <w:rFonts w:cs="Arial"/>
                <w:b/>
                <w:lang w:bidi="uk-UA"/>
              </w:rPr>
              <w:t xml:space="preserve">: </w:t>
            </w:r>
            <w:r>
              <w:rPr>
                <w:rFonts w:eastAsia="Calibri" w:cs="Arial"/>
                <w:b/>
                <w:lang w:val="uk-UA" w:eastAsia="uk-UA" w:bidi="uk-UA"/>
              </w:rPr>
              <w:t>Поліпшення послуг громадського транспорту, інфраструктури та співпраці та взаємодії ІКТ</w:t>
            </w:r>
          </w:p>
          <w:p w:rsidR="00642FB4" w:rsidRDefault="00642FB4">
            <w:pPr>
              <w:jc w:val="both"/>
              <w:rPr>
                <w:rFonts w:cs="Arial"/>
                <w:lang w:bidi="uk-UA"/>
              </w:rPr>
            </w:pPr>
            <w:r>
              <w:rPr>
                <w:rFonts w:eastAsia="Calibri" w:cs="Arial"/>
                <w:b/>
                <w:sz w:val="22"/>
                <w:szCs w:val="22"/>
                <w:lang w:val="uk-UA" w:eastAsia="uk-UA" w:bidi="uk-UA"/>
              </w:rPr>
              <w:t>першістю</w:t>
            </w:r>
            <w:r>
              <w:rPr>
                <w:rFonts w:cs="Arial"/>
                <w:b/>
                <w:i/>
                <w:lang w:bidi="uk-UA"/>
              </w:rPr>
              <w:t xml:space="preserve"> 3.</w:t>
            </w:r>
            <w:r>
              <w:rPr>
                <w:rFonts w:eastAsia="Calibri" w:cs="Arial"/>
                <w:bCs/>
                <w:kern w:val="32"/>
                <w:lang w:val="uk-UA" w:eastAsia="uk-UA" w:bidi="uk-UA"/>
              </w:rPr>
              <w:t xml:space="preserve"> </w:t>
            </w:r>
            <w:r>
              <w:rPr>
                <w:rFonts w:eastAsia="Calibri" w:cs="Arial"/>
                <w:b/>
                <w:lang w:val="uk-UA" w:eastAsia="uk-UA" w:bidi="uk-UA"/>
              </w:rPr>
              <w:t>розвиток транспортної інфраструктури та інфраструктури ІКТ</w:t>
            </w:r>
          </w:p>
        </w:tc>
      </w:tr>
      <w:tr w:rsidR="00642FB4">
        <w:tc>
          <w:tcPr>
            <w:tcW w:w="6878" w:type="dxa"/>
            <w:gridSpan w:val="2"/>
            <w:shd w:val="clear" w:color="auto" w:fill="auto"/>
          </w:tcPr>
          <w:p w:rsidR="00642FB4" w:rsidRDefault="00642FB4">
            <w:pPr>
              <w:jc w:val="both"/>
              <w:rPr>
                <w:rFonts w:cs="Arial"/>
                <w:lang w:eastAsia="uk-UA" w:bidi="uk-UA"/>
              </w:rPr>
            </w:pPr>
            <w:r>
              <w:rPr>
                <w:rFonts w:eastAsia="Calibri" w:cs="Arial"/>
                <w:lang w:val="uk-UA" w:eastAsia="uk-UA" w:bidi="uk-UA"/>
              </w:rPr>
              <w:t>Реконструкція, реабілітація, модернізація прикордонного транспорту</w:t>
            </w:r>
          </w:p>
        </w:tc>
        <w:tc>
          <w:tcPr>
            <w:tcW w:w="3364" w:type="dxa"/>
            <w:shd w:val="clear" w:color="auto" w:fill="auto"/>
          </w:tcPr>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вибір технологій зі зменшеною виробництва пилу</w:t>
            </w:r>
            <w:r>
              <w:rPr>
                <w:rFonts w:cs="Arial"/>
                <w:lang w:bidi="uk-UA"/>
              </w:rPr>
              <w:t>;</w:t>
            </w:r>
          </w:p>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рішення для інфраструктури з тим, щоб уникнути забруднення грунту і води від нафти або інших будівельних матеріалів виробничого періоду</w:t>
            </w:r>
            <w:r>
              <w:rPr>
                <w:rFonts w:cs="Arial"/>
                <w:lang w:bidi="uk-UA"/>
              </w:rPr>
              <w:t>;</w:t>
            </w:r>
          </w:p>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Вибір способів, які не ставлять під загрозу видів флори, фауни та водних екосистем</w:t>
            </w:r>
            <w:r>
              <w:rPr>
                <w:rFonts w:cs="Arial"/>
                <w:lang w:bidi="uk-UA"/>
              </w:rPr>
              <w:t>.</w:t>
            </w:r>
          </w:p>
        </w:tc>
      </w:tr>
      <w:tr w:rsidR="00642FB4">
        <w:tc>
          <w:tcPr>
            <w:tcW w:w="6878" w:type="dxa"/>
            <w:gridSpan w:val="2"/>
            <w:shd w:val="clear" w:color="auto" w:fill="auto"/>
          </w:tcPr>
          <w:p w:rsidR="00642FB4" w:rsidRDefault="00642FB4">
            <w:pPr>
              <w:jc w:val="both"/>
              <w:rPr>
                <w:rFonts w:cs="Arial"/>
                <w:lang w:eastAsia="uk-UA" w:bidi="uk-UA"/>
              </w:rPr>
            </w:pPr>
            <w:r>
              <w:rPr>
                <w:rFonts w:eastAsia="Calibri" w:cs="Arial"/>
                <w:lang w:val="uk-UA" w:eastAsia="uk-UA" w:bidi="uk-UA"/>
              </w:rPr>
              <w:t>Розробка екологічно чистих транспортних ініціатив та інноваційних рішень</w:t>
            </w:r>
          </w:p>
        </w:tc>
        <w:tc>
          <w:tcPr>
            <w:tcW w:w="3364" w:type="dxa"/>
            <w:shd w:val="clear" w:color="auto" w:fill="auto"/>
          </w:tcPr>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Зелені транспортні рішення (електричний, водень і т.д.)</w:t>
            </w:r>
          </w:p>
        </w:tc>
      </w:tr>
      <w:tr w:rsidR="00642FB4">
        <w:tc>
          <w:tcPr>
            <w:tcW w:w="6878" w:type="dxa"/>
            <w:gridSpan w:val="2"/>
            <w:shd w:val="clear" w:color="auto" w:fill="auto"/>
          </w:tcPr>
          <w:p w:rsidR="00642FB4" w:rsidRDefault="00642FB4">
            <w:pPr>
              <w:jc w:val="both"/>
              <w:rPr>
                <w:rFonts w:cs="Arial"/>
                <w:lang w:eastAsia="uk-UA" w:bidi="uk-UA"/>
              </w:rPr>
            </w:pPr>
            <w:r>
              <w:rPr>
                <w:rFonts w:eastAsia="Calibri" w:cs="Arial"/>
                <w:lang w:val="uk-UA" w:eastAsia="uk-UA" w:bidi="uk-UA"/>
              </w:rPr>
              <w:t>Оздоровчі заклади мультимодальні перевезення (дорога / вода) транскордонниї інтерес</w:t>
            </w:r>
          </w:p>
        </w:tc>
        <w:tc>
          <w:tcPr>
            <w:tcW w:w="3364" w:type="dxa"/>
            <w:shd w:val="clear" w:color="auto" w:fill="auto"/>
          </w:tcPr>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вибір транспортних рішень з нульовим рівнем викидів з мінімальним збитком для грунту, води, флори і фауни</w:t>
            </w:r>
          </w:p>
        </w:tc>
      </w:tr>
      <w:tr w:rsidR="00642FB4">
        <w:tc>
          <w:tcPr>
            <w:tcW w:w="6878" w:type="dxa"/>
            <w:gridSpan w:val="2"/>
            <w:shd w:val="clear" w:color="auto" w:fill="auto"/>
          </w:tcPr>
          <w:p w:rsidR="00642FB4" w:rsidRDefault="00642FB4">
            <w:pPr>
              <w:jc w:val="both"/>
              <w:rPr>
                <w:rFonts w:cs="Arial"/>
                <w:lang w:eastAsia="uk-UA" w:bidi="uk-UA"/>
              </w:rPr>
            </w:pPr>
            <w:r>
              <w:rPr>
                <w:rFonts w:eastAsia="Calibri" w:cs="Arial"/>
                <w:lang w:val="uk-UA" w:eastAsia="uk-UA" w:bidi="uk-UA"/>
              </w:rPr>
              <w:t>Реконструкція, реабілітація, розширення доріг або дорожніх межі сегментів, що з'єднують населені пункти вздовж головної дороги, що ведуть до кордону</w:t>
            </w:r>
          </w:p>
        </w:tc>
        <w:tc>
          <w:tcPr>
            <w:tcW w:w="3364" w:type="dxa"/>
            <w:shd w:val="clear" w:color="auto" w:fill="auto"/>
          </w:tcPr>
          <w:p w:rsidR="00642FB4" w:rsidRDefault="00642FB4">
            <w:pPr>
              <w:numPr>
                <w:ilvl w:val="0"/>
                <w:numId w:val="3"/>
              </w:numPr>
              <w:spacing w:after="200" w:line="276" w:lineRule="auto"/>
              <w:ind w:left="210" w:hanging="142"/>
              <w:jc w:val="both"/>
              <w:rPr>
                <w:rFonts w:cs="Arial"/>
                <w:lang w:bidi="uk-UA"/>
              </w:rPr>
            </w:pPr>
            <w:r>
              <w:rPr>
                <w:rFonts w:eastAsia="Calibri" w:cs="Arial"/>
                <w:lang w:val="uk-UA" w:eastAsia="uk-UA" w:bidi="uk-UA"/>
              </w:rPr>
              <w:t>вибір технологій зі зменшеною виробництва пилу</w:t>
            </w:r>
            <w:r>
              <w:rPr>
                <w:rFonts w:cs="Arial"/>
                <w:lang w:bidi="uk-UA"/>
              </w:rPr>
              <w:t>;</w:t>
            </w:r>
          </w:p>
          <w:p w:rsidR="00642FB4" w:rsidRDefault="00642FB4">
            <w:pPr>
              <w:numPr>
                <w:ilvl w:val="0"/>
                <w:numId w:val="3"/>
              </w:numPr>
              <w:spacing w:after="200" w:line="276" w:lineRule="auto"/>
              <w:ind w:left="210" w:hanging="142"/>
              <w:jc w:val="both"/>
              <w:rPr>
                <w:rFonts w:cs="Arial"/>
                <w:lang w:bidi="uk-UA"/>
              </w:rPr>
            </w:pPr>
            <w:r>
              <w:rPr>
                <w:rFonts w:eastAsia="Calibri" w:cs="Arial"/>
                <w:lang w:val="uk-UA" w:eastAsia="uk-UA" w:bidi="uk-UA"/>
              </w:rPr>
              <w:t>рішення для інфраструктури з тим, щоб уникнути забруднення грунту і води від нафти або інших будівельних матеріалів виробничого періоду</w:t>
            </w:r>
            <w:r>
              <w:rPr>
                <w:rFonts w:cs="Arial"/>
                <w:lang w:bidi="uk-UA"/>
              </w:rPr>
              <w:t>;</w:t>
            </w:r>
          </w:p>
          <w:p w:rsidR="00642FB4" w:rsidRDefault="00642FB4">
            <w:pPr>
              <w:numPr>
                <w:ilvl w:val="0"/>
                <w:numId w:val="3"/>
              </w:numPr>
              <w:spacing w:after="200" w:line="276" w:lineRule="auto"/>
              <w:ind w:left="210" w:hanging="142"/>
              <w:jc w:val="both"/>
              <w:rPr>
                <w:rFonts w:cs="Arial"/>
                <w:lang w:bidi="uk-UA"/>
              </w:rPr>
            </w:pPr>
            <w:r>
              <w:rPr>
                <w:rFonts w:eastAsia="Calibri" w:cs="Arial"/>
                <w:lang w:val="uk-UA" w:eastAsia="uk-UA" w:bidi="uk-UA"/>
              </w:rPr>
              <w:t>вибір маршрутів, які не впливають на види флори, фауни та водних екосистем</w:t>
            </w:r>
            <w:r>
              <w:rPr>
                <w:rFonts w:cs="Arial"/>
                <w:lang w:bidi="uk-UA"/>
              </w:rPr>
              <w:t>.</w:t>
            </w:r>
          </w:p>
        </w:tc>
      </w:tr>
      <w:tr w:rsidR="00642FB4">
        <w:tc>
          <w:tcPr>
            <w:tcW w:w="6878" w:type="dxa"/>
            <w:gridSpan w:val="2"/>
            <w:shd w:val="clear" w:color="auto" w:fill="auto"/>
          </w:tcPr>
          <w:p w:rsidR="00642FB4" w:rsidRDefault="00642FB4">
            <w:pPr>
              <w:jc w:val="both"/>
              <w:rPr>
                <w:rFonts w:cs="Arial"/>
                <w:lang w:eastAsia="uk-UA" w:bidi="uk-UA"/>
              </w:rPr>
            </w:pPr>
            <w:r>
              <w:rPr>
                <w:rFonts w:eastAsia="Calibri" w:cs="Arial"/>
                <w:lang w:val="uk-UA" w:eastAsia="uk-UA" w:bidi="uk-UA"/>
              </w:rPr>
              <w:t>Поліпшення / відновлення / будівництво доріг або дорожніх сегментів для доступу до транскордонних центрів</w:t>
            </w:r>
          </w:p>
        </w:tc>
        <w:tc>
          <w:tcPr>
            <w:tcW w:w="3364" w:type="dxa"/>
            <w:shd w:val="clear" w:color="auto" w:fill="auto"/>
          </w:tcPr>
          <w:p w:rsidR="00642FB4" w:rsidRDefault="00642FB4">
            <w:pPr>
              <w:numPr>
                <w:ilvl w:val="0"/>
                <w:numId w:val="3"/>
              </w:numPr>
              <w:spacing w:after="200" w:line="276" w:lineRule="auto"/>
              <w:ind w:left="210" w:hanging="142"/>
              <w:jc w:val="both"/>
              <w:rPr>
                <w:rFonts w:cs="Arial"/>
                <w:lang w:bidi="uk-UA"/>
              </w:rPr>
            </w:pPr>
            <w:r>
              <w:rPr>
                <w:rFonts w:eastAsia="Calibri" w:cs="Arial"/>
                <w:lang w:val="uk-UA" w:eastAsia="uk-UA" w:bidi="uk-UA"/>
              </w:rPr>
              <w:t xml:space="preserve">вибір технологій зі зменшеною виробництва пилу </w:t>
            </w:r>
          </w:p>
          <w:p w:rsidR="00642FB4" w:rsidRDefault="00642FB4">
            <w:pPr>
              <w:numPr>
                <w:ilvl w:val="0"/>
                <w:numId w:val="3"/>
              </w:numPr>
              <w:spacing w:after="200" w:line="276" w:lineRule="auto"/>
              <w:ind w:left="210" w:hanging="142"/>
              <w:jc w:val="both"/>
              <w:rPr>
                <w:rFonts w:cs="Arial"/>
                <w:lang w:bidi="uk-UA"/>
              </w:rPr>
            </w:pPr>
            <w:r>
              <w:rPr>
                <w:rFonts w:eastAsia="Calibri" w:cs="Arial"/>
                <w:lang w:val="uk-UA" w:eastAsia="uk-UA" w:bidi="uk-UA"/>
              </w:rPr>
              <w:t>рішення для інфраструктури з тим, щоб уникнути забруднення грунту і води від нафти або інших будівельних матеріалів виробничого періоду</w:t>
            </w:r>
            <w:r>
              <w:rPr>
                <w:rFonts w:cs="Arial"/>
                <w:lang w:bidi="uk-UA"/>
              </w:rPr>
              <w:t>;</w:t>
            </w:r>
          </w:p>
          <w:p w:rsidR="00642FB4" w:rsidRDefault="00642FB4">
            <w:pPr>
              <w:numPr>
                <w:ilvl w:val="0"/>
                <w:numId w:val="3"/>
              </w:numPr>
              <w:spacing w:after="200" w:line="276" w:lineRule="auto"/>
              <w:ind w:left="210" w:hanging="142"/>
              <w:jc w:val="both"/>
              <w:rPr>
                <w:rFonts w:cs="Arial"/>
                <w:lang w:bidi="uk-UA"/>
              </w:rPr>
            </w:pPr>
            <w:r>
              <w:rPr>
                <w:rFonts w:eastAsia="Calibri" w:cs="Arial"/>
                <w:lang w:val="uk-UA" w:eastAsia="uk-UA" w:bidi="uk-UA"/>
              </w:rPr>
              <w:t>виборі маршрутів, які не впливають на види флори, фауни та водних екосистем</w:t>
            </w:r>
            <w:r>
              <w:rPr>
                <w:rFonts w:cs="Arial"/>
                <w:lang w:bidi="uk-UA"/>
              </w:rPr>
              <w:t>.</w:t>
            </w:r>
          </w:p>
        </w:tc>
      </w:tr>
      <w:tr w:rsidR="00642FB4">
        <w:tc>
          <w:tcPr>
            <w:tcW w:w="10242" w:type="dxa"/>
            <w:gridSpan w:val="3"/>
            <w:shd w:val="clear" w:color="auto" w:fill="auto"/>
          </w:tcPr>
          <w:p w:rsidR="00642FB4" w:rsidRDefault="00642FB4">
            <w:pPr>
              <w:jc w:val="both"/>
              <w:rPr>
                <w:rFonts w:cs="Arial"/>
                <w:b/>
                <w:lang w:bidi="uk-UA"/>
              </w:rPr>
            </w:pPr>
            <w:r>
              <w:rPr>
                <w:rFonts w:cs="Arial"/>
                <w:b/>
                <w:lang w:bidi="uk-UA"/>
              </w:rPr>
              <w:t xml:space="preserve">OT8 - Загальні проблеми </w:t>
            </w:r>
            <w:r>
              <w:rPr>
                <w:rFonts w:eastAsia="Calibri" w:cs="Arial"/>
                <w:b/>
                <w:lang w:val="uk-UA" w:eastAsia="uk-UA" w:bidi="uk-UA"/>
              </w:rPr>
              <w:t>безпеки</w:t>
            </w:r>
          </w:p>
          <w:p w:rsidR="00642FB4" w:rsidRDefault="00642FB4">
            <w:pPr>
              <w:jc w:val="both"/>
              <w:rPr>
                <w:rFonts w:cs="Arial"/>
                <w:b/>
                <w:lang w:bidi="uk-UA"/>
              </w:rPr>
            </w:pPr>
            <w:r>
              <w:rPr>
                <w:rFonts w:cs="Arial"/>
                <w:b/>
                <w:lang w:val="uk-UA" w:bidi="uk-UA"/>
              </w:rPr>
              <w:t>мета</w:t>
            </w:r>
            <w:r>
              <w:rPr>
                <w:rFonts w:cs="Arial"/>
                <w:b/>
                <w:i/>
                <w:lang w:bidi="uk-UA"/>
              </w:rPr>
              <w:t xml:space="preserve"> l 4: </w:t>
            </w:r>
            <w:r>
              <w:rPr>
                <w:rFonts w:eastAsia="Calibri" w:cs="Arial"/>
                <w:b/>
                <w:lang w:val="uk-UA" w:eastAsia="uk-UA" w:bidi="uk-UA"/>
              </w:rPr>
              <w:t>Загальні проблеми безпеки на кордоні, доступ до охорони здоров'я, управління природними та антропогенних ризиків та надзвичайних ситуацій у спільних проектах</w:t>
            </w:r>
          </w:p>
        </w:tc>
      </w:tr>
      <w:tr w:rsidR="00642FB4">
        <w:tc>
          <w:tcPr>
            <w:tcW w:w="10242" w:type="dxa"/>
            <w:gridSpan w:val="3"/>
            <w:shd w:val="clear" w:color="auto" w:fill="auto"/>
          </w:tcPr>
          <w:p w:rsidR="00642FB4" w:rsidRDefault="00642FB4">
            <w:pPr>
              <w:jc w:val="both"/>
              <w:rPr>
                <w:rFonts w:cs="Arial"/>
                <w:b/>
                <w:lang w:bidi="uk-UA"/>
              </w:rPr>
            </w:pPr>
            <w:r>
              <w:rPr>
                <w:rFonts w:eastAsia="Calibri" w:cs="Arial"/>
                <w:b/>
                <w:sz w:val="22"/>
                <w:szCs w:val="22"/>
                <w:lang w:val="uk-UA" w:eastAsia="uk-UA" w:bidi="uk-UA"/>
              </w:rPr>
              <w:t>першістю</w:t>
            </w:r>
            <w:r>
              <w:rPr>
                <w:rFonts w:cs="Arial"/>
                <w:b/>
                <w:i/>
                <w:lang w:bidi="uk-UA"/>
              </w:rPr>
              <w:t xml:space="preserve"> 4.1 </w:t>
            </w:r>
            <w:r>
              <w:rPr>
                <w:rFonts w:eastAsia="Calibri" w:cs="Arial"/>
                <w:b/>
                <w:lang w:val="uk-UA" w:eastAsia="uk-UA" w:bidi="uk-UA"/>
              </w:rPr>
              <w:t>Підтримка розвитку медичних послуг та доступ до охорони здоров'я</w:t>
            </w:r>
          </w:p>
        </w:tc>
      </w:tr>
      <w:tr w:rsidR="00642FB4">
        <w:tc>
          <w:tcPr>
            <w:tcW w:w="6878" w:type="dxa"/>
            <w:gridSpan w:val="2"/>
            <w:shd w:val="clear" w:color="auto" w:fill="auto"/>
          </w:tcPr>
          <w:p w:rsidR="00642FB4" w:rsidRDefault="00642FB4">
            <w:pPr>
              <w:jc w:val="both"/>
              <w:rPr>
                <w:rFonts w:cs="Arial"/>
                <w:lang w:eastAsia="uk-UA" w:bidi="uk-UA"/>
              </w:rPr>
            </w:pPr>
            <w:r>
              <w:rPr>
                <w:rFonts w:eastAsia="Calibri" w:cs="Arial"/>
                <w:lang w:val="uk-UA" w:eastAsia="uk-UA" w:bidi="uk-UA"/>
              </w:rPr>
              <w:t>Спільні заходи, спрямовані на розширення доступу до охорони здоров'я в прикордонній зоні за допомогою будівництва / реабілітації / модернізації інфраструктури охорони здоров'я (у тому числі з використанням відновлюваних джерел енергії і т.д.)</w:t>
            </w:r>
          </w:p>
        </w:tc>
        <w:tc>
          <w:tcPr>
            <w:tcW w:w="3364" w:type="dxa"/>
            <w:shd w:val="clear" w:color="auto" w:fill="auto"/>
          </w:tcPr>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низьке споживання електроенергії та / або тепла</w:t>
            </w:r>
            <w:r>
              <w:rPr>
                <w:rFonts w:cs="Arial"/>
                <w:lang w:bidi="uk-UA"/>
              </w:rPr>
              <w:t>;</w:t>
            </w:r>
          </w:p>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низькі витрати палива, сировини, небезпечних речовин</w:t>
            </w:r>
            <w:r>
              <w:rPr>
                <w:rFonts w:cs="Arial"/>
                <w:lang w:bidi="uk-UA"/>
              </w:rPr>
              <w:t>;</w:t>
            </w:r>
          </w:p>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обладнання з високої енергетичної ефективності</w:t>
            </w:r>
            <w:r>
              <w:rPr>
                <w:rFonts w:cs="Arial"/>
                <w:lang w:bidi="uk-UA"/>
              </w:rPr>
              <w:t>;</w:t>
            </w:r>
          </w:p>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мінімізація відходів</w:t>
            </w:r>
            <w:r>
              <w:rPr>
                <w:rFonts w:cs="Arial"/>
                <w:lang w:bidi="uk-UA"/>
              </w:rPr>
              <w:t>;</w:t>
            </w:r>
          </w:p>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забезпечення збору / сортування / переробки / утилізації відходів</w:t>
            </w:r>
          </w:p>
        </w:tc>
      </w:tr>
      <w:tr w:rsidR="00642FB4">
        <w:tc>
          <w:tcPr>
            <w:tcW w:w="6878" w:type="dxa"/>
            <w:gridSpan w:val="2"/>
            <w:shd w:val="clear" w:color="auto" w:fill="auto"/>
          </w:tcPr>
          <w:p w:rsidR="00642FB4" w:rsidRDefault="00642FB4">
            <w:pPr>
              <w:jc w:val="both"/>
              <w:rPr>
                <w:rFonts w:cs="Arial"/>
                <w:lang w:eastAsia="uk-UA" w:bidi="uk-UA"/>
              </w:rPr>
            </w:pPr>
            <w:r>
              <w:rPr>
                <w:rFonts w:eastAsia="Calibri" w:cs="Arial"/>
                <w:lang w:val="uk-UA" w:eastAsia="uk-UA" w:bidi="uk-UA"/>
              </w:rPr>
              <w:t xml:space="preserve">Розвиток фіксованого та мобільного лабораторії для виявлення </w:t>
            </w:r>
            <w:r>
              <w:rPr>
                <w:rFonts w:cs="Arial"/>
                <w:lang w:eastAsia="uk-UA" w:bidi="uk-UA"/>
              </w:rPr>
              <w:t xml:space="preserve">/ </w:t>
            </w:r>
            <w:r>
              <w:rPr>
                <w:rFonts w:eastAsia="Calibri" w:cs="Arial"/>
                <w:lang w:val="uk-UA" w:eastAsia="uk-UA" w:bidi="uk-UA"/>
              </w:rPr>
              <w:t>Клінічні спостереження і спалаху хвороби, що перешкоджають кордону</w:t>
            </w:r>
          </w:p>
        </w:tc>
        <w:tc>
          <w:tcPr>
            <w:tcW w:w="3364" w:type="dxa"/>
            <w:shd w:val="clear" w:color="auto" w:fill="auto"/>
          </w:tcPr>
          <w:p w:rsidR="00642FB4" w:rsidRDefault="00642FB4">
            <w:pPr>
              <w:numPr>
                <w:ilvl w:val="0"/>
                <w:numId w:val="3"/>
              </w:numPr>
              <w:spacing w:after="200" w:line="276" w:lineRule="auto"/>
              <w:ind w:left="176" w:hanging="176"/>
              <w:jc w:val="both"/>
              <w:rPr>
                <w:rFonts w:cs="Arial"/>
                <w:lang w:bidi="uk-UA"/>
              </w:rPr>
            </w:pPr>
            <w:r>
              <w:rPr>
                <w:rFonts w:cs="Arial"/>
                <w:lang w:bidi="uk-UA"/>
              </w:rPr>
              <w:t>Вибір сучасного обладнання, с високою ефективністью</w:t>
            </w:r>
          </w:p>
        </w:tc>
      </w:tr>
      <w:tr w:rsidR="00642FB4">
        <w:tc>
          <w:tcPr>
            <w:tcW w:w="6878" w:type="dxa"/>
            <w:gridSpan w:val="2"/>
            <w:shd w:val="clear" w:color="auto" w:fill="auto"/>
          </w:tcPr>
          <w:p w:rsidR="00642FB4" w:rsidRDefault="00642FB4">
            <w:pPr>
              <w:jc w:val="both"/>
              <w:rPr>
                <w:rFonts w:cs="Arial"/>
                <w:lang w:eastAsia="uk-UA" w:bidi="uk-UA"/>
              </w:rPr>
            </w:pPr>
            <w:r>
              <w:rPr>
                <w:rFonts w:eastAsia="Calibri" w:cs="Arial"/>
                <w:lang w:val="uk-UA" w:eastAsia="uk-UA" w:bidi="uk-UA"/>
              </w:rPr>
              <w:t>Конкретні об'єкти інфраструктури охорони здоров'я (амбулаторні підрозділи, які отримують аварійні об'єкти, медичні центри, інтегрований соціальне втручання і т.д.)</w:t>
            </w:r>
          </w:p>
        </w:tc>
        <w:tc>
          <w:tcPr>
            <w:tcW w:w="3364" w:type="dxa"/>
            <w:shd w:val="clear" w:color="auto" w:fill="auto"/>
          </w:tcPr>
          <w:p w:rsidR="00642FB4" w:rsidRDefault="00642FB4">
            <w:pPr>
              <w:numPr>
                <w:ilvl w:val="0"/>
                <w:numId w:val="3"/>
              </w:numPr>
              <w:spacing w:after="200" w:line="276" w:lineRule="auto"/>
              <w:ind w:left="176" w:hanging="176"/>
              <w:jc w:val="both"/>
              <w:rPr>
                <w:rFonts w:cs="Arial"/>
                <w:lang w:bidi="uk-UA"/>
              </w:rPr>
            </w:pPr>
            <w:r>
              <w:rPr>
                <w:rFonts w:cs="Arial"/>
                <w:lang w:bidi="uk-UA"/>
              </w:rPr>
              <w:t>Вибір сучасного обладнання, с високою ефективністью</w:t>
            </w:r>
          </w:p>
        </w:tc>
      </w:tr>
      <w:tr w:rsidR="00642FB4">
        <w:tc>
          <w:tcPr>
            <w:tcW w:w="10242" w:type="dxa"/>
            <w:gridSpan w:val="3"/>
            <w:shd w:val="clear" w:color="auto" w:fill="auto"/>
          </w:tcPr>
          <w:p w:rsidR="00642FB4" w:rsidRDefault="00642FB4">
            <w:pPr>
              <w:jc w:val="both"/>
              <w:rPr>
                <w:rFonts w:cs="Arial"/>
                <w:lang w:bidi="uk-UA"/>
              </w:rPr>
            </w:pPr>
            <w:r>
              <w:rPr>
                <w:rFonts w:eastAsia="Calibri" w:cs="Arial"/>
                <w:b/>
                <w:sz w:val="22"/>
                <w:szCs w:val="22"/>
                <w:lang w:val="uk-UA" w:eastAsia="uk-UA" w:bidi="uk-UA"/>
              </w:rPr>
              <w:t>першістю</w:t>
            </w:r>
            <w:r>
              <w:rPr>
                <w:rFonts w:cs="Arial"/>
                <w:bCs/>
                <w:i/>
                <w:iCs/>
                <w:lang w:bidi="uk-UA"/>
              </w:rPr>
              <w:t xml:space="preserve"> </w:t>
            </w:r>
            <w:r>
              <w:rPr>
                <w:rFonts w:cs="Arial"/>
                <w:b/>
                <w:bCs/>
                <w:i/>
                <w:iCs/>
                <w:lang w:bidi="uk-UA"/>
              </w:rPr>
              <w:t xml:space="preserve">4.2 </w:t>
            </w:r>
            <w:r>
              <w:rPr>
                <w:rFonts w:eastAsia="Calibri" w:cs="Arial"/>
                <w:b/>
                <w:lang w:val="uk-UA" w:eastAsia="uk-UA" w:bidi="uk-UA"/>
              </w:rPr>
              <w:t>Підтримка спільних заходів щодо попередження природних і людських викликало і спільні заходи в надзвичайних ситуаціях</w:t>
            </w:r>
          </w:p>
        </w:tc>
      </w:tr>
      <w:tr w:rsidR="00642FB4">
        <w:tc>
          <w:tcPr>
            <w:tcW w:w="6878" w:type="dxa"/>
            <w:gridSpan w:val="2"/>
            <w:shd w:val="clear" w:color="auto" w:fill="auto"/>
          </w:tcPr>
          <w:p w:rsidR="00642FB4" w:rsidRDefault="00642FB4">
            <w:pPr>
              <w:jc w:val="both"/>
              <w:rPr>
                <w:rFonts w:cs="Arial"/>
                <w:lang w:eastAsia="uk-UA" w:bidi="uk-UA"/>
              </w:rPr>
            </w:pPr>
            <w:r>
              <w:rPr>
                <w:rFonts w:eastAsia="Calibri" w:cs="Arial"/>
                <w:lang w:val="uk-UA" w:eastAsia="uk-UA" w:bidi="uk-UA"/>
              </w:rPr>
              <w:t>Загальні заходи щодо запобігання зсувів і повеней в прикордонних районах</w:t>
            </w:r>
          </w:p>
        </w:tc>
        <w:tc>
          <w:tcPr>
            <w:tcW w:w="3364" w:type="dxa"/>
            <w:shd w:val="clear" w:color="auto" w:fill="auto"/>
          </w:tcPr>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Вибираючи екологичні рішення, з мінімальним впливом на площі</w:t>
            </w:r>
            <w:r>
              <w:rPr>
                <w:rFonts w:cs="Arial"/>
                <w:lang w:bidi="uk-UA"/>
              </w:rPr>
              <w:t>;</w:t>
            </w:r>
          </w:p>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мінімізація відходів</w:t>
            </w:r>
          </w:p>
        </w:tc>
      </w:tr>
      <w:tr w:rsidR="00642FB4">
        <w:tc>
          <w:tcPr>
            <w:tcW w:w="6878" w:type="dxa"/>
            <w:gridSpan w:val="2"/>
            <w:shd w:val="clear" w:color="auto" w:fill="auto"/>
          </w:tcPr>
          <w:p w:rsidR="00642FB4" w:rsidRDefault="00642FB4">
            <w:pPr>
              <w:jc w:val="both"/>
              <w:rPr>
                <w:rFonts w:cs="Arial"/>
                <w:lang w:eastAsia="uk-UA" w:bidi="uk-UA"/>
              </w:rPr>
            </w:pPr>
            <w:r>
              <w:rPr>
                <w:rFonts w:eastAsia="Calibri" w:cs="Arial"/>
                <w:lang w:val="uk-UA" w:eastAsia="uk-UA" w:bidi="uk-UA"/>
              </w:rPr>
              <w:t>Вбудований ефективним спільний моніторинг і попередження стихійних лих і пом'якшення наслідків</w:t>
            </w:r>
          </w:p>
        </w:tc>
        <w:tc>
          <w:tcPr>
            <w:tcW w:w="3364" w:type="dxa"/>
            <w:shd w:val="clear" w:color="auto" w:fill="auto"/>
          </w:tcPr>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Вибираючи екологичні рішення, з мінімальним впливом на площі;</w:t>
            </w:r>
          </w:p>
        </w:tc>
      </w:tr>
      <w:tr w:rsidR="00642FB4">
        <w:tc>
          <w:tcPr>
            <w:tcW w:w="6878" w:type="dxa"/>
            <w:gridSpan w:val="2"/>
            <w:shd w:val="clear" w:color="auto" w:fill="auto"/>
          </w:tcPr>
          <w:p w:rsidR="00642FB4" w:rsidRDefault="00642FB4">
            <w:pPr>
              <w:jc w:val="both"/>
              <w:rPr>
                <w:rFonts w:cs="Arial"/>
                <w:lang w:bidi="uk-UA"/>
              </w:rPr>
            </w:pPr>
            <w:r>
              <w:rPr>
                <w:rFonts w:cs="Arial"/>
                <w:bCs/>
                <w:lang w:bidi="uk-UA"/>
              </w:rPr>
              <w:t>Розробка загальноі мапи та детальну базу даних (із зазначенням природних і техногенних ризиків та землекористування для регіональних влад планування, природоохоронних відомств і екстрених служб)</w:t>
            </w:r>
          </w:p>
        </w:tc>
        <w:tc>
          <w:tcPr>
            <w:tcW w:w="3364" w:type="dxa"/>
            <w:shd w:val="clear" w:color="auto" w:fill="auto"/>
          </w:tcPr>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зважаючи на самі передові технології доцільно конкретних ситуаціях (аерокосмічної, радарів і т.д.)</w:t>
            </w:r>
          </w:p>
        </w:tc>
      </w:tr>
      <w:tr w:rsidR="00642FB4">
        <w:tc>
          <w:tcPr>
            <w:tcW w:w="6878" w:type="dxa"/>
            <w:gridSpan w:val="2"/>
            <w:shd w:val="clear" w:color="auto" w:fill="auto"/>
          </w:tcPr>
          <w:p w:rsidR="00642FB4" w:rsidRDefault="00642FB4">
            <w:pPr>
              <w:jc w:val="both"/>
              <w:rPr>
                <w:rFonts w:cs="Arial"/>
                <w:bCs/>
                <w:lang w:bidi="uk-UA"/>
              </w:rPr>
            </w:pPr>
            <w:r>
              <w:rPr>
                <w:rFonts w:eastAsia="Calibri" w:cs="Arial"/>
                <w:lang w:val="uk-UA" w:eastAsia="uk-UA" w:bidi="uk-UA"/>
              </w:rPr>
              <w:t>Інвестиції та розвиток загальних систем інтегрованої аварійної управління</w:t>
            </w:r>
          </w:p>
        </w:tc>
        <w:tc>
          <w:tcPr>
            <w:tcW w:w="3364" w:type="dxa"/>
            <w:shd w:val="clear" w:color="auto" w:fill="auto"/>
          </w:tcPr>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низьке споживання електроенергії та / або тепла</w:t>
            </w:r>
            <w:r>
              <w:rPr>
                <w:rFonts w:cs="Arial"/>
                <w:lang w:bidi="uk-UA"/>
              </w:rPr>
              <w:t>;</w:t>
            </w:r>
          </w:p>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низькі витрати палива, сировини, небезпечних речовин</w:t>
            </w:r>
            <w:r>
              <w:rPr>
                <w:rFonts w:cs="Arial"/>
                <w:lang w:bidi="uk-UA"/>
              </w:rPr>
              <w:t>;</w:t>
            </w:r>
          </w:p>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обладнання з високої енергетичної ефективності</w:t>
            </w:r>
            <w:r>
              <w:rPr>
                <w:rFonts w:cs="Arial"/>
                <w:lang w:bidi="uk-UA"/>
              </w:rPr>
              <w:t>;</w:t>
            </w:r>
          </w:p>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мінімізація відходів</w:t>
            </w:r>
            <w:r>
              <w:rPr>
                <w:rFonts w:cs="Arial"/>
                <w:lang w:bidi="uk-UA"/>
              </w:rPr>
              <w:t>;</w:t>
            </w:r>
          </w:p>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забезпечення збору / сортування / переробки / утилізації відходів</w:t>
            </w:r>
            <w:r>
              <w:rPr>
                <w:rFonts w:cs="Arial"/>
                <w:lang w:bidi="uk-UA"/>
              </w:rPr>
              <w:t>.</w:t>
            </w:r>
          </w:p>
        </w:tc>
      </w:tr>
      <w:tr w:rsidR="00642FB4">
        <w:tc>
          <w:tcPr>
            <w:tcW w:w="10242" w:type="dxa"/>
            <w:gridSpan w:val="3"/>
            <w:shd w:val="clear" w:color="auto" w:fill="auto"/>
          </w:tcPr>
          <w:p w:rsidR="00642FB4" w:rsidRDefault="00642FB4">
            <w:pPr>
              <w:jc w:val="both"/>
              <w:rPr>
                <w:rFonts w:cs="Arial"/>
                <w:b/>
                <w:lang w:bidi="uk-UA"/>
              </w:rPr>
            </w:pPr>
            <w:r>
              <w:rPr>
                <w:rFonts w:eastAsia="Calibri" w:cs="Arial"/>
                <w:b/>
                <w:sz w:val="22"/>
                <w:szCs w:val="22"/>
                <w:lang w:val="uk-UA" w:eastAsia="uk-UA" w:bidi="uk-UA"/>
              </w:rPr>
              <w:t>першістю</w:t>
            </w:r>
            <w:r>
              <w:rPr>
                <w:rFonts w:cs="Arial"/>
                <w:b/>
                <w:i/>
                <w:lang w:bidi="uk-UA"/>
              </w:rPr>
              <w:t xml:space="preserve"> 4.3 </w:t>
            </w:r>
            <w:r>
              <w:rPr>
                <w:rFonts w:eastAsia="Calibri" w:cs="Arial"/>
                <w:b/>
                <w:lang w:val="uk-UA" w:eastAsia="uk-UA" w:bidi="uk-UA"/>
              </w:rPr>
              <w:t>Профілактика та боротьба з організованою злочинністю і поліцейського співробітництва</w:t>
            </w:r>
          </w:p>
        </w:tc>
      </w:tr>
      <w:tr w:rsidR="00642FB4">
        <w:tc>
          <w:tcPr>
            <w:tcW w:w="6878" w:type="dxa"/>
            <w:gridSpan w:val="2"/>
            <w:shd w:val="clear" w:color="auto" w:fill="auto"/>
          </w:tcPr>
          <w:p w:rsidR="00642FB4" w:rsidRDefault="00642FB4">
            <w:pPr>
              <w:jc w:val="both"/>
              <w:rPr>
                <w:rFonts w:cs="Arial"/>
                <w:lang w:eastAsia="uk-UA" w:bidi="uk-UA"/>
              </w:rPr>
            </w:pPr>
            <w:r>
              <w:rPr>
                <w:rFonts w:eastAsia="Calibri" w:cs="Arial"/>
                <w:lang w:val="uk-UA" w:eastAsia="uk-UA" w:bidi="uk-UA"/>
              </w:rPr>
              <w:t>Інвестиції в будівництво, реконструкцію або модернізацію інфраструктури та прикордонних поліцейських та інших суміжних будівель</w:t>
            </w:r>
          </w:p>
        </w:tc>
        <w:tc>
          <w:tcPr>
            <w:tcW w:w="3364" w:type="dxa"/>
            <w:shd w:val="clear" w:color="auto" w:fill="auto"/>
          </w:tcPr>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низьке споживання електроенергії та / або тепла</w:t>
            </w:r>
            <w:r>
              <w:rPr>
                <w:rFonts w:cs="Arial"/>
                <w:lang w:bidi="uk-UA"/>
              </w:rPr>
              <w:t>;</w:t>
            </w:r>
          </w:p>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низькі витрати палива, сировини, небезпечних речовин</w:t>
            </w:r>
            <w:r>
              <w:rPr>
                <w:rFonts w:cs="Arial"/>
                <w:lang w:bidi="uk-UA"/>
              </w:rPr>
              <w:t>;</w:t>
            </w:r>
          </w:p>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обладнання з високої енергетичної ефективності.</w:t>
            </w:r>
          </w:p>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мінімізація відходів</w:t>
            </w:r>
            <w:r>
              <w:rPr>
                <w:rFonts w:cs="Arial"/>
                <w:lang w:bidi="uk-UA"/>
              </w:rPr>
              <w:t>;</w:t>
            </w:r>
          </w:p>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забезпечення збору / сортування / переробки / утилізації відходів</w:t>
            </w:r>
            <w:r>
              <w:rPr>
                <w:rFonts w:cs="Arial"/>
                <w:lang w:bidi="uk-UA"/>
              </w:rPr>
              <w:t>.</w:t>
            </w:r>
          </w:p>
        </w:tc>
      </w:tr>
      <w:tr w:rsidR="00642FB4">
        <w:tc>
          <w:tcPr>
            <w:tcW w:w="6878" w:type="dxa"/>
            <w:gridSpan w:val="2"/>
            <w:shd w:val="clear" w:color="auto" w:fill="auto"/>
          </w:tcPr>
          <w:p w:rsidR="00642FB4" w:rsidRDefault="00642FB4">
            <w:pPr>
              <w:jc w:val="both"/>
              <w:rPr>
                <w:rFonts w:cs="Arial"/>
                <w:lang w:eastAsia="uk-UA" w:bidi="uk-UA"/>
              </w:rPr>
            </w:pPr>
            <w:r>
              <w:rPr>
                <w:rFonts w:eastAsia="Calibri" w:cs="Arial"/>
                <w:lang w:val="uk-UA" w:eastAsia="uk-UA" w:bidi="uk-UA"/>
              </w:rPr>
              <w:t>Інвестиції в устаткування і конкретні об'єкти діючого бізнесу в поліції / митниці / прикордонний поліцейський / жандармерії (наприклад, лабораторне обладнання, інструменти виявлення, апаратного та програмного забезпечення, транспортних засобів)</w:t>
            </w:r>
          </w:p>
        </w:tc>
        <w:tc>
          <w:tcPr>
            <w:tcW w:w="3364" w:type="dxa"/>
            <w:shd w:val="clear" w:color="auto" w:fill="auto"/>
          </w:tcPr>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низьке споживання електроенергії та / або тепла</w:t>
            </w:r>
            <w:r>
              <w:rPr>
                <w:rFonts w:cs="Arial"/>
                <w:lang w:bidi="uk-UA"/>
              </w:rPr>
              <w:t>;</w:t>
            </w:r>
          </w:p>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низькі витрати палива, сировини, небезпечних речовин</w:t>
            </w:r>
            <w:r>
              <w:rPr>
                <w:rFonts w:cs="Arial"/>
                <w:lang w:bidi="uk-UA"/>
              </w:rPr>
              <w:t>;</w:t>
            </w:r>
          </w:p>
          <w:p w:rsidR="00642FB4" w:rsidRDefault="00642FB4">
            <w:pPr>
              <w:numPr>
                <w:ilvl w:val="0"/>
                <w:numId w:val="3"/>
              </w:numPr>
              <w:spacing w:after="200" w:line="276" w:lineRule="auto"/>
              <w:ind w:left="176" w:hanging="176"/>
              <w:jc w:val="both"/>
              <w:rPr>
                <w:rFonts w:cs="Arial"/>
                <w:lang w:bidi="uk-UA"/>
              </w:rPr>
            </w:pPr>
            <w:r>
              <w:rPr>
                <w:rFonts w:eastAsia="Calibri" w:cs="Arial"/>
                <w:lang w:val="uk-UA" w:eastAsia="uk-UA" w:bidi="uk-UA"/>
              </w:rPr>
              <w:t>обладнання з високої енергетичної ефективності.</w:t>
            </w:r>
          </w:p>
        </w:tc>
      </w:tr>
      <w:tr w:rsidR="00642FB4">
        <w:tc>
          <w:tcPr>
            <w:tcW w:w="10242" w:type="dxa"/>
            <w:gridSpan w:val="3"/>
            <w:shd w:val="clear" w:color="auto" w:fill="auto"/>
          </w:tcPr>
          <w:p w:rsidR="00642FB4" w:rsidRDefault="00642FB4">
            <w:pPr>
              <w:jc w:val="both"/>
              <w:rPr>
                <w:rFonts w:cs="Arial"/>
                <w:b/>
                <w:lang w:bidi="uk-UA"/>
              </w:rPr>
            </w:pPr>
            <w:r>
              <w:rPr>
                <w:rFonts w:eastAsia="Calibri" w:cs="Arial"/>
                <w:lang w:val="uk-UA" w:eastAsia="uk-UA" w:bidi="uk-UA"/>
              </w:rPr>
              <w:t>Великі інфраструктурні проекти</w:t>
            </w:r>
          </w:p>
        </w:tc>
      </w:tr>
      <w:tr w:rsidR="00642FB4">
        <w:tc>
          <w:tcPr>
            <w:tcW w:w="6878" w:type="dxa"/>
            <w:gridSpan w:val="2"/>
            <w:shd w:val="clear" w:color="auto" w:fill="auto"/>
          </w:tcPr>
          <w:p w:rsidR="00642FB4" w:rsidRDefault="00642FB4">
            <w:pPr>
              <w:jc w:val="both"/>
              <w:rPr>
                <w:rFonts w:cs="Arial"/>
                <w:lang w:bidi="uk-UA"/>
              </w:rPr>
            </w:pPr>
            <w:r>
              <w:rPr>
                <w:rFonts w:cs="Arial"/>
                <w:lang w:val="uk-UA" w:bidi="uk-UA"/>
              </w:rPr>
              <w:t>“</w:t>
            </w:r>
            <w:r>
              <w:rPr>
                <w:rFonts w:eastAsia="Calibri" w:cs="Arial"/>
                <w:lang w:val="uk-UA" w:eastAsia="uk-UA" w:bidi="uk-UA"/>
              </w:rPr>
              <w:t>Річка чиста "- Дунай</w:t>
            </w:r>
          </w:p>
        </w:tc>
        <w:tc>
          <w:tcPr>
            <w:tcW w:w="3364" w:type="dxa"/>
            <w:shd w:val="clear" w:color="auto" w:fill="auto"/>
          </w:tcPr>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 xml:space="preserve">Використання реабілітаційних технологій з мінімальним впливом на грунт і флори, фауни і екосистем </w:t>
            </w:r>
          </w:p>
        </w:tc>
      </w:tr>
      <w:tr w:rsidR="00642FB4">
        <w:tc>
          <w:tcPr>
            <w:tcW w:w="6878" w:type="dxa"/>
            <w:gridSpan w:val="2"/>
            <w:shd w:val="clear" w:color="auto" w:fill="auto"/>
          </w:tcPr>
          <w:p w:rsidR="00642FB4" w:rsidRDefault="00642FB4">
            <w:pPr>
              <w:jc w:val="both"/>
              <w:rPr>
                <w:rFonts w:cs="Arial"/>
                <w:lang w:bidi="uk-UA"/>
              </w:rPr>
            </w:pPr>
            <w:r>
              <w:rPr>
                <w:rFonts w:eastAsia="Calibri" w:cs="Arial"/>
                <w:lang w:val="uk-UA" w:eastAsia="uk-UA" w:bidi="uk-UA"/>
              </w:rPr>
              <w:t>Поліпшення транскордонної інфраструктури - шлюз в Європу</w:t>
            </w:r>
          </w:p>
        </w:tc>
        <w:tc>
          <w:tcPr>
            <w:tcW w:w="3364" w:type="dxa"/>
            <w:shd w:val="clear" w:color="auto" w:fill="auto"/>
          </w:tcPr>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Низьке енергоспоживання і / або тепла</w:t>
            </w:r>
            <w:r>
              <w:rPr>
                <w:rFonts w:cs="Arial"/>
                <w:lang w:bidi="uk-UA"/>
              </w:rPr>
              <w:t>;</w:t>
            </w:r>
          </w:p>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Низька витрата палива, сировини, небезпечних речовин</w:t>
            </w:r>
            <w:r>
              <w:rPr>
                <w:rFonts w:cs="Arial"/>
                <w:lang w:bidi="uk-UA"/>
              </w:rPr>
              <w:t>;</w:t>
            </w:r>
          </w:p>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Мінімізація відходів</w:t>
            </w:r>
            <w:r>
              <w:rPr>
                <w:rFonts w:cs="Arial"/>
                <w:lang w:bidi="uk-UA"/>
              </w:rPr>
              <w:t>;</w:t>
            </w:r>
          </w:p>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Забезпечення збору / сортування / переробки / утилізації відходів.</w:t>
            </w:r>
          </w:p>
        </w:tc>
      </w:tr>
      <w:tr w:rsidR="00642FB4">
        <w:tc>
          <w:tcPr>
            <w:tcW w:w="6878" w:type="dxa"/>
            <w:gridSpan w:val="2"/>
            <w:shd w:val="clear" w:color="auto" w:fill="auto"/>
          </w:tcPr>
          <w:p w:rsidR="00642FB4" w:rsidRDefault="00642FB4">
            <w:pPr>
              <w:jc w:val="both"/>
              <w:rPr>
                <w:rFonts w:cs="Arial"/>
                <w:lang w:bidi="uk-UA"/>
              </w:rPr>
            </w:pPr>
            <w:r>
              <w:rPr>
                <w:rFonts w:eastAsia="Calibri" w:cs="Arial"/>
                <w:lang w:val="uk-UA" w:eastAsia="uk-UA" w:bidi="uk-UA"/>
              </w:rPr>
              <w:t>Регіональне співробітництво в галузі попередження та боротьби з транскордонною злочинністю між Румунією та Україною</w:t>
            </w:r>
          </w:p>
        </w:tc>
        <w:tc>
          <w:tcPr>
            <w:tcW w:w="3364" w:type="dxa"/>
            <w:shd w:val="clear" w:color="auto" w:fill="auto"/>
          </w:tcPr>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Низьке енергоспоживання і / або тепла</w:t>
            </w:r>
            <w:r>
              <w:rPr>
                <w:rFonts w:cs="Arial"/>
                <w:lang w:bidi="uk-UA"/>
              </w:rPr>
              <w:t>;</w:t>
            </w:r>
          </w:p>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Низька витрата палива, сировини, небезпечних речовин</w:t>
            </w:r>
            <w:r>
              <w:rPr>
                <w:rFonts w:cs="Arial"/>
                <w:lang w:bidi="uk-UA"/>
              </w:rPr>
              <w:t>;</w:t>
            </w:r>
          </w:p>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Мінімізація відходів</w:t>
            </w:r>
            <w:r>
              <w:rPr>
                <w:rFonts w:cs="Arial"/>
                <w:lang w:bidi="uk-UA"/>
              </w:rPr>
              <w:t>;</w:t>
            </w:r>
          </w:p>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Забезпечення збору / сортування / переробки / утилізації відходів</w:t>
            </w:r>
            <w:r>
              <w:rPr>
                <w:rFonts w:cs="Arial"/>
                <w:lang w:bidi="uk-UA"/>
              </w:rPr>
              <w:t>.</w:t>
            </w:r>
          </w:p>
        </w:tc>
      </w:tr>
      <w:tr w:rsidR="00642FB4">
        <w:tc>
          <w:tcPr>
            <w:tcW w:w="6878" w:type="dxa"/>
            <w:gridSpan w:val="2"/>
            <w:shd w:val="clear" w:color="auto" w:fill="auto"/>
          </w:tcPr>
          <w:p w:rsidR="00642FB4" w:rsidRDefault="00642FB4">
            <w:pPr>
              <w:jc w:val="both"/>
              <w:rPr>
                <w:rFonts w:cs="Arial"/>
                <w:lang w:bidi="uk-UA"/>
              </w:rPr>
            </w:pPr>
            <w:r>
              <w:rPr>
                <w:rFonts w:eastAsia="Calibri" w:cs="Arial"/>
                <w:lang w:val="uk-UA" w:eastAsia="uk-UA" w:bidi="uk-UA"/>
              </w:rPr>
              <w:t>Підвищення громадської безпеки та рівень безпеки кордону за допомогою спільного навчання та заходів щодо поліпшення співпраці у ліквідації наслідків надзвичайних ситуацій</w:t>
            </w:r>
          </w:p>
        </w:tc>
        <w:tc>
          <w:tcPr>
            <w:tcW w:w="3364" w:type="dxa"/>
            <w:shd w:val="clear" w:color="auto" w:fill="auto"/>
          </w:tcPr>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Низьке енергоспоживання і / або тепла</w:t>
            </w:r>
            <w:r>
              <w:rPr>
                <w:rFonts w:cs="Arial"/>
                <w:lang w:bidi="uk-UA"/>
              </w:rPr>
              <w:t>;</w:t>
            </w:r>
          </w:p>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Низька витрата палива, сировини, небезпечних речовин</w:t>
            </w:r>
            <w:r>
              <w:rPr>
                <w:rFonts w:cs="Arial"/>
                <w:lang w:bidi="uk-UA"/>
              </w:rPr>
              <w:t>;</w:t>
            </w:r>
          </w:p>
          <w:p w:rsidR="00642FB4" w:rsidRDefault="00642FB4">
            <w:pPr>
              <w:numPr>
                <w:ilvl w:val="0"/>
                <w:numId w:val="3"/>
              </w:numPr>
              <w:spacing w:after="200" w:line="276" w:lineRule="auto"/>
              <w:ind w:left="176" w:hanging="142"/>
              <w:jc w:val="both"/>
              <w:rPr>
                <w:rFonts w:cs="Arial"/>
                <w:lang w:bidi="uk-UA"/>
              </w:rPr>
            </w:pPr>
            <w:r>
              <w:rPr>
                <w:rFonts w:eastAsia="Calibri" w:cs="Arial"/>
                <w:lang w:val="uk-UA" w:eastAsia="uk-UA" w:bidi="uk-UA"/>
              </w:rPr>
              <w:t>Обладнання з високої енергетичної ефективності</w:t>
            </w:r>
            <w:r>
              <w:rPr>
                <w:rFonts w:cs="Arial"/>
                <w:lang w:bidi="uk-UA"/>
              </w:rPr>
              <w:t>.</w:t>
            </w:r>
          </w:p>
        </w:tc>
      </w:tr>
    </w:tbl>
    <w:p w:rsidR="00642FB4" w:rsidRDefault="00642FB4">
      <w:pPr>
        <w:autoSpaceDE w:val="0"/>
        <w:autoSpaceDN w:val="0"/>
        <w:adjustRightInd w:val="0"/>
        <w:spacing w:before="60" w:after="60" w:line="288" w:lineRule="auto"/>
        <w:ind w:firstLine="720"/>
        <w:contextualSpacing/>
        <w:jc w:val="both"/>
        <w:rPr>
          <w:rFonts w:eastAsia="EUAlbertina-Regular-Identity-H" w:cs="Arial"/>
          <w:lang w:eastAsia="uk-UA" w:bidi="uk-UA"/>
        </w:rPr>
      </w:pPr>
    </w:p>
    <w:p w:rsidR="00642FB4" w:rsidRDefault="00642FB4">
      <w:pPr>
        <w:spacing w:after="200" w:line="276" w:lineRule="auto"/>
        <w:rPr>
          <w:rFonts w:eastAsia="Calibri" w:cs="Arial"/>
          <w:lang w:val="ru-RU" w:eastAsia="uk-UA" w:bidi="uk-UA"/>
        </w:rPr>
      </w:pPr>
    </w:p>
    <w:p w:rsidR="00642FB4" w:rsidRDefault="00642FB4">
      <w:pPr>
        <w:spacing w:after="200" w:line="276" w:lineRule="auto"/>
        <w:rPr>
          <w:rFonts w:ascii="Calibri" w:eastAsia="Calibri" w:hAnsi="Calibri"/>
          <w:sz w:val="22"/>
          <w:szCs w:val="22"/>
          <w:lang w:val="ru-RU" w:eastAsia="uk-UA" w:bidi="uk-UA"/>
        </w:rPr>
      </w:pPr>
    </w:p>
    <w:p w:rsidR="00642FB4" w:rsidRPr="001D2B9A" w:rsidRDefault="00642FB4" w:rsidP="001D2B9A">
      <w:pPr>
        <w:numPr>
          <w:ilvl w:val="0"/>
          <w:numId w:val="5"/>
        </w:numPr>
        <w:spacing w:after="200" w:line="276" w:lineRule="auto"/>
        <w:rPr>
          <w:rFonts w:cs="Arial"/>
          <w:b/>
          <w:bCs/>
          <w:lang w:bidi="uk-UA"/>
        </w:rPr>
      </w:pPr>
      <w:r>
        <w:rPr>
          <w:rFonts w:eastAsia="Calibri"/>
          <w:b/>
          <w:kern w:val="28"/>
          <w:szCs w:val="22"/>
          <w:lang w:val="uk-UA" w:eastAsia="uk-UA" w:bidi="uk-UA"/>
        </w:rPr>
        <w:br w:type="page"/>
      </w:r>
      <w:r w:rsidRPr="001D2B9A">
        <w:rPr>
          <w:rFonts w:eastAsia="Calibri" w:cs="Arial"/>
          <w:b/>
          <w:lang w:bidi="uk-UA"/>
        </w:rPr>
        <w:t>Опис причин для вибору проектних альтернативних варіантів і опис способу проведення оцінки, в тому числі будь-яких труднощів (наприклад, технічних недоліків або відсутності теоретичних знань у галузі), які зустрічаються при зборі необхідної інформації</w:t>
      </w:r>
      <w:bookmarkEnd w:id="47"/>
      <w:bookmarkEnd w:id="48"/>
    </w:p>
    <w:p w:rsidR="00642FB4" w:rsidRDefault="00642FB4">
      <w:pPr>
        <w:keepNext/>
        <w:spacing w:before="240" w:after="60"/>
        <w:jc w:val="both"/>
        <w:outlineLvl w:val="0"/>
        <w:rPr>
          <w:rFonts w:eastAsia="EUAlbertina-Regular-Identity-H" w:cs="Arial"/>
          <w:b/>
          <w:bCs/>
          <w:kern w:val="32"/>
          <w:lang w:val="uk-UA" w:eastAsia="uk-UA" w:bidi="uk-UA"/>
        </w:rPr>
      </w:pPr>
    </w:p>
    <w:p w:rsidR="00642FB4" w:rsidRPr="001D2B9A" w:rsidRDefault="00642FB4" w:rsidP="001D2B9A">
      <w:pPr>
        <w:pStyle w:val="Heading1"/>
        <w:rPr>
          <w:rFonts w:ascii="Arial" w:eastAsia="EUAlbertina-Regular-Identity-H" w:hAnsi="Arial" w:cs="Arial"/>
          <w:sz w:val="24"/>
          <w:szCs w:val="24"/>
          <w:lang w:bidi="uk-UA"/>
        </w:rPr>
      </w:pPr>
      <w:bookmarkStart w:id="156" w:name="_Toc418279315"/>
      <w:bookmarkStart w:id="157" w:name="_Toc419199675"/>
      <w:r w:rsidRPr="001D2B9A">
        <w:rPr>
          <w:rFonts w:ascii="Arial" w:eastAsia="Calibri" w:hAnsi="Arial" w:cs="Arial"/>
          <w:sz w:val="24"/>
          <w:szCs w:val="24"/>
          <w:lang w:bidi="uk-UA"/>
        </w:rPr>
        <w:t>9.1 Вибір альтернатив програми Ro-Ua</w:t>
      </w:r>
      <w:bookmarkEnd w:id="156"/>
      <w:bookmarkEnd w:id="157"/>
    </w:p>
    <w:p w:rsidR="00642FB4" w:rsidRDefault="00642FB4">
      <w:pPr>
        <w:jc w:val="both"/>
        <w:rPr>
          <w:rFonts w:eastAsia="EUAlbertina-Regular-Identity-H"/>
          <w:lang w:val="uk-UA" w:eastAsia="uk-UA" w:bidi="uk-UA"/>
        </w:rPr>
      </w:pPr>
    </w:p>
    <w:p w:rsidR="00642FB4" w:rsidRDefault="00642FB4">
      <w:pPr>
        <w:autoSpaceDE w:val="0"/>
        <w:autoSpaceDN w:val="0"/>
        <w:adjustRightInd w:val="0"/>
        <w:spacing w:before="60" w:after="60" w:line="288" w:lineRule="auto"/>
        <w:ind w:firstLine="720"/>
        <w:contextualSpacing/>
        <w:jc w:val="both"/>
        <w:rPr>
          <w:rFonts w:eastAsia="EUAlbertina-Regular-Identity-H" w:cs="Arial"/>
          <w:lang w:val="uk-UA" w:eastAsia="uk-UA" w:bidi="uk-UA"/>
        </w:rPr>
      </w:pPr>
      <w:r>
        <w:rPr>
          <w:rFonts w:eastAsia="Calibri"/>
          <w:szCs w:val="22"/>
          <w:lang w:val="uk-UA" w:eastAsia="uk-UA" w:bidi="uk-UA"/>
        </w:rPr>
        <w:t>Проаналізовані альтернативи Спільної операційної програми Румунія - Україна на період 2014 ÷ 2020 роки, це:</w:t>
      </w:r>
    </w:p>
    <w:p w:rsidR="00642FB4" w:rsidRDefault="00642FB4">
      <w:pPr>
        <w:autoSpaceDE w:val="0"/>
        <w:autoSpaceDN w:val="0"/>
        <w:adjustRightInd w:val="0"/>
        <w:spacing w:before="60" w:after="60" w:line="288" w:lineRule="auto"/>
        <w:ind w:firstLine="709"/>
        <w:contextualSpacing/>
        <w:jc w:val="both"/>
        <w:rPr>
          <w:rFonts w:eastAsia="EUAlbertina-Regular-Identity-H" w:cs="Arial"/>
          <w:lang w:val="uk-UA" w:eastAsia="uk-UA" w:bidi="uk-UA"/>
        </w:rPr>
      </w:pPr>
      <w:r>
        <w:rPr>
          <w:rFonts w:eastAsia="Calibri"/>
          <w:b/>
          <w:szCs w:val="22"/>
          <w:lang w:val="uk-UA" w:eastAsia="uk-UA" w:bidi="uk-UA"/>
        </w:rPr>
        <w:t xml:space="preserve">Альтернатива 0:  </w:t>
      </w:r>
      <w:r>
        <w:rPr>
          <w:rFonts w:eastAsia="Calibri"/>
          <w:szCs w:val="22"/>
          <w:lang w:val="uk-UA" w:eastAsia="uk-UA" w:bidi="uk-UA"/>
        </w:rPr>
        <w:t>Невпровадження Програми;</w:t>
      </w:r>
    </w:p>
    <w:p w:rsidR="00642FB4" w:rsidRDefault="00642FB4">
      <w:pPr>
        <w:autoSpaceDE w:val="0"/>
        <w:autoSpaceDN w:val="0"/>
        <w:adjustRightInd w:val="0"/>
        <w:spacing w:before="60" w:after="60" w:line="288" w:lineRule="auto"/>
        <w:ind w:firstLine="720"/>
        <w:contextualSpacing/>
        <w:jc w:val="both"/>
        <w:rPr>
          <w:lang w:val="uk-UA" w:eastAsia="uk-UA" w:bidi="uk-UA"/>
        </w:rPr>
      </w:pPr>
      <w:r>
        <w:rPr>
          <w:rFonts w:eastAsia="Calibri"/>
          <w:b/>
          <w:szCs w:val="22"/>
          <w:lang w:val="uk-UA" w:eastAsia="uk-UA" w:bidi="uk-UA"/>
        </w:rPr>
        <w:t xml:space="preserve">Альтернатива 1: </w:t>
      </w:r>
      <w:r>
        <w:rPr>
          <w:rFonts w:eastAsia="Calibri"/>
          <w:szCs w:val="22"/>
          <w:lang w:val="uk-UA" w:eastAsia="uk-UA" w:bidi="uk-UA"/>
        </w:rPr>
        <w:t>Впровадження</w:t>
      </w:r>
      <w:r>
        <w:rPr>
          <w:rFonts w:eastAsia="Calibri"/>
          <w:b/>
          <w:szCs w:val="22"/>
          <w:lang w:val="uk-UA" w:eastAsia="uk-UA" w:bidi="uk-UA"/>
        </w:rPr>
        <w:t xml:space="preserve"> Програми Ro-Ua 2014 ÷ 2020 з наступними тематичними цілями</w:t>
      </w:r>
      <w:r>
        <w:rPr>
          <w:rFonts w:eastAsia="Calibri"/>
          <w:szCs w:val="22"/>
          <w:lang w:val="uk-UA" w:eastAsia="uk-UA" w:bidi="uk-UA"/>
        </w:rPr>
        <w:t xml:space="preserve">: </w:t>
      </w:r>
    </w:p>
    <w:p w:rsidR="00642FB4" w:rsidRDefault="00642FB4">
      <w:pPr>
        <w:spacing w:before="60" w:after="60" w:line="288" w:lineRule="auto"/>
        <w:ind w:firstLine="720"/>
        <w:jc w:val="both"/>
        <w:rPr>
          <w:lang w:val="uk-UA" w:eastAsia="uk-UA" w:bidi="uk-UA"/>
        </w:rPr>
      </w:pPr>
      <w:r>
        <w:rPr>
          <w:rFonts w:eastAsia="Calibri"/>
          <w:b/>
          <w:i/>
          <w:szCs w:val="22"/>
          <w:lang w:val="uk-UA" w:eastAsia="uk-UA" w:bidi="uk-UA"/>
        </w:rPr>
        <w:t>OT2 - ПІДТРИМКА ОСВІТИ, ДОСЛІДЖЕНЬ, ТЕХНОЛОГІЧНОГО РОЗВИТКУ ТА ІННОВАЦІЙ</w:t>
      </w:r>
      <w:r>
        <w:rPr>
          <w:rFonts w:eastAsia="Calibri"/>
          <w:b/>
          <w:szCs w:val="22"/>
          <w:lang w:val="uk-UA" w:eastAsia="uk-UA" w:bidi="uk-UA"/>
        </w:rPr>
        <w:t xml:space="preserve"> </w:t>
      </w:r>
    </w:p>
    <w:p w:rsidR="00642FB4" w:rsidRDefault="00642FB4">
      <w:pPr>
        <w:spacing w:before="60" w:after="60" w:line="288" w:lineRule="auto"/>
        <w:ind w:left="2340" w:hanging="1620"/>
        <w:jc w:val="both"/>
        <w:rPr>
          <w:i/>
          <w:lang w:val="uk-UA" w:eastAsia="uk-UA" w:bidi="uk-UA"/>
        </w:rPr>
      </w:pPr>
      <w:r>
        <w:rPr>
          <w:rFonts w:eastAsia="Calibri"/>
          <w:b/>
          <w:i/>
          <w:szCs w:val="22"/>
          <w:lang w:val="uk-UA" w:eastAsia="uk-UA" w:bidi="uk-UA"/>
        </w:rPr>
        <w:t>Ціль 1</w:t>
      </w:r>
      <w:r>
        <w:rPr>
          <w:rFonts w:eastAsia="Calibri"/>
          <w:szCs w:val="22"/>
          <w:lang w:val="uk-UA" w:eastAsia="uk-UA" w:bidi="uk-UA"/>
        </w:rPr>
        <w:t xml:space="preserve">: </w:t>
      </w:r>
      <w:r>
        <w:rPr>
          <w:rFonts w:eastAsia="Calibri"/>
          <w:i/>
          <w:szCs w:val="22"/>
          <w:lang w:val="uk-UA" w:eastAsia="uk-UA" w:bidi="uk-UA"/>
        </w:rPr>
        <w:t xml:space="preserve">Розвиток системи освіти та підтримка досліджень та інновацій на території програми шляхом сприяння співробітництву на місцевому, регіональному та центральному рівнях </w:t>
      </w:r>
    </w:p>
    <w:p w:rsidR="00642FB4" w:rsidRDefault="00642FB4">
      <w:pPr>
        <w:spacing w:before="60" w:after="60" w:line="288" w:lineRule="auto"/>
        <w:ind w:left="2340" w:hanging="1620"/>
        <w:jc w:val="both"/>
        <w:rPr>
          <w:b/>
          <w:i/>
          <w:lang w:val="uk-UA" w:eastAsia="uk-UA" w:bidi="uk-UA"/>
        </w:rPr>
      </w:pPr>
      <w:r>
        <w:rPr>
          <w:rFonts w:eastAsia="Calibri"/>
          <w:b/>
          <w:szCs w:val="22"/>
          <w:lang w:val="uk-UA" w:eastAsia="uk-UA" w:bidi="uk-UA"/>
        </w:rPr>
        <w:t>Пріоритет 1.1 Інституційна співпраця в галузі освіти з метою розширення доступу до освіти та якості освіти</w:t>
      </w:r>
    </w:p>
    <w:p w:rsidR="00642FB4" w:rsidRDefault="00642FB4">
      <w:pPr>
        <w:spacing w:before="60" w:after="60" w:line="288" w:lineRule="auto"/>
        <w:jc w:val="both"/>
        <w:rPr>
          <w:b/>
          <w:i/>
          <w:lang w:val="uk-UA" w:eastAsia="uk-UA" w:bidi="uk-UA"/>
        </w:rPr>
      </w:pPr>
      <w:r>
        <w:rPr>
          <w:rFonts w:eastAsia="Calibri"/>
          <w:b/>
          <w:i/>
          <w:szCs w:val="22"/>
          <w:lang w:val="uk-UA" w:eastAsia="uk-UA" w:bidi="uk-UA"/>
        </w:rPr>
        <w:t>Обґрунтування:</w:t>
      </w:r>
    </w:p>
    <w:p w:rsidR="00642FB4" w:rsidRDefault="00642FB4">
      <w:pPr>
        <w:spacing w:before="60" w:after="60" w:line="288" w:lineRule="auto"/>
        <w:ind w:firstLine="714"/>
        <w:jc w:val="both"/>
        <w:rPr>
          <w:rFonts w:cs="Arial"/>
          <w:lang w:val="uk-UA" w:eastAsia="uk-UA" w:bidi="uk-UA"/>
        </w:rPr>
      </w:pPr>
      <w:r>
        <w:rPr>
          <w:rFonts w:eastAsia="Calibri"/>
          <w:szCs w:val="22"/>
          <w:lang w:val="uk-UA" w:eastAsia="uk-UA" w:bidi="uk-UA"/>
        </w:rPr>
        <w:t xml:space="preserve">Розвиток в галузі освіти дуже активно підтримується як ключова галузь втручання на території програми. Основні проблеми у сфері освіти на прийнятній території, відносяться до припинення відвідування школи у ранньому віці, низької доступності до освітніх структур у сільській місцевості, підтримки соціально незахищених груп і низького рівня інвестицій в інфраструктуру та тренінги для вчителів.  </w:t>
      </w:r>
    </w:p>
    <w:p w:rsidR="00642FB4" w:rsidRDefault="00642FB4">
      <w:pPr>
        <w:spacing w:before="60" w:after="60" w:line="288" w:lineRule="auto"/>
        <w:jc w:val="both"/>
        <w:rPr>
          <w:lang w:val="uk-UA" w:eastAsia="uk-UA" w:bidi="uk-UA"/>
        </w:rPr>
      </w:pPr>
    </w:p>
    <w:p w:rsidR="00642FB4" w:rsidRDefault="00642FB4">
      <w:pPr>
        <w:spacing w:before="60" w:after="60" w:line="288" w:lineRule="auto"/>
        <w:ind w:firstLine="630"/>
        <w:jc w:val="both"/>
        <w:rPr>
          <w:b/>
          <w:lang w:val="uk-UA" w:eastAsia="uk-UA" w:bidi="uk-UA"/>
        </w:rPr>
      </w:pPr>
      <w:r>
        <w:rPr>
          <w:rFonts w:eastAsia="Calibri"/>
          <w:b/>
          <w:szCs w:val="22"/>
          <w:lang w:val="uk-UA" w:eastAsia="uk-UA" w:bidi="uk-UA"/>
        </w:rPr>
        <w:t>Пріоритет 1.2  Просування та підтримка досліджень та інновацій</w:t>
      </w:r>
    </w:p>
    <w:p w:rsidR="00642FB4" w:rsidRDefault="00642FB4">
      <w:pPr>
        <w:spacing w:before="60" w:after="60" w:line="288" w:lineRule="auto"/>
        <w:jc w:val="both"/>
        <w:rPr>
          <w:b/>
          <w:i/>
          <w:lang w:val="uk-UA" w:eastAsia="uk-UA" w:bidi="uk-UA"/>
        </w:rPr>
      </w:pPr>
      <w:r>
        <w:rPr>
          <w:rFonts w:eastAsia="Calibri"/>
          <w:b/>
          <w:i/>
          <w:szCs w:val="22"/>
          <w:lang w:val="uk-UA" w:eastAsia="uk-UA" w:bidi="uk-UA"/>
        </w:rPr>
        <w:t>Обґрунтування:</w:t>
      </w:r>
    </w:p>
    <w:p w:rsidR="00642FB4" w:rsidRDefault="00642FB4">
      <w:pPr>
        <w:spacing w:before="60" w:after="60" w:line="288" w:lineRule="auto"/>
        <w:ind w:firstLine="720"/>
        <w:jc w:val="both"/>
        <w:rPr>
          <w:rFonts w:cs="Arial"/>
          <w:lang w:val="uk-UA" w:eastAsia="uk-UA" w:bidi="uk-UA"/>
        </w:rPr>
      </w:pPr>
      <w:r>
        <w:rPr>
          <w:rFonts w:eastAsia="Calibri"/>
          <w:szCs w:val="22"/>
          <w:lang w:val="uk-UA" w:eastAsia="uk-UA" w:bidi="uk-UA"/>
        </w:rPr>
        <w:t xml:space="preserve">Одна з найменш розвинених галузей на території програми є галузь дослідження та інновації. Рівень інвестицій у цій галузі є дуже низьким, хоча існує потенціал для розвитку в цьому секторі. Існує ряд міських центрів, де проводяться наукові дослідження та розробки, які можуть бути пов'язані з рівнем R &amp; D витрат, чисельністю працівників та місцями розташування закладів третинного навчання, наприклад, Одеса, Чернівці, Тулча,  Сучава. Ґрунтуючись на існуючих центрах і загальному економічному профілі в області існує сильна можливість для R&amp;D, яку можна заохотити шляхом транскордонної діяльності. </w:t>
      </w:r>
    </w:p>
    <w:p w:rsidR="00642FB4" w:rsidRDefault="00642FB4">
      <w:pPr>
        <w:spacing w:before="60" w:after="60" w:line="288" w:lineRule="auto"/>
        <w:jc w:val="both"/>
        <w:rPr>
          <w:b/>
          <w:lang w:val="uk-UA" w:eastAsia="uk-UA" w:bidi="uk-UA"/>
        </w:rPr>
      </w:pPr>
    </w:p>
    <w:p w:rsidR="00642FB4" w:rsidRDefault="00642FB4">
      <w:pPr>
        <w:spacing w:before="60" w:after="60" w:line="288" w:lineRule="auto"/>
        <w:ind w:left="900"/>
        <w:jc w:val="both"/>
        <w:rPr>
          <w:b/>
          <w:lang w:val="uk-UA" w:eastAsia="uk-UA" w:bidi="uk-UA"/>
        </w:rPr>
      </w:pPr>
      <w:r>
        <w:rPr>
          <w:rFonts w:eastAsia="Calibri"/>
          <w:b/>
          <w:szCs w:val="22"/>
          <w:lang w:val="uk-UA" w:eastAsia="uk-UA" w:bidi="uk-UA"/>
        </w:rPr>
        <w:t>OT3 - ПРОСУВАННЯ МІСЦЕВОЇ КУЛЬТУРИ ТА ЗБЕРЕЖЕННЯ ІСТОРИЧНОЇ СПАДЩИНИ</w:t>
      </w:r>
    </w:p>
    <w:p w:rsidR="00642FB4" w:rsidRDefault="00642FB4">
      <w:pPr>
        <w:spacing w:before="60" w:after="60" w:line="288" w:lineRule="auto"/>
        <w:ind w:left="2430" w:hanging="1710"/>
        <w:jc w:val="both"/>
        <w:rPr>
          <w:lang w:val="uk-UA" w:eastAsia="uk-UA" w:bidi="uk-UA"/>
        </w:rPr>
      </w:pPr>
      <w:r>
        <w:rPr>
          <w:rFonts w:eastAsia="Calibri"/>
          <w:b/>
          <w:i/>
          <w:szCs w:val="22"/>
          <w:lang w:val="uk-UA" w:eastAsia="uk-UA" w:bidi="uk-UA"/>
        </w:rPr>
        <w:t xml:space="preserve">Ціль 2: </w:t>
      </w:r>
      <w:r>
        <w:rPr>
          <w:rFonts w:eastAsia="Calibri"/>
          <w:szCs w:val="22"/>
          <w:lang w:val="uk-UA" w:eastAsia="uk-UA" w:bidi="uk-UA"/>
        </w:rPr>
        <w:t xml:space="preserve"> </w:t>
      </w:r>
      <w:r>
        <w:rPr>
          <w:rFonts w:eastAsia="Calibri"/>
          <w:i/>
          <w:szCs w:val="22"/>
          <w:lang w:val="uk-UA" w:eastAsia="uk-UA" w:bidi="uk-UA"/>
        </w:rPr>
        <w:t>Збереження культурної та історичної спадщини на прийнятній території, підтримка розвитку місцевої культури, специфічної культурної самобутності та культурного діалогу сприяють підвищенню привабливості прийнятної території</w:t>
      </w:r>
    </w:p>
    <w:p w:rsidR="00642FB4" w:rsidRDefault="00642FB4">
      <w:pPr>
        <w:spacing w:before="60" w:after="60" w:line="288" w:lineRule="auto"/>
        <w:ind w:firstLine="720"/>
        <w:jc w:val="both"/>
        <w:rPr>
          <w:b/>
          <w:lang w:val="uk-UA" w:eastAsia="uk-UA" w:bidi="uk-UA"/>
        </w:rPr>
      </w:pPr>
      <w:r>
        <w:rPr>
          <w:rFonts w:eastAsia="Calibri"/>
          <w:b/>
          <w:szCs w:val="22"/>
          <w:lang w:val="uk-UA" w:eastAsia="uk-UA" w:bidi="uk-UA"/>
        </w:rPr>
        <w:t>Пріоритет 2.1 Збереження і просування культурної та історичної спадщини</w:t>
      </w:r>
    </w:p>
    <w:p w:rsidR="00642FB4" w:rsidRDefault="00642FB4">
      <w:pPr>
        <w:spacing w:before="60" w:after="60" w:line="288" w:lineRule="auto"/>
        <w:jc w:val="both"/>
        <w:rPr>
          <w:b/>
          <w:i/>
          <w:lang w:val="uk-UA" w:eastAsia="uk-UA" w:bidi="uk-UA"/>
        </w:rPr>
      </w:pPr>
      <w:r>
        <w:rPr>
          <w:rFonts w:eastAsia="Calibri"/>
          <w:b/>
          <w:i/>
          <w:szCs w:val="22"/>
          <w:lang w:val="uk-UA" w:eastAsia="uk-UA" w:bidi="uk-UA"/>
        </w:rPr>
        <w:t>Обґрунтування:</w:t>
      </w:r>
    </w:p>
    <w:p w:rsidR="00642FB4" w:rsidRDefault="00642FB4">
      <w:pPr>
        <w:spacing w:before="60" w:after="60" w:line="288" w:lineRule="auto"/>
        <w:ind w:firstLine="709"/>
        <w:jc w:val="both"/>
        <w:rPr>
          <w:rFonts w:cs="Arial"/>
          <w:lang w:val="uk-UA" w:eastAsia="uk-UA" w:bidi="uk-UA"/>
        </w:rPr>
      </w:pPr>
      <w:r>
        <w:rPr>
          <w:rFonts w:eastAsia="Calibri"/>
          <w:szCs w:val="22"/>
          <w:lang w:val="uk-UA" w:eastAsia="uk-UA" w:bidi="uk-UA"/>
        </w:rPr>
        <w:t>Прийнятна територія цих двох країн розділяє елементи культурної спадщини завдяки історичній еволюції та містить традиції багатонаціонального співіснування та мультикультуралізму. Незважаючи на те, що на прийнятній території є висока концентрація історичних пам'яток та охоронюваних територій, рівень інвестицій в культурні та туристичні об'єкти дуже низький. Культурна інфраструктура розвинена, але без фінансування. Вона включає в себе музеї, бібліотеки, театри та інші культурні установи. Цей пріоритет націлений на сприяння інвестиціям в культурну спадщину та місцеву культуру в рамках спільних проектів та підвищення туристичного потенціалу прикордонного району.</w:t>
      </w:r>
    </w:p>
    <w:p w:rsidR="00642FB4" w:rsidRDefault="00642FB4">
      <w:pPr>
        <w:spacing w:before="60" w:after="60" w:line="288" w:lineRule="auto"/>
        <w:jc w:val="both"/>
        <w:rPr>
          <w:lang w:val="uk-UA" w:eastAsia="uk-UA" w:bidi="uk-UA"/>
        </w:rPr>
      </w:pPr>
    </w:p>
    <w:p w:rsidR="00642FB4" w:rsidRDefault="00642FB4">
      <w:pPr>
        <w:spacing w:before="60" w:after="60" w:line="288" w:lineRule="auto"/>
        <w:ind w:left="1890" w:hanging="1170"/>
        <w:jc w:val="both"/>
        <w:rPr>
          <w:lang w:val="uk-UA" w:eastAsia="uk-UA" w:bidi="uk-UA"/>
        </w:rPr>
      </w:pPr>
      <w:r>
        <w:rPr>
          <w:rFonts w:eastAsia="Calibri"/>
          <w:b/>
          <w:szCs w:val="22"/>
          <w:lang w:val="uk-UA" w:eastAsia="uk-UA" w:bidi="uk-UA"/>
        </w:rPr>
        <w:t xml:space="preserve">OT7 – ПОЛІПШЕННЯ ДОСТУПНОСТІ В РЕГІОНАХ, РОЗВИТОК МЕРЕЖ ТА СИСТЕМ ТРАНСПОРТУ І ЗВ'ЯЗКУ </w:t>
      </w:r>
    </w:p>
    <w:p w:rsidR="00642FB4" w:rsidRDefault="00642FB4">
      <w:pPr>
        <w:spacing w:before="60" w:after="60" w:line="288" w:lineRule="auto"/>
        <w:ind w:left="2430" w:hanging="1710"/>
        <w:jc w:val="both"/>
        <w:rPr>
          <w:i/>
          <w:lang w:val="uk-UA" w:eastAsia="uk-UA" w:bidi="uk-UA"/>
        </w:rPr>
      </w:pPr>
      <w:r>
        <w:rPr>
          <w:rFonts w:eastAsia="Calibri"/>
          <w:b/>
          <w:i/>
          <w:szCs w:val="22"/>
          <w:lang w:val="uk-UA" w:eastAsia="uk-UA" w:bidi="uk-UA"/>
        </w:rPr>
        <w:t>Ціль 3</w:t>
      </w:r>
      <w:r>
        <w:rPr>
          <w:rFonts w:eastAsia="Calibri"/>
          <w:szCs w:val="22"/>
          <w:lang w:val="uk-UA" w:eastAsia="uk-UA" w:bidi="uk-UA"/>
        </w:rPr>
        <w:t xml:space="preserve">: </w:t>
      </w:r>
      <w:r>
        <w:rPr>
          <w:rFonts w:eastAsia="Calibri"/>
          <w:i/>
          <w:szCs w:val="22"/>
          <w:lang w:val="uk-UA" w:eastAsia="uk-UA" w:bidi="uk-UA"/>
        </w:rPr>
        <w:t>Поліпшення послуг громадського транспорту, інфраструктури і співпраці, а також ІКТ networking</w:t>
      </w:r>
    </w:p>
    <w:p w:rsidR="00642FB4" w:rsidRDefault="00642FB4">
      <w:pPr>
        <w:spacing w:before="60" w:after="60" w:line="288" w:lineRule="auto"/>
        <w:ind w:left="2700" w:hanging="1980"/>
        <w:jc w:val="both"/>
        <w:rPr>
          <w:b/>
          <w:lang w:val="uk-UA" w:eastAsia="uk-UA" w:bidi="uk-UA"/>
        </w:rPr>
      </w:pPr>
      <w:r>
        <w:rPr>
          <w:rFonts w:eastAsia="Calibri"/>
          <w:b/>
          <w:szCs w:val="22"/>
          <w:lang w:val="uk-UA" w:eastAsia="uk-UA" w:bidi="uk-UA"/>
        </w:rPr>
        <w:t>Пріоритет 3.1 Розвиток транскордонної транспортної інфраструктури та ІКТ інструментів</w:t>
      </w:r>
    </w:p>
    <w:p w:rsidR="00642FB4" w:rsidRDefault="00642FB4">
      <w:pPr>
        <w:spacing w:before="60" w:after="60" w:line="288" w:lineRule="auto"/>
        <w:jc w:val="both"/>
        <w:rPr>
          <w:b/>
          <w:i/>
          <w:lang w:val="uk-UA" w:eastAsia="uk-UA" w:bidi="uk-UA"/>
        </w:rPr>
      </w:pPr>
      <w:r>
        <w:rPr>
          <w:rFonts w:eastAsia="Calibri"/>
          <w:b/>
          <w:i/>
          <w:szCs w:val="22"/>
          <w:lang w:val="uk-UA" w:eastAsia="uk-UA" w:bidi="uk-UA"/>
        </w:rPr>
        <w:t>Обґрунтування:</w:t>
      </w:r>
    </w:p>
    <w:p w:rsidR="00642FB4" w:rsidRDefault="00642FB4">
      <w:pPr>
        <w:spacing w:before="60" w:after="60" w:line="288" w:lineRule="auto"/>
        <w:ind w:firstLine="709"/>
        <w:jc w:val="both"/>
        <w:rPr>
          <w:rFonts w:cs="Arial"/>
          <w:lang w:val="uk-UA" w:eastAsia="uk-UA" w:bidi="uk-UA"/>
        </w:rPr>
      </w:pPr>
      <w:r>
        <w:rPr>
          <w:rFonts w:eastAsia="Calibri"/>
          <w:szCs w:val="22"/>
          <w:lang w:val="uk-UA" w:eastAsia="uk-UA" w:bidi="uk-UA"/>
        </w:rPr>
        <w:t xml:space="preserve">Для транспорту, на прийнятній території переважають автомобільні дороги та залізниці. Незважаючи на високу щільність доріг їх життєздатність понижена через погану якість цих мереж та відсутність ресурсів і модернізаційних проектів. Ця ситуація збільшує час у дорозі та впливає на  транспортні витрати. </w:t>
      </w:r>
    </w:p>
    <w:p w:rsidR="00642FB4" w:rsidRDefault="00642FB4">
      <w:pPr>
        <w:spacing w:before="60" w:after="60" w:line="288" w:lineRule="auto"/>
        <w:ind w:firstLine="709"/>
        <w:jc w:val="both"/>
        <w:rPr>
          <w:rFonts w:cs="Arial"/>
          <w:lang w:val="uk-UA" w:eastAsia="uk-UA" w:bidi="uk-UA"/>
        </w:rPr>
      </w:pPr>
      <w:r>
        <w:rPr>
          <w:rFonts w:eastAsia="Calibri"/>
          <w:szCs w:val="22"/>
          <w:lang w:val="uk-UA" w:eastAsia="uk-UA" w:bidi="uk-UA"/>
        </w:rPr>
        <w:t>Технічні відмінності мають негативний вплив на залізничний транспорт та змішаний транспорт між цими двома країнами, проте, прикордонний регіон має великий потенціал для розвитку річкового транспорту.</w:t>
      </w:r>
    </w:p>
    <w:p w:rsidR="00642FB4" w:rsidRDefault="00642FB4">
      <w:pPr>
        <w:spacing w:before="60" w:after="60" w:line="288" w:lineRule="auto"/>
        <w:ind w:firstLine="709"/>
        <w:jc w:val="both"/>
        <w:rPr>
          <w:rFonts w:cs="Arial"/>
          <w:lang w:val="uk-UA" w:eastAsia="uk-UA" w:bidi="uk-UA"/>
        </w:rPr>
      </w:pPr>
      <w:r>
        <w:rPr>
          <w:rFonts w:eastAsia="Calibri"/>
          <w:szCs w:val="22"/>
          <w:lang w:val="uk-UA" w:eastAsia="uk-UA" w:bidi="uk-UA"/>
        </w:rPr>
        <w:t xml:space="preserve">Доступ до широкосмугової інфраструктури низький, особливо в сільських районах. </w:t>
      </w:r>
    </w:p>
    <w:p w:rsidR="00642FB4" w:rsidRDefault="00642FB4">
      <w:pPr>
        <w:tabs>
          <w:tab w:val="left" w:pos="1128"/>
        </w:tabs>
        <w:spacing w:before="60" w:after="60" w:line="288" w:lineRule="auto"/>
        <w:jc w:val="both"/>
        <w:rPr>
          <w:b/>
          <w:i/>
          <w:lang w:val="uk-UA" w:eastAsia="uk-UA" w:bidi="uk-UA"/>
        </w:rPr>
      </w:pPr>
    </w:p>
    <w:p w:rsidR="00642FB4" w:rsidRDefault="00642FB4">
      <w:pPr>
        <w:spacing w:before="60" w:after="60" w:line="288" w:lineRule="auto"/>
        <w:ind w:left="2340" w:hanging="1620"/>
        <w:jc w:val="both"/>
        <w:rPr>
          <w:b/>
          <w:lang w:val="uk-UA" w:eastAsia="uk-UA" w:bidi="uk-UA"/>
        </w:rPr>
      </w:pPr>
      <w:r>
        <w:rPr>
          <w:rFonts w:eastAsia="Calibri"/>
          <w:b/>
          <w:szCs w:val="22"/>
          <w:lang w:val="uk-UA" w:eastAsia="uk-UA" w:bidi="uk-UA"/>
        </w:rPr>
        <w:t xml:space="preserve">OT8 - СПІЛЬНІ ПРОБЛЕМИ У ГАЛУЗІ БЕЗПЕКИ </w:t>
      </w:r>
    </w:p>
    <w:p w:rsidR="00642FB4" w:rsidRDefault="00642FB4">
      <w:pPr>
        <w:spacing w:before="60" w:after="60" w:line="288" w:lineRule="auto"/>
        <w:ind w:left="2340" w:hanging="1620"/>
        <w:jc w:val="both"/>
        <w:rPr>
          <w:i/>
          <w:lang w:val="uk-UA" w:eastAsia="uk-UA" w:bidi="uk-UA"/>
        </w:rPr>
      </w:pPr>
      <w:r>
        <w:rPr>
          <w:rFonts w:eastAsia="Calibri"/>
          <w:b/>
          <w:i/>
          <w:szCs w:val="22"/>
          <w:lang w:val="uk-UA" w:eastAsia="uk-UA" w:bidi="uk-UA"/>
        </w:rPr>
        <w:t xml:space="preserve">Ціль 4: </w:t>
      </w:r>
      <w:r>
        <w:rPr>
          <w:rFonts w:eastAsia="Calibri"/>
          <w:i/>
          <w:szCs w:val="22"/>
          <w:lang w:val="uk-UA" w:eastAsia="uk-UA" w:bidi="uk-UA"/>
        </w:rPr>
        <w:t>Спільні проблеми у галузі транскордонної безпеки,  доступу до охорони здоров'я, управління природними та антропогенними ризиками та надзвичайними ситуаціями у спільних проектах</w:t>
      </w:r>
    </w:p>
    <w:p w:rsidR="00642FB4" w:rsidRDefault="00642FB4">
      <w:pPr>
        <w:spacing w:before="60" w:after="60" w:line="288" w:lineRule="auto"/>
        <w:ind w:left="2340" w:hanging="1620"/>
        <w:jc w:val="both"/>
        <w:rPr>
          <w:b/>
          <w:lang w:val="uk-UA" w:eastAsia="uk-UA" w:bidi="uk-UA"/>
        </w:rPr>
      </w:pPr>
      <w:r>
        <w:rPr>
          <w:rFonts w:eastAsia="Calibri"/>
          <w:b/>
          <w:szCs w:val="22"/>
          <w:lang w:val="uk-UA" w:eastAsia="uk-UA" w:bidi="uk-UA"/>
        </w:rPr>
        <w:t>Пріоритет 4.1 Підтримка розвитку медичних послуг та доступ до охорони здоров'я</w:t>
      </w:r>
    </w:p>
    <w:p w:rsidR="00642FB4" w:rsidRDefault="00642FB4">
      <w:pPr>
        <w:spacing w:before="60" w:after="60" w:line="288" w:lineRule="auto"/>
        <w:jc w:val="both"/>
        <w:rPr>
          <w:b/>
          <w:i/>
          <w:lang w:val="uk-UA" w:eastAsia="uk-UA" w:bidi="uk-UA"/>
        </w:rPr>
      </w:pPr>
      <w:r>
        <w:rPr>
          <w:rFonts w:eastAsia="Calibri"/>
          <w:b/>
          <w:i/>
          <w:szCs w:val="22"/>
          <w:lang w:val="uk-UA" w:eastAsia="uk-UA" w:bidi="uk-UA"/>
        </w:rPr>
        <w:t>Обґрунтування:</w:t>
      </w:r>
    </w:p>
    <w:p w:rsidR="00642FB4" w:rsidRDefault="00642FB4">
      <w:pPr>
        <w:spacing w:before="60" w:after="60" w:line="288" w:lineRule="auto"/>
        <w:ind w:firstLine="709"/>
        <w:jc w:val="both"/>
        <w:rPr>
          <w:rFonts w:cs="Arial"/>
          <w:color w:val="222222"/>
          <w:lang w:val="uk-UA" w:eastAsia="uk-UA" w:bidi="uk-UA"/>
        </w:rPr>
      </w:pPr>
      <w:r>
        <w:rPr>
          <w:rFonts w:eastAsia="Calibri"/>
          <w:color w:val="222222"/>
          <w:szCs w:val="22"/>
          <w:lang w:val="uk-UA" w:eastAsia="uk-UA" w:bidi="uk-UA"/>
        </w:rPr>
        <w:t>Система громадської охорони здоров'я на території програми стикається з низкою обмежень, пов'язаних з низькою якістю інфраструктури, доступу до медичних послуг та відсутністю доступу лікарів до навчальних курсів та спеціалізації. Ці обмеження є відповідальними за низьку тривалість життя при народженні на прийнятній території, за невелику кількість лікарів та велику кількість захворювань. Система спільного інвестування в інфраструктуру та обладнання для громадської охорони здоров'я, а також у пов'язані з нею навчальні курси та обміни досвідом, сприяла би поліпшенню реакції місцевої системи охорони здоров'я на реальну потребу регіону та утворенню значного транскордонного впливу та доданої вартості.</w:t>
      </w:r>
    </w:p>
    <w:p w:rsidR="00642FB4" w:rsidRDefault="00642FB4">
      <w:pPr>
        <w:spacing w:before="60" w:after="60" w:line="288" w:lineRule="auto"/>
        <w:ind w:left="1080" w:firstLine="709"/>
        <w:jc w:val="both"/>
        <w:rPr>
          <w:lang w:val="uk-UA" w:eastAsia="uk-UA" w:bidi="uk-UA"/>
        </w:rPr>
      </w:pPr>
    </w:p>
    <w:p w:rsidR="00642FB4" w:rsidRDefault="00642FB4">
      <w:pPr>
        <w:spacing w:before="60" w:after="60" w:line="288" w:lineRule="auto"/>
        <w:ind w:left="2610" w:hanging="1890"/>
        <w:jc w:val="both"/>
        <w:rPr>
          <w:b/>
          <w:lang w:val="uk-UA" w:eastAsia="uk-UA" w:bidi="uk-UA"/>
        </w:rPr>
      </w:pPr>
      <w:r>
        <w:rPr>
          <w:rFonts w:eastAsia="Calibri"/>
          <w:b/>
          <w:szCs w:val="22"/>
          <w:lang w:val="uk-UA" w:eastAsia="uk-UA" w:bidi="uk-UA"/>
        </w:rPr>
        <w:t>Пріоритет 4.2 Підтримка спільних заходів щодо запобігання стихійним лихам та лихам викликаним діяльністю людини, а також підтримка спільних заходів в надзвичайних ситуаціях</w:t>
      </w:r>
    </w:p>
    <w:p w:rsidR="00642FB4" w:rsidRDefault="00642FB4">
      <w:pPr>
        <w:spacing w:before="60" w:after="60" w:line="288" w:lineRule="auto"/>
        <w:jc w:val="both"/>
        <w:rPr>
          <w:b/>
          <w:i/>
          <w:lang w:val="uk-UA" w:eastAsia="uk-UA" w:bidi="uk-UA"/>
        </w:rPr>
      </w:pPr>
      <w:r>
        <w:rPr>
          <w:rFonts w:eastAsia="Calibri"/>
          <w:b/>
          <w:i/>
          <w:szCs w:val="22"/>
          <w:lang w:val="uk-UA" w:eastAsia="uk-UA" w:bidi="uk-UA"/>
        </w:rPr>
        <w:t>Обґрунтування:</w:t>
      </w:r>
    </w:p>
    <w:p w:rsidR="00642FB4" w:rsidRDefault="00642FB4">
      <w:pPr>
        <w:spacing w:before="60" w:after="60" w:line="288" w:lineRule="auto"/>
        <w:ind w:firstLine="709"/>
        <w:jc w:val="both"/>
        <w:rPr>
          <w:lang w:val="uk-UA" w:eastAsia="uk-UA" w:bidi="uk-UA"/>
        </w:rPr>
      </w:pPr>
      <w:r>
        <w:rPr>
          <w:rFonts w:eastAsia="Calibri"/>
          <w:color w:val="222222"/>
          <w:szCs w:val="22"/>
          <w:lang w:val="uk-UA" w:eastAsia="uk-UA" w:bidi="uk-UA"/>
        </w:rPr>
        <w:t>Прийнятна територія містить високий ризик забруднення внаслідок промислових аварій, зокрема, на Дунаї та Чорному морі. Існує також високий ризик стихійних лих від топографії та щільної річкової мережі (наприклад повеней, зсувів) - в гірських районах на півночі а на півдні у Дельті. Ці характеристики території програми вимагають спільних дій з участю організацій з обох боків кордону, щоб запобігти і поліпшити реагування на надзвичайні ситуації. Цей пріоритет направлений на спільні проблеми, такі як зсуви, повені, запобігання ризикам, надзвичайні ситуації, за допомогою спільного планування та скоординованих дій.</w:t>
      </w:r>
    </w:p>
    <w:p w:rsidR="00642FB4" w:rsidRDefault="00642FB4">
      <w:pPr>
        <w:spacing w:before="60" w:after="60" w:line="288" w:lineRule="auto"/>
        <w:ind w:firstLine="720"/>
        <w:jc w:val="both"/>
        <w:rPr>
          <w:i/>
          <w:lang w:val="uk-UA" w:eastAsia="uk-UA" w:bidi="uk-UA"/>
        </w:rPr>
      </w:pPr>
      <w:r>
        <w:rPr>
          <w:rFonts w:eastAsia="Calibri"/>
          <w:b/>
          <w:i/>
          <w:szCs w:val="22"/>
          <w:lang w:val="uk-UA" w:eastAsia="uk-UA" w:bidi="uk-UA"/>
        </w:rPr>
        <w:t>Пріоритет 4.3 Запобігання та боротьба з організованою злочинністю і поліцейське співробітництво</w:t>
      </w:r>
    </w:p>
    <w:p w:rsidR="00642FB4" w:rsidRDefault="00642FB4">
      <w:pPr>
        <w:spacing w:before="60" w:after="60" w:line="288" w:lineRule="auto"/>
        <w:jc w:val="both"/>
        <w:rPr>
          <w:b/>
          <w:i/>
          <w:lang w:val="uk-UA" w:eastAsia="uk-UA" w:bidi="uk-UA"/>
        </w:rPr>
      </w:pPr>
      <w:r>
        <w:rPr>
          <w:rFonts w:eastAsia="Calibri"/>
          <w:b/>
          <w:i/>
          <w:szCs w:val="22"/>
          <w:lang w:val="uk-UA" w:eastAsia="uk-UA" w:bidi="uk-UA"/>
        </w:rPr>
        <w:t>Обґрунтування:</w:t>
      </w:r>
    </w:p>
    <w:p w:rsidR="00642FB4" w:rsidRDefault="00642FB4">
      <w:pPr>
        <w:spacing w:before="60" w:after="60" w:line="288" w:lineRule="auto"/>
        <w:ind w:firstLine="709"/>
        <w:jc w:val="both"/>
        <w:rPr>
          <w:lang w:val="uk-UA" w:eastAsia="uk-UA" w:bidi="uk-UA"/>
        </w:rPr>
      </w:pPr>
      <w:r>
        <w:rPr>
          <w:rFonts w:eastAsia="Calibri"/>
          <w:color w:val="222222"/>
          <w:szCs w:val="22"/>
          <w:lang w:val="uk-UA" w:eastAsia="uk-UA" w:bidi="uk-UA"/>
        </w:rPr>
        <w:t>Регіон стикається з проблемами у плані злочинності та містить додаткові ризики через його прикордонний статус та через незаконну розгалужену контрабанду.</w:t>
      </w:r>
      <w:r>
        <w:rPr>
          <w:rFonts w:cs="Arial"/>
          <w:color w:val="222222"/>
          <w:lang w:val="uk-UA" w:eastAsia="uk-UA" w:bidi="uk-UA"/>
        </w:rPr>
        <w:br/>
      </w:r>
      <w:r>
        <w:rPr>
          <w:rFonts w:eastAsia="Calibri"/>
          <w:color w:val="222222"/>
          <w:szCs w:val="22"/>
          <w:lang w:val="uk-UA" w:eastAsia="uk-UA" w:bidi="uk-UA"/>
        </w:rPr>
        <w:t>Для зменшення рівня злочинності, покращення можливостей щодо реагування поліції та забезпечення безпеки людей на обох боках кордону, цей пріоритет стимулюватиме інвестиції у зміцнення адміністративного потенціалу, інфраструктури та обладнання для заінтересованих митних та поліцейських служб.</w:t>
      </w:r>
    </w:p>
    <w:p w:rsidR="00642FB4" w:rsidRPr="001D2B9A" w:rsidRDefault="00642FB4" w:rsidP="001D2B9A">
      <w:pPr>
        <w:pStyle w:val="Heading1"/>
        <w:rPr>
          <w:rFonts w:ascii="Arial" w:hAnsi="Arial" w:cs="Arial"/>
          <w:sz w:val="24"/>
          <w:szCs w:val="24"/>
          <w:lang w:bidi="uk-UA"/>
        </w:rPr>
      </w:pPr>
      <w:bookmarkStart w:id="158" w:name="_Toc418279316"/>
      <w:bookmarkStart w:id="159" w:name="_Toc419199676"/>
      <w:r w:rsidRPr="001D2B9A">
        <w:rPr>
          <w:rFonts w:ascii="Arial" w:eastAsia="Calibri" w:hAnsi="Arial" w:cs="Arial"/>
          <w:sz w:val="24"/>
          <w:szCs w:val="24"/>
          <w:lang w:bidi="uk-UA"/>
        </w:rPr>
        <w:t>9.2 Труднощі</w:t>
      </w:r>
      <w:bookmarkEnd w:id="158"/>
      <w:bookmarkEnd w:id="159"/>
    </w:p>
    <w:p w:rsidR="00642FB4" w:rsidRDefault="00642FB4">
      <w:pPr>
        <w:spacing w:before="60" w:after="60" w:line="288" w:lineRule="auto"/>
        <w:ind w:firstLine="720"/>
        <w:jc w:val="both"/>
        <w:rPr>
          <w:lang w:val="uk-UA" w:eastAsia="uk-UA" w:bidi="uk-UA"/>
        </w:rPr>
      </w:pPr>
      <w:r>
        <w:rPr>
          <w:rFonts w:eastAsia="Calibri"/>
          <w:szCs w:val="22"/>
          <w:lang w:val="uk-UA" w:eastAsia="uk-UA" w:bidi="uk-UA"/>
        </w:rPr>
        <w:t>Ідентифікація чинного законодавства про охорону навколишнього середовища в Україні була важкою, а також і знайдення інформації про якість екологічних факторів та біорізноманіття. Деякі дані, в 2011 і 2012 рр. були знайдені в документах, опублікованих на наступних веб-сторінках:</w:t>
      </w:r>
    </w:p>
    <w:p w:rsidR="00642FB4" w:rsidRDefault="006C74EB">
      <w:pPr>
        <w:numPr>
          <w:ilvl w:val="0"/>
          <w:numId w:val="32"/>
        </w:numPr>
        <w:tabs>
          <w:tab w:val="num" w:pos="0"/>
          <w:tab w:val="num" w:pos="993"/>
        </w:tabs>
        <w:spacing w:before="60" w:after="60" w:line="288" w:lineRule="auto"/>
        <w:ind w:left="993" w:hanging="284"/>
        <w:jc w:val="both"/>
        <w:rPr>
          <w:lang w:val="uk-UA" w:eastAsia="uk-UA" w:bidi="uk-UA"/>
        </w:rPr>
      </w:pPr>
      <w:hyperlink r:id="rId144">
        <w:r w:rsidR="00642FB4">
          <w:rPr>
            <w:rFonts w:eastAsia="Calibri"/>
            <w:color w:val="0000FF"/>
            <w:szCs w:val="22"/>
            <w:u w:val="single"/>
            <w:lang w:val="uk-UA" w:eastAsia="uk-UA" w:bidi="uk-UA"/>
          </w:rPr>
          <w:t>http://eng.menr.gov.ua/index.php/normbaza</w:t>
        </w:r>
      </w:hyperlink>
    </w:p>
    <w:p w:rsidR="00642FB4" w:rsidRDefault="006C74EB">
      <w:pPr>
        <w:numPr>
          <w:ilvl w:val="0"/>
          <w:numId w:val="32"/>
        </w:numPr>
        <w:tabs>
          <w:tab w:val="num" w:pos="0"/>
          <w:tab w:val="num" w:pos="993"/>
        </w:tabs>
        <w:spacing w:before="60" w:after="60" w:line="288" w:lineRule="auto"/>
        <w:ind w:left="993" w:hanging="284"/>
        <w:jc w:val="both"/>
        <w:rPr>
          <w:lang w:val="uk-UA" w:eastAsia="uk-UA" w:bidi="uk-UA"/>
        </w:rPr>
      </w:pPr>
      <w:hyperlink r:id="rId145">
        <w:r w:rsidR="00642FB4">
          <w:rPr>
            <w:rFonts w:eastAsia="Calibri"/>
            <w:color w:val="0000FF"/>
            <w:szCs w:val="22"/>
            <w:u w:val="single"/>
            <w:lang w:val="uk-UA" w:eastAsia="uk-UA" w:bidi="uk-UA"/>
          </w:rPr>
          <w:t>http://www.kmu.gov.ua/control/en/publish/article?art_id=91651</w:t>
        </w:r>
      </w:hyperlink>
    </w:p>
    <w:p w:rsidR="00642FB4" w:rsidRDefault="006C74EB">
      <w:pPr>
        <w:numPr>
          <w:ilvl w:val="0"/>
          <w:numId w:val="32"/>
        </w:numPr>
        <w:tabs>
          <w:tab w:val="num" w:pos="993"/>
        </w:tabs>
        <w:spacing w:before="60" w:after="60" w:line="288" w:lineRule="auto"/>
        <w:ind w:hanging="11"/>
        <w:jc w:val="both"/>
        <w:rPr>
          <w:lang w:val="uk-UA" w:eastAsia="uk-UA" w:bidi="uk-UA"/>
        </w:rPr>
      </w:pPr>
      <w:hyperlink r:id="rId146">
        <w:r w:rsidR="00642FB4">
          <w:rPr>
            <w:rFonts w:eastAsia="Calibri"/>
            <w:color w:val="0000FF"/>
            <w:szCs w:val="22"/>
            <w:u w:val="single"/>
            <w:lang w:val="uk-UA" w:eastAsia="uk-UA" w:bidi="uk-UA"/>
          </w:rPr>
          <w:t>http://ypef.eu/files/booklet/ang/ukraine.pdf</w:t>
        </w:r>
      </w:hyperlink>
    </w:p>
    <w:p w:rsidR="00642FB4" w:rsidRDefault="00642FB4">
      <w:pPr>
        <w:numPr>
          <w:ilvl w:val="0"/>
          <w:numId w:val="32"/>
        </w:numPr>
        <w:tabs>
          <w:tab w:val="num" w:pos="993"/>
        </w:tabs>
        <w:spacing w:before="60" w:after="60" w:line="288" w:lineRule="auto"/>
        <w:ind w:hanging="11"/>
        <w:jc w:val="both"/>
        <w:rPr>
          <w:u w:val="single"/>
          <w:lang w:val="uk-UA" w:eastAsia="uk-UA" w:bidi="uk-UA"/>
        </w:rPr>
      </w:pPr>
      <w:r>
        <w:rPr>
          <w:rFonts w:eastAsia="Calibri"/>
          <w:szCs w:val="22"/>
          <w:lang w:val="uk-UA" w:eastAsia="uk-UA" w:bidi="uk-UA"/>
        </w:rPr>
        <w:t xml:space="preserve"> </w:t>
      </w:r>
      <w:hyperlink r:id="rId147">
        <w:r>
          <w:rPr>
            <w:rFonts w:eastAsia="Calibri"/>
            <w:color w:val="0000FF"/>
            <w:szCs w:val="22"/>
            <w:u w:val="single"/>
            <w:lang w:val="uk-UA" w:eastAsia="uk-UA" w:bidi="uk-UA"/>
          </w:rPr>
          <w:t>http://www.brucebyersconsulting.com/wp-content/uploads/2011/07/Ukraine-Biodiversity-Analysis-Report-1-2011.pdf</w:t>
        </w:r>
      </w:hyperlink>
    </w:p>
    <w:p w:rsidR="00642FB4" w:rsidRDefault="006C74EB">
      <w:pPr>
        <w:numPr>
          <w:ilvl w:val="0"/>
          <w:numId w:val="32"/>
        </w:numPr>
        <w:tabs>
          <w:tab w:val="num" w:pos="993"/>
        </w:tabs>
        <w:spacing w:before="60" w:after="60" w:line="288" w:lineRule="auto"/>
        <w:ind w:hanging="11"/>
        <w:jc w:val="both"/>
        <w:rPr>
          <w:u w:val="single"/>
          <w:lang w:val="uk-UA" w:eastAsia="uk-UA" w:bidi="uk-UA"/>
        </w:rPr>
      </w:pPr>
      <w:hyperlink r:id="rId148">
        <w:r w:rsidR="00642FB4">
          <w:rPr>
            <w:rFonts w:eastAsia="Calibri"/>
            <w:color w:val="0000FF"/>
            <w:szCs w:val="22"/>
            <w:u w:val="single"/>
            <w:lang w:val="uk-UA" w:eastAsia="uk-UA" w:bidi="uk-UA"/>
          </w:rPr>
          <w:t>http://en.wikipedia.org/wiki/Ukrainian_Cultural_Heritage_Village</w:t>
        </w:r>
      </w:hyperlink>
    </w:p>
    <w:p w:rsidR="00642FB4" w:rsidRDefault="006C74EB">
      <w:pPr>
        <w:numPr>
          <w:ilvl w:val="0"/>
          <w:numId w:val="32"/>
        </w:numPr>
        <w:tabs>
          <w:tab w:val="num" w:pos="993"/>
        </w:tabs>
        <w:spacing w:before="60" w:after="60" w:line="288" w:lineRule="auto"/>
        <w:ind w:hanging="11"/>
        <w:jc w:val="both"/>
        <w:rPr>
          <w:u w:val="single"/>
          <w:lang w:val="uk-UA" w:eastAsia="uk-UA" w:bidi="uk-UA"/>
        </w:rPr>
      </w:pPr>
      <w:hyperlink r:id="rId149">
        <w:r w:rsidR="00642FB4">
          <w:rPr>
            <w:rFonts w:eastAsia="Calibri"/>
            <w:color w:val="0000FF"/>
            <w:szCs w:val="22"/>
            <w:u w:val="single"/>
            <w:lang w:val="uk-UA" w:eastAsia="uk-UA" w:bidi="uk-UA"/>
          </w:rPr>
          <w:t>http://whc.unesco.org/en/statesparties/ua</w:t>
        </w:r>
      </w:hyperlink>
    </w:p>
    <w:p w:rsidR="00642FB4" w:rsidRDefault="006C74EB">
      <w:pPr>
        <w:numPr>
          <w:ilvl w:val="0"/>
          <w:numId w:val="32"/>
        </w:numPr>
        <w:tabs>
          <w:tab w:val="num" w:pos="993"/>
        </w:tabs>
        <w:spacing w:before="60" w:after="60" w:line="288" w:lineRule="auto"/>
        <w:ind w:hanging="11"/>
        <w:jc w:val="both"/>
        <w:rPr>
          <w:u w:val="single"/>
          <w:lang w:val="uk-UA" w:eastAsia="uk-UA" w:bidi="uk-UA"/>
        </w:rPr>
      </w:pPr>
      <w:hyperlink r:id="rId150">
        <w:r w:rsidR="00642FB4">
          <w:rPr>
            <w:rFonts w:eastAsia="Calibri"/>
            <w:color w:val="0000FF"/>
            <w:szCs w:val="22"/>
            <w:u w:val="single"/>
            <w:lang w:val="uk-UA" w:eastAsia="uk-UA" w:bidi="uk-UA"/>
          </w:rPr>
          <w:t>http://www.history.alberta.ca/ukrainianvillage/</w:t>
        </w:r>
      </w:hyperlink>
      <w:r w:rsidR="00642FB4">
        <w:rPr>
          <w:rFonts w:eastAsia="Calibri"/>
          <w:szCs w:val="22"/>
          <w:u w:val="single"/>
          <w:lang w:val="uk-UA" w:eastAsia="uk-UA" w:bidi="uk-UA"/>
        </w:rPr>
        <w:t xml:space="preserve"> </w:t>
      </w:r>
    </w:p>
    <w:p w:rsidR="00642FB4" w:rsidRDefault="006C74EB">
      <w:pPr>
        <w:numPr>
          <w:ilvl w:val="0"/>
          <w:numId w:val="32"/>
        </w:numPr>
        <w:tabs>
          <w:tab w:val="num" w:pos="993"/>
        </w:tabs>
        <w:spacing w:before="60" w:after="60" w:line="288" w:lineRule="auto"/>
        <w:ind w:hanging="11"/>
        <w:jc w:val="both"/>
        <w:rPr>
          <w:u w:val="single"/>
          <w:lang w:val="uk-UA" w:eastAsia="uk-UA" w:bidi="uk-UA"/>
        </w:rPr>
      </w:pPr>
      <w:hyperlink r:id="rId151">
        <w:r w:rsidR="00642FB4">
          <w:rPr>
            <w:rFonts w:eastAsia="Calibri"/>
            <w:color w:val="0000FF"/>
            <w:szCs w:val="22"/>
            <w:u w:val="single"/>
            <w:lang w:val="uk-UA" w:eastAsia="uk-UA" w:bidi="uk-UA"/>
          </w:rPr>
          <w:t>http://culture.pl/en/article/polish-and-ukrainian-tserkvas-make-unesco-list</w:t>
        </w:r>
      </w:hyperlink>
    </w:p>
    <w:p w:rsidR="00642FB4" w:rsidRDefault="00642FB4">
      <w:pPr>
        <w:tabs>
          <w:tab w:val="num" w:pos="993"/>
        </w:tabs>
        <w:spacing w:before="60" w:after="60" w:line="288" w:lineRule="auto"/>
        <w:jc w:val="both"/>
        <w:rPr>
          <w:lang w:val="uk-UA" w:eastAsia="uk-UA" w:bidi="uk-UA"/>
        </w:rPr>
      </w:pPr>
    </w:p>
    <w:p w:rsidR="00642FB4" w:rsidRDefault="00642FB4">
      <w:pPr>
        <w:spacing w:before="60" w:after="60" w:line="288" w:lineRule="auto"/>
        <w:ind w:firstLine="720"/>
        <w:jc w:val="both"/>
        <w:rPr>
          <w:lang w:val="uk-UA" w:eastAsia="uk-UA" w:bidi="uk-UA"/>
        </w:rPr>
      </w:pPr>
      <w:r>
        <w:rPr>
          <w:rFonts w:eastAsia="Calibri"/>
          <w:szCs w:val="22"/>
          <w:lang w:val="uk-UA" w:eastAsia="uk-UA" w:bidi="uk-UA"/>
        </w:rPr>
        <w:t>Складення екологічного звіту про Стратегічну оцінки Операційної Програми Транскордонного Співробітництва Румунія - Україна 2014 ÷ 2020 не стикнулося з жодними труднощами.</w:t>
      </w:r>
    </w:p>
    <w:p w:rsidR="00642FB4" w:rsidRDefault="00642FB4">
      <w:pPr>
        <w:autoSpaceDE w:val="0"/>
        <w:autoSpaceDN w:val="0"/>
        <w:adjustRightInd w:val="0"/>
        <w:spacing w:before="60" w:after="60" w:line="288" w:lineRule="auto"/>
        <w:contextualSpacing/>
        <w:jc w:val="both"/>
        <w:rPr>
          <w:rFonts w:eastAsia="EUAlbertina-Regular-Identity-H" w:cs="Arial"/>
          <w:b/>
          <w:lang w:val="uk-UA" w:eastAsia="uk-UA" w:bidi="uk-UA"/>
        </w:rPr>
        <w:sectPr w:rsidR="00642FB4">
          <w:headerReference w:type="default" r:id="rId152"/>
          <w:footerReference w:type="default" r:id="rId153"/>
          <w:pgSz w:w="11909" w:h="16834" w:code="9"/>
          <w:pgMar w:top="567" w:right="849" w:bottom="567" w:left="1134" w:header="284" w:footer="0" w:gutter="0"/>
          <w:cols w:space="708"/>
          <w:docGrid w:linePitch="360"/>
        </w:sectPr>
      </w:pPr>
    </w:p>
    <w:p w:rsidR="00642FB4" w:rsidRPr="00B521A8" w:rsidRDefault="00B521A8" w:rsidP="001D2B9A">
      <w:pPr>
        <w:pStyle w:val="Title"/>
        <w:rPr>
          <w:rFonts w:ascii="Arial" w:hAnsi="Arial" w:cs="Arial"/>
          <w:sz w:val="24"/>
          <w:szCs w:val="24"/>
          <w:lang w:bidi="uk-UA"/>
        </w:rPr>
      </w:pPr>
      <w:bookmarkStart w:id="160" w:name="_Toc419199677"/>
      <w:bookmarkStart w:id="161" w:name="_Toc412114141"/>
      <w:bookmarkStart w:id="162" w:name="_Toc418279317"/>
      <w:r>
        <w:rPr>
          <w:rFonts w:ascii="Arial" w:eastAsia="Calibri" w:hAnsi="Arial" w:cs="Arial"/>
          <w:sz w:val="24"/>
          <w:szCs w:val="24"/>
          <w:lang w:bidi="uk-UA"/>
        </w:rPr>
        <w:t>10</w:t>
      </w:r>
      <w:r w:rsidR="001D2B9A">
        <w:rPr>
          <w:rFonts w:ascii="Arial" w:eastAsia="Calibri" w:hAnsi="Arial" w:cs="Arial"/>
          <w:sz w:val="24"/>
          <w:szCs w:val="24"/>
          <w:lang w:bidi="uk-UA"/>
        </w:rPr>
        <w:t xml:space="preserve">. </w:t>
      </w:r>
      <w:r w:rsidR="00642FB4" w:rsidRPr="001D2B9A">
        <w:rPr>
          <w:rFonts w:ascii="Arial" w:eastAsia="Calibri" w:hAnsi="Arial" w:cs="Arial"/>
          <w:sz w:val="24"/>
          <w:szCs w:val="24"/>
          <w:lang w:bidi="uk-UA"/>
        </w:rPr>
        <w:t>ОПИС ПЕРЕДБАЧЕНИХ ЗАХОДІВ, СТОСОВНО МОНІТОРИНГУ ВІДПОВІДНО ДО СТАТТІ</w:t>
      </w:r>
      <w:bookmarkEnd w:id="160"/>
      <w:r w:rsidR="00642FB4" w:rsidRPr="001D2B9A">
        <w:rPr>
          <w:rFonts w:ascii="Arial" w:eastAsia="Calibri" w:hAnsi="Arial" w:cs="Arial"/>
          <w:sz w:val="24"/>
          <w:szCs w:val="24"/>
          <w:lang w:bidi="uk-UA"/>
        </w:rPr>
        <w:t xml:space="preserve"> </w:t>
      </w:r>
      <w:bookmarkEnd w:id="161"/>
      <w:bookmarkEnd w:id="162"/>
    </w:p>
    <w:p w:rsidR="00642FB4" w:rsidRDefault="00642FB4">
      <w:pPr>
        <w:ind w:left="720"/>
        <w:contextualSpacing/>
        <w:jc w:val="both"/>
        <w:rPr>
          <w:rFonts w:eastAsia="EUAlbertina-Regular-Identity-H" w:cs="Arial"/>
          <w:b/>
          <w:lang w:val="uk-UA" w:eastAsia="uk-UA" w:bidi="uk-UA"/>
        </w:rPr>
      </w:pPr>
    </w:p>
    <w:p w:rsidR="00642FB4" w:rsidRDefault="00642FB4">
      <w:pPr>
        <w:autoSpaceDE w:val="0"/>
        <w:autoSpaceDN w:val="0"/>
        <w:adjustRightInd w:val="0"/>
        <w:spacing w:before="60" w:after="60" w:line="288" w:lineRule="auto"/>
        <w:ind w:firstLine="720"/>
        <w:contextualSpacing/>
        <w:jc w:val="both"/>
        <w:rPr>
          <w:rFonts w:cs="Arial"/>
          <w:bCs/>
          <w:color w:val="000000"/>
          <w:lang w:val="uk-UA" w:eastAsia="uk-UA" w:bidi="uk-UA"/>
        </w:rPr>
      </w:pPr>
      <w:r>
        <w:rPr>
          <w:rFonts w:eastAsia="Calibri"/>
          <w:color w:val="000000"/>
          <w:szCs w:val="22"/>
          <w:lang w:val="uk-UA" w:eastAsia="uk-UA" w:bidi="uk-UA"/>
        </w:rPr>
        <w:t>Проекти, які будуть фінансуватися з Програми Ro-Ua, будуть дотримуватися національних екологічних законів цих двох країн та ЄС.</w:t>
      </w:r>
    </w:p>
    <w:p w:rsidR="00642FB4" w:rsidRDefault="00642FB4">
      <w:pPr>
        <w:autoSpaceDE w:val="0"/>
        <w:autoSpaceDN w:val="0"/>
        <w:adjustRightInd w:val="0"/>
        <w:spacing w:before="60" w:after="60" w:line="288" w:lineRule="auto"/>
        <w:ind w:firstLine="720"/>
        <w:contextualSpacing/>
        <w:jc w:val="both"/>
        <w:rPr>
          <w:rFonts w:cs="Arial"/>
          <w:bCs/>
          <w:color w:val="000000"/>
          <w:lang w:val="uk-UA" w:eastAsia="uk-UA" w:bidi="uk-UA"/>
        </w:rPr>
      </w:pPr>
      <w:r>
        <w:rPr>
          <w:rFonts w:eastAsia="Calibri"/>
          <w:color w:val="000000"/>
          <w:szCs w:val="22"/>
          <w:lang w:val="uk-UA" w:eastAsia="uk-UA" w:bidi="uk-UA"/>
        </w:rPr>
        <w:t>Стаття 10 Директиви СЕО передбачає те, що суттєві наслідки впровадження планів / програм потрібно контролювати, для ідентифікації, ще на ранній стадії, будь-яких несприятливих ефектів та, щоб мати можливість вжити відповідні заходи виправлення.</w:t>
      </w:r>
    </w:p>
    <w:p w:rsidR="00642FB4" w:rsidRDefault="00642FB4">
      <w:pPr>
        <w:autoSpaceDE w:val="0"/>
        <w:autoSpaceDN w:val="0"/>
        <w:adjustRightInd w:val="0"/>
        <w:spacing w:before="60" w:after="60" w:line="288" w:lineRule="auto"/>
        <w:ind w:firstLine="720"/>
        <w:contextualSpacing/>
        <w:jc w:val="both"/>
        <w:rPr>
          <w:rFonts w:cs="Arial"/>
          <w:bCs/>
          <w:color w:val="000000"/>
          <w:lang w:val="uk-UA" w:eastAsia="uk-UA" w:bidi="uk-UA"/>
        </w:rPr>
      </w:pPr>
      <w:r>
        <w:rPr>
          <w:rFonts w:eastAsia="Calibri"/>
          <w:color w:val="000000"/>
          <w:szCs w:val="22"/>
          <w:lang w:val="uk-UA" w:eastAsia="uk-UA" w:bidi="uk-UA"/>
        </w:rPr>
        <w:t>Система моніторингу, яку буде запропоновано, має в основі екологічні проблеми, на які може суттєво впливати впровадження Програми Транскордонного Співробітництва Ro-UA.</w:t>
      </w:r>
    </w:p>
    <w:p w:rsidR="00642FB4" w:rsidRDefault="00642FB4">
      <w:pPr>
        <w:autoSpaceDE w:val="0"/>
        <w:autoSpaceDN w:val="0"/>
        <w:adjustRightInd w:val="0"/>
        <w:spacing w:before="60" w:after="60" w:line="288" w:lineRule="auto"/>
        <w:ind w:firstLine="720"/>
        <w:contextualSpacing/>
        <w:jc w:val="both"/>
        <w:rPr>
          <w:rFonts w:cs="Arial"/>
          <w:bCs/>
          <w:color w:val="000000"/>
          <w:lang w:val="uk-UA" w:eastAsia="uk-UA" w:bidi="uk-UA"/>
        </w:rPr>
      </w:pPr>
      <w:r>
        <w:rPr>
          <w:rFonts w:eastAsia="Calibri"/>
          <w:color w:val="000000"/>
          <w:szCs w:val="22"/>
          <w:lang w:val="uk-UA" w:eastAsia="uk-UA" w:bidi="uk-UA"/>
        </w:rPr>
        <w:t>Для моніторингу впливу Програми на навколишнє середовище потрібно враховувати наступні принципи:</w:t>
      </w:r>
    </w:p>
    <w:p w:rsidR="00642FB4" w:rsidRDefault="00642FB4">
      <w:pPr>
        <w:numPr>
          <w:ilvl w:val="0"/>
          <w:numId w:val="26"/>
        </w:numPr>
        <w:tabs>
          <w:tab w:val="left" w:pos="1080"/>
        </w:tabs>
        <w:spacing w:before="60" w:after="60" w:line="288" w:lineRule="auto"/>
        <w:ind w:left="1080"/>
        <w:jc w:val="both"/>
        <w:rPr>
          <w:lang w:val="uk-UA" w:eastAsia="uk-UA" w:bidi="uk-UA"/>
        </w:rPr>
      </w:pPr>
      <w:r>
        <w:rPr>
          <w:rFonts w:eastAsia="Calibri"/>
          <w:szCs w:val="22"/>
          <w:lang w:val="uk-UA" w:eastAsia="uk-UA" w:bidi="uk-UA"/>
        </w:rPr>
        <w:t>Сприяння енергоефективності, скорочення використання сировини / небезпечних речовин;</w:t>
      </w:r>
    </w:p>
    <w:p w:rsidR="00642FB4" w:rsidRDefault="00642FB4">
      <w:pPr>
        <w:numPr>
          <w:ilvl w:val="0"/>
          <w:numId w:val="26"/>
        </w:numPr>
        <w:tabs>
          <w:tab w:val="left" w:pos="1080"/>
        </w:tabs>
        <w:spacing w:before="60" w:after="60" w:line="288" w:lineRule="auto"/>
        <w:ind w:left="1080"/>
        <w:jc w:val="both"/>
        <w:rPr>
          <w:lang w:val="uk-UA" w:eastAsia="uk-UA" w:bidi="uk-UA"/>
        </w:rPr>
      </w:pPr>
      <w:r>
        <w:rPr>
          <w:rFonts w:eastAsia="Calibri"/>
          <w:szCs w:val="22"/>
          <w:lang w:val="uk-UA" w:eastAsia="uk-UA" w:bidi="uk-UA"/>
        </w:rPr>
        <w:t>Сприяння розвитку зеленої інфраструктури, в тому числі управління охоронюваними територіями;</w:t>
      </w:r>
    </w:p>
    <w:p w:rsidR="00642FB4" w:rsidRDefault="00642FB4">
      <w:pPr>
        <w:numPr>
          <w:ilvl w:val="0"/>
          <w:numId w:val="26"/>
        </w:numPr>
        <w:tabs>
          <w:tab w:val="left" w:pos="1080"/>
        </w:tabs>
        <w:spacing w:before="60" w:after="60" w:line="288" w:lineRule="auto"/>
        <w:ind w:left="1080"/>
        <w:jc w:val="both"/>
        <w:rPr>
          <w:lang w:val="uk-UA" w:eastAsia="uk-UA" w:bidi="uk-UA"/>
        </w:rPr>
      </w:pPr>
      <w:r>
        <w:rPr>
          <w:rFonts w:eastAsia="Calibri"/>
          <w:szCs w:val="22"/>
          <w:lang w:val="uk-UA" w:eastAsia="uk-UA" w:bidi="uk-UA"/>
        </w:rPr>
        <w:t>Внесок в управління адекватним використанням поверхневих вод / ґрунтових вод;</w:t>
      </w:r>
    </w:p>
    <w:p w:rsidR="00642FB4" w:rsidRDefault="00642FB4">
      <w:pPr>
        <w:numPr>
          <w:ilvl w:val="0"/>
          <w:numId w:val="26"/>
        </w:numPr>
        <w:tabs>
          <w:tab w:val="left" w:pos="1080"/>
        </w:tabs>
        <w:spacing w:before="60" w:after="60" w:line="288" w:lineRule="auto"/>
        <w:ind w:left="1080"/>
        <w:jc w:val="both"/>
        <w:rPr>
          <w:lang w:val="uk-UA" w:eastAsia="uk-UA" w:bidi="uk-UA"/>
        </w:rPr>
      </w:pPr>
      <w:r>
        <w:rPr>
          <w:rFonts w:eastAsia="Calibri"/>
          <w:szCs w:val="22"/>
          <w:lang w:val="uk-UA" w:eastAsia="uk-UA" w:bidi="uk-UA"/>
        </w:rPr>
        <w:t>Сприяння стійкій мобільності та змішаному транспорту;</w:t>
      </w:r>
    </w:p>
    <w:p w:rsidR="00642FB4" w:rsidRDefault="00642FB4">
      <w:pPr>
        <w:numPr>
          <w:ilvl w:val="0"/>
          <w:numId w:val="26"/>
        </w:numPr>
        <w:tabs>
          <w:tab w:val="left" w:pos="1080"/>
        </w:tabs>
        <w:spacing w:before="60" w:after="60" w:line="288" w:lineRule="auto"/>
        <w:ind w:left="1080"/>
        <w:jc w:val="both"/>
        <w:rPr>
          <w:lang w:val="uk-UA" w:eastAsia="uk-UA" w:bidi="uk-UA"/>
        </w:rPr>
      </w:pPr>
      <w:r>
        <w:rPr>
          <w:rFonts w:eastAsia="Calibri"/>
          <w:szCs w:val="22"/>
          <w:lang w:val="uk-UA" w:eastAsia="uk-UA" w:bidi="uk-UA"/>
        </w:rPr>
        <w:t>Внесок у ефективне управління відходами, у їх рециркуляцію та утилізацію;</w:t>
      </w:r>
    </w:p>
    <w:p w:rsidR="00642FB4" w:rsidRDefault="00642FB4">
      <w:pPr>
        <w:numPr>
          <w:ilvl w:val="0"/>
          <w:numId w:val="26"/>
        </w:numPr>
        <w:tabs>
          <w:tab w:val="left" w:pos="1080"/>
        </w:tabs>
        <w:spacing w:before="60" w:after="60" w:line="288" w:lineRule="auto"/>
        <w:ind w:left="1080"/>
        <w:jc w:val="both"/>
        <w:rPr>
          <w:lang w:val="uk-UA" w:eastAsia="uk-UA" w:bidi="uk-UA"/>
        </w:rPr>
      </w:pPr>
      <w:r>
        <w:rPr>
          <w:rFonts w:eastAsia="Calibri"/>
          <w:szCs w:val="22"/>
          <w:lang w:val="uk-UA" w:eastAsia="uk-UA" w:bidi="uk-UA"/>
        </w:rPr>
        <w:t>Сприяння запобіганню ризикам / стихійним лихам та адаптації до зміни клімату;</w:t>
      </w:r>
    </w:p>
    <w:p w:rsidR="00642FB4" w:rsidRDefault="00642FB4">
      <w:pPr>
        <w:numPr>
          <w:ilvl w:val="0"/>
          <w:numId w:val="26"/>
        </w:numPr>
        <w:tabs>
          <w:tab w:val="left" w:pos="1080"/>
        </w:tabs>
        <w:spacing w:before="60" w:after="60" w:line="288" w:lineRule="auto"/>
        <w:ind w:left="1080"/>
        <w:jc w:val="both"/>
        <w:rPr>
          <w:lang w:val="uk-UA" w:eastAsia="uk-UA" w:bidi="uk-UA"/>
        </w:rPr>
      </w:pPr>
      <w:r>
        <w:rPr>
          <w:rFonts w:eastAsia="Calibri"/>
          <w:szCs w:val="22"/>
          <w:lang w:val="uk-UA" w:eastAsia="uk-UA" w:bidi="uk-UA"/>
        </w:rPr>
        <w:t>Застосування принципу зелених державних закупівель.</w:t>
      </w:r>
    </w:p>
    <w:p w:rsidR="00642FB4" w:rsidRDefault="00642FB4">
      <w:pPr>
        <w:tabs>
          <w:tab w:val="left" w:pos="1080"/>
        </w:tabs>
        <w:spacing w:before="60" w:after="60" w:line="288" w:lineRule="auto"/>
        <w:ind w:left="1080"/>
        <w:jc w:val="both"/>
        <w:rPr>
          <w:lang w:val="uk-UA" w:eastAsia="uk-UA" w:bidi="uk-UA"/>
        </w:rPr>
      </w:pPr>
    </w:p>
    <w:p w:rsidR="00642FB4" w:rsidRPr="001D2B9A" w:rsidRDefault="00642FB4">
      <w:pPr>
        <w:autoSpaceDE w:val="0"/>
        <w:autoSpaceDN w:val="0"/>
        <w:adjustRightInd w:val="0"/>
        <w:spacing w:before="60" w:after="60" w:line="288" w:lineRule="auto"/>
        <w:ind w:firstLine="709"/>
        <w:contextualSpacing/>
        <w:jc w:val="both"/>
        <w:rPr>
          <w:rFonts w:cs="Arial"/>
          <w:bCs/>
          <w:lang w:val="uk-UA" w:eastAsia="uk-UA" w:bidi="uk-UA"/>
        </w:rPr>
      </w:pPr>
      <w:r w:rsidRPr="001D2B9A">
        <w:rPr>
          <w:rFonts w:eastAsia="Calibri"/>
          <w:szCs w:val="22"/>
          <w:lang w:val="uk-UA" w:eastAsia="uk-UA" w:bidi="uk-UA"/>
        </w:rPr>
        <w:t xml:space="preserve">Під час моніторингу впливу Програми на навколишнє середовище була оцінена ступінь в якій, запропоновані показники на рівні програми, підходять для моніторингу впливу на навколишнє середовище та було надано рекомендації щодо їх зміни відповідно до таблиць наведених нижче. </w:t>
      </w:r>
    </w:p>
    <w:tbl>
      <w:tblPr>
        <w:tblpPr w:leftFromText="180" w:rightFromText="180" w:horzAnchor="page" w:tblpX="1029"/>
        <w:tblW w:w="104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2835"/>
        <w:gridCol w:w="2693"/>
        <w:gridCol w:w="2551"/>
        <w:gridCol w:w="172"/>
      </w:tblGrid>
      <w:tr w:rsidR="001D2B9A" w:rsidRPr="001D2B9A" w:rsidTr="001D2B9A">
        <w:tc>
          <w:tcPr>
            <w:tcW w:w="2235" w:type="dxa"/>
            <w:shd w:val="clear" w:color="auto" w:fill="auto"/>
          </w:tcPr>
          <w:p w:rsidR="00642FB4" w:rsidRPr="001D2B9A" w:rsidRDefault="00642FB4">
            <w:pPr>
              <w:autoSpaceDE w:val="0"/>
              <w:autoSpaceDN w:val="0"/>
              <w:adjustRightInd w:val="0"/>
              <w:contextualSpacing/>
              <w:jc w:val="both"/>
              <w:rPr>
                <w:rFonts w:cs="Arial"/>
                <w:b/>
                <w:bCs/>
                <w:sz w:val="22"/>
                <w:szCs w:val="22"/>
                <w:lang w:val="uk-UA" w:eastAsia="uk-UA" w:bidi="uk-UA"/>
              </w:rPr>
            </w:pPr>
            <w:r w:rsidRPr="001D2B9A">
              <w:rPr>
                <w:rFonts w:eastAsia="Calibri"/>
                <w:b/>
                <w:sz w:val="22"/>
                <w:szCs w:val="22"/>
                <w:lang w:val="uk-UA" w:eastAsia="uk-UA" w:bidi="uk-UA"/>
              </w:rPr>
              <w:t>Тематична ціль</w:t>
            </w:r>
          </w:p>
        </w:tc>
        <w:tc>
          <w:tcPr>
            <w:tcW w:w="2835" w:type="dxa"/>
            <w:shd w:val="clear" w:color="auto" w:fill="auto"/>
          </w:tcPr>
          <w:p w:rsidR="00642FB4" w:rsidRPr="001D2B9A" w:rsidRDefault="00642FB4">
            <w:pPr>
              <w:autoSpaceDE w:val="0"/>
              <w:autoSpaceDN w:val="0"/>
              <w:adjustRightInd w:val="0"/>
              <w:contextualSpacing/>
              <w:jc w:val="both"/>
              <w:rPr>
                <w:rFonts w:cs="Arial"/>
                <w:b/>
                <w:bCs/>
                <w:sz w:val="22"/>
                <w:szCs w:val="22"/>
                <w:lang w:val="uk-UA" w:eastAsia="uk-UA" w:bidi="uk-UA"/>
              </w:rPr>
            </w:pPr>
            <w:r w:rsidRPr="001D2B9A">
              <w:rPr>
                <w:rFonts w:eastAsia="Calibri"/>
                <w:b/>
                <w:sz w:val="22"/>
                <w:szCs w:val="22"/>
                <w:lang w:val="uk-UA" w:eastAsia="uk-UA" w:bidi="uk-UA"/>
              </w:rPr>
              <w:t>Пріоритет</w:t>
            </w:r>
          </w:p>
        </w:tc>
        <w:tc>
          <w:tcPr>
            <w:tcW w:w="2693" w:type="dxa"/>
            <w:shd w:val="clear" w:color="auto" w:fill="auto"/>
          </w:tcPr>
          <w:p w:rsidR="00642FB4" w:rsidRPr="001D2B9A" w:rsidRDefault="00642FB4">
            <w:pPr>
              <w:autoSpaceDE w:val="0"/>
              <w:autoSpaceDN w:val="0"/>
              <w:adjustRightInd w:val="0"/>
              <w:contextualSpacing/>
              <w:jc w:val="both"/>
              <w:rPr>
                <w:rFonts w:cs="Arial"/>
                <w:b/>
                <w:bCs/>
                <w:sz w:val="22"/>
                <w:szCs w:val="22"/>
                <w:lang w:val="uk-UA" w:eastAsia="uk-UA" w:bidi="uk-UA"/>
              </w:rPr>
            </w:pPr>
            <w:r w:rsidRPr="001D2B9A">
              <w:rPr>
                <w:rFonts w:eastAsia="Calibri"/>
                <w:b/>
                <w:sz w:val="22"/>
                <w:szCs w:val="22"/>
                <w:lang w:val="uk-UA" w:eastAsia="uk-UA" w:bidi="uk-UA"/>
              </w:rPr>
              <w:t>Оцінка показників</w:t>
            </w:r>
          </w:p>
        </w:tc>
        <w:tc>
          <w:tcPr>
            <w:tcW w:w="2723" w:type="dxa"/>
            <w:gridSpan w:val="2"/>
            <w:shd w:val="clear" w:color="auto" w:fill="auto"/>
          </w:tcPr>
          <w:p w:rsidR="00642FB4" w:rsidRPr="001D2B9A" w:rsidRDefault="00642FB4">
            <w:pPr>
              <w:autoSpaceDE w:val="0"/>
              <w:autoSpaceDN w:val="0"/>
              <w:adjustRightInd w:val="0"/>
              <w:contextualSpacing/>
              <w:jc w:val="both"/>
              <w:rPr>
                <w:rFonts w:cs="Arial"/>
                <w:b/>
                <w:bCs/>
                <w:sz w:val="22"/>
                <w:szCs w:val="22"/>
                <w:lang w:val="uk-UA" w:eastAsia="uk-UA" w:bidi="uk-UA"/>
              </w:rPr>
            </w:pPr>
            <w:r w:rsidRPr="001D2B9A">
              <w:rPr>
                <w:rFonts w:eastAsia="Calibri"/>
                <w:b/>
                <w:sz w:val="22"/>
                <w:szCs w:val="22"/>
                <w:lang w:val="uk-UA" w:eastAsia="uk-UA" w:bidi="uk-UA"/>
              </w:rPr>
              <w:t>Рекомендації</w:t>
            </w:r>
          </w:p>
        </w:tc>
      </w:tr>
      <w:tr w:rsidR="001D2B9A" w:rsidRPr="001D2B9A" w:rsidTr="001D2B9A">
        <w:trPr>
          <w:gridAfter w:val="1"/>
          <w:wAfter w:w="172" w:type="dxa"/>
          <w:trHeight w:val="377"/>
        </w:trPr>
        <w:tc>
          <w:tcPr>
            <w:tcW w:w="2235" w:type="dxa"/>
            <w:vMerge w:val="restart"/>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b/>
                <w:i/>
                <w:sz w:val="22"/>
                <w:szCs w:val="22"/>
                <w:lang w:val="uk-UA" w:eastAsia="uk-UA" w:bidi="uk-UA"/>
              </w:rPr>
              <w:t>OT2 - ПІДТРИМКА ОСВІТИ, ДОСЛІДЖЕНЬ, ТЕХНОЛОГІЧНОГО РОЗВИТКУ ТА ІННОВАЦІЙ</w:t>
            </w:r>
            <w:r w:rsidRPr="001D2B9A">
              <w:rPr>
                <w:rFonts w:eastAsia="Calibri"/>
                <w:b/>
                <w:sz w:val="22"/>
                <w:szCs w:val="22"/>
                <w:lang w:val="uk-UA" w:eastAsia="uk-UA" w:bidi="uk-UA"/>
              </w:rPr>
              <w:t xml:space="preserve"> </w:t>
            </w:r>
          </w:p>
          <w:p w:rsidR="00642FB4" w:rsidRPr="001D2B9A" w:rsidRDefault="00642FB4">
            <w:pPr>
              <w:autoSpaceDE w:val="0"/>
              <w:autoSpaceDN w:val="0"/>
              <w:adjustRightInd w:val="0"/>
              <w:contextualSpacing/>
              <w:rPr>
                <w:rFonts w:cs="Arial"/>
                <w:bCs/>
                <w:i/>
                <w:sz w:val="22"/>
                <w:szCs w:val="22"/>
                <w:lang w:val="uk-UA" w:eastAsia="uk-UA" w:bidi="uk-UA"/>
              </w:rPr>
            </w:pPr>
            <w:r w:rsidRPr="001D2B9A">
              <w:rPr>
                <w:rFonts w:eastAsia="Calibri"/>
                <w:b/>
                <w:i/>
                <w:sz w:val="22"/>
                <w:szCs w:val="22"/>
                <w:lang w:val="uk-UA" w:eastAsia="uk-UA" w:bidi="uk-UA"/>
              </w:rPr>
              <w:t>Ціль 1</w:t>
            </w:r>
            <w:r w:rsidRPr="001D2B9A">
              <w:rPr>
                <w:rFonts w:eastAsia="Calibri"/>
                <w:sz w:val="22"/>
                <w:szCs w:val="22"/>
                <w:lang w:val="uk-UA" w:eastAsia="uk-UA" w:bidi="uk-UA"/>
              </w:rPr>
              <w:t xml:space="preserve">: </w:t>
            </w:r>
            <w:r w:rsidRPr="001D2B9A">
              <w:rPr>
                <w:rFonts w:eastAsia="Calibri"/>
                <w:i/>
                <w:sz w:val="22"/>
                <w:szCs w:val="22"/>
                <w:lang w:val="uk-UA" w:eastAsia="uk-UA" w:bidi="uk-UA"/>
              </w:rPr>
              <w:t xml:space="preserve">Розвиток системи освіти та підтримка досліджень та інновацій на території програми шляхом сприяння співробітництву на місцевому, регіональному та центральному рівнях </w:t>
            </w:r>
          </w:p>
          <w:p w:rsidR="00642FB4" w:rsidRPr="001D2B9A" w:rsidRDefault="00642FB4">
            <w:pPr>
              <w:autoSpaceDE w:val="0"/>
              <w:autoSpaceDN w:val="0"/>
              <w:adjustRightInd w:val="0"/>
              <w:contextualSpacing/>
              <w:jc w:val="both"/>
              <w:rPr>
                <w:rFonts w:cs="Arial"/>
                <w:bCs/>
                <w:sz w:val="22"/>
                <w:szCs w:val="22"/>
                <w:lang w:val="uk-UA" w:eastAsia="uk-UA" w:bidi="uk-UA"/>
              </w:rPr>
            </w:pPr>
          </w:p>
        </w:tc>
        <w:tc>
          <w:tcPr>
            <w:tcW w:w="2835" w:type="dxa"/>
            <w:shd w:val="clear" w:color="auto" w:fill="auto"/>
          </w:tcPr>
          <w:p w:rsidR="00642FB4" w:rsidRPr="001D2B9A" w:rsidRDefault="00642FB4">
            <w:pPr>
              <w:tabs>
                <w:tab w:val="left" w:pos="12758"/>
              </w:tabs>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П1.1 Інституційна співпраця у галузі освіти з метою розширення доступу до освіти та якості освіти</w:t>
            </w:r>
          </w:p>
        </w:tc>
        <w:tc>
          <w:tcPr>
            <w:tcW w:w="2693"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 xml:space="preserve">Для того, щоб побачити наслідки запропонованих індикативних заходів на навколишнє середовище необхідно включити додатковий показник для Програми: </w:t>
            </w:r>
            <w:r w:rsidRPr="001D2B9A">
              <w:rPr>
                <w:rFonts w:eastAsia="Calibri"/>
                <w:i/>
                <w:sz w:val="22"/>
                <w:szCs w:val="22"/>
                <w:lang w:val="uk-UA" w:eastAsia="uk-UA" w:bidi="uk-UA"/>
              </w:rPr>
              <w:t>"Кількість відновлених / модернізованих навчальних закладів".</w:t>
            </w:r>
            <w:r w:rsidRPr="001D2B9A">
              <w:rPr>
                <w:rFonts w:eastAsia="Calibri"/>
                <w:b/>
                <w:i/>
                <w:sz w:val="22"/>
                <w:szCs w:val="22"/>
                <w:lang w:val="uk-UA" w:eastAsia="uk-UA" w:bidi="uk-UA"/>
              </w:rPr>
              <w:t xml:space="preserve"> </w:t>
            </w:r>
            <w:r w:rsidRPr="001D2B9A">
              <w:rPr>
                <w:rFonts w:eastAsia="Calibri"/>
                <w:sz w:val="22"/>
                <w:szCs w:val="22"/>
                <w:lang w:val="uk-UA" w:eastAsia="uk-UA" w:bidi="uk-UA"/>
              </w:rPr>
              <w:t>Його можна легко визначити разом з запропонованим для Програми показником</w:t>
            </w:r>
          </w:p>
        </w:tc>
        <w:tc>
          <w:tcPr>
            <w:tcW w:w="2551"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Відновлення/модернізація / розширення / оснащення будівель для освітніх цілей повинні відповідати всім екологічним вимогам і застосовувати найкращі екологічні практики, такі як енергоефективність та управління відходами.</w:t>
            </w:r>
          </w:p>
          <w:p w:rsidR="00642FB4" w:rsidRPr="001D2B9A" w:rsidRDefault="00642FB4">
            <w:pPr>
              <w:autoSpaceDE w:val="0"/>
              <w:autoSpaceDN w:val="0"/>
              <w:adjustRightInd w:val="0"/>
              <w:contextualSpacing/>
              <w:jc w:val="both"/>
              <w:rPr>
                <w:rFonts w:cs="Arial"/>
                <w:bCs/>
                <w:sz w:val="22"/>
                <w:szCs w:val="22"/>
                <w:lang w:val="uk-UA" w:eastAsia="uk-UA" w:bidi="uk-UA"/>
              </w:rPr>
            </w:pPr>
          </w:p>
        </w:tc>
      </w:tr>
      <w:tr w:rsidR="001D2B9A" w:rsidRPr="001D2B9A" w:rsidTr="001D2B9A">
        <w:trPr>
          <w:gridAfter w:val="1"/>
          <w:wAfter w:w="172" w:type="dxa"/>
          <w:trHeight w:val="1194"/>
        </w:trPr>
        <w:tc>
          <w:tcPr>
            <w:tcW w:w="2235" w:type="dxa"/>
            <w:vMerge/>
            <w:shd w:val="clear" w:color="auto" w:fill="auto"/>
          </w:tcPr>
          <w:p w:rsidR="00642FB4" w:rsidRPr="001D2B9A" w:rsidRDefault="00642FB4">
            <w:pPr>
              <w:autoSpaceDE w:val="0"/>
              <w:autoSpaceDN w:val="0"/>
              <w:adjustRightInd w:val="0"/>
              <w:contextualSpacing/>
              <w:jc w:val="both"/>
              <w:rPr>
                <w:rFonts w:cs="Arial"/>
                <w:b/>
                <w:bCs/>
                <w:i/>
                <w:sz w:val="22"/>
                <w:szCs w:val="22"/>
                <w:lang w:val="uk-UA" w:eastAsia="uk-UA" w:bidi="uk-UA"/>
              </w:rPr>
            </w:pPr>
          </w:p>
        </w:tc>
        <w:tc>
          <w:tcPr>
            <w:tcW w:w="2835"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П 1.2  Просування та підтримка досліджень та інновацій</w:t>
            </w:r>
          </w:p>
        </w:tc>
        <w:tc>
          <w:tcPr>
            <w:tcW w:w="2693"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 xml:space="preserve">Запропонований для Програми показник моніторингу </w:t>
            </w:r>
            <w:r w:rsidRPr="001D2B9A">
              <w:rPr>
                <w:rFonts w:eastAsia="Calibri"/>
                <w:i/>
                <w:sz w:val="22"/>
                <w:szCs w:val="22"/>
                <w:lang w:val="uk-UA" w:eastAsia="uk-UA" w:bidi="uk-UA"/>
              </w:rPr>
              <w:t>„Кількість установ, які використовують кошти програми для співпраці в R&amp;D та інновації”</w:t>
            </w:r>
            <w:r w:rsidRPr="001D2B9A">
              <w:rPr>
                <w:rFonts w:eastAsia="Calibri"/>
                <w:sz w:val="22"/>
                <w:szCs w:val="22"/>
                <w:lang w:val="uk-UA" w:eastAsia="uk-UA" w:bidi="uk-UA"/>
              </w:rPr>
              <w:t xml:space="preserve"> може також відображати і вплив на навколишнє середовище</w:t>
            </w:r>
          </w:p>
        </w:tc>
        <w:tc>
          <w:tcPr>
            <w:tcW w:w="2551"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Відновлення/модернізація / розширення інфраструктури для досліджень та інновації повинні відповідати всім екологічним вимогам і застосовувати найкращі екологічні практики, такі як енергоефективність, управління відходами і т.д.</w:t>
            </w:r>
          </w:p>
        </w:tc>
      </w:tr>
      <w:tr w:rsidR="001D2B9A" w:rsidRPr="001D2B9A" w:rsidTr="001D2B9A">
        <w:trPr>
          <w:gridAfter w:val="1"/>
          <w:wAfter w:w="172" w:type="dxa"/>
        </w:trPr>
        <w:tc>
          <w:tcPr>
            <w:tcW w:w="2235" w:type="dxa"/>
            <w:shd w:val="clear" w:color="auto" w:fill="auto"/>
          </w:tcPr>
          <w:p w:rsidR="00642FB4" w:rsidRPr="001D2B9A" w:rsidRDefault="00642FB4">
            <w:pPr>
              <w:autoSpaceDE w:val="0"/>
              <w:autoSpaceDN w:val="0"/>
              <w:adjustRightInd w:val="0"/>
              <w:contextualSpacing/>
              <w:rPr>
                <w:rFonts w:cs="Arial"/>
                <w:b/>
                <w:bCs/>
                <w:sz w:val="22"/>
                <w:szCs w:val="22"/>
                <w:lang w:val="uk-UA" w:eastAsia="uk-UA" w:bidi="uk-UA"/>
              </w:rPr>
            </w:pPr>
            <w:r w:rsidRPr="001D2B9A">
              <w:rPr>
                <w:rFonts w:eastAsia="Calibri"/>
                <w:b/>
                <w:sz w:val="22"/>
                <w:szCs w:val="22"/>
                <w:lang w:val="uk-UA" w:eastAsia="uk-UA" w:bidi="uk-UA"/>
              </w:rPr>
              <w:t>OT3 - ПРОСУВАННЯ МІСЦЕВОЇ КУЛЬТУРИ ТА ЗБЕРЕЖЕННЯ ІСТОРИЧНОЇ СПАДЩИНИ</w:t>
            </w:r>
          </w:p>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b/>
                <w:i/>
                <w:sz w:val="22"/>
                <w:szCs w:val="22"/>
                <w:lang w:val="uk-UA" w:eastAsia="uk-UA" w:bidi="uk-UA"/>
              </w:rPr>
              <w:t xml:space="preserve">Ціль 2: </w:t>
            </w:r>
            <w:r w:rsidRPr="001D2B9A">
              <w:rPr>
                <w:rFonts w:eastAsia="Calibri"/>
                <w:sz w:val="22"/>
                <w:szCs w:val="22"/>
                <w:lang w:val="uk-UA" w:eastAsia="uk-UA" w:bidi="uk-UA"/>
              </w:rPr>
              <w:t xml:space="preserve"> Збереження культурної та історичної спадщини на прийнятних територіях, підтримка розвитку місцевої культури, специфічної культурної самобутності та культурного діалогу</w:t>
            </w:r>
          </w:p>
        </w:tc>
        <w:tc>
          <w:tcPr>
            <w:tcW w:w="2835"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П 2.1 Збереження і просування культурної та історичної спадщини</w:t>
            </w:r>
          </w:p>
        </w:tc>
        <w:tc>
          <w:tcPr>
            <w:tcW w:w="2693"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 xml:space="preserve">Запропонований Програмою показник моніторингу  </w:t>
            </w:r>
            <w:r w:rsidRPr="001D2B9A">
              <w:rPr>
                <w:rFonts w:eastAsia="Calibri"/>
                <w:i/>
                <w:sz w:val="22"/>
                <w:szCs w:val="22"/>
                <w:lang w:val="uk-UA" w:eastAsia="uk-UA" w:bidi="uk-UA"/>
              </w:rPr>
              <w:t xml:space="preserve">„Кількість користуючихся культурних та історичних пам'яток” </w:t>
            </w:r>
            <w:r w:rsidRPr="001D2B9A">
              <w:rPr>
                <w:rFonts w:eastAsia="Calibri"/>
                <w:sz w:val="22"/>
                <w:szCs w:val="22"/>
                <w:lang w:val="uk-UA" w:eastAsia="uk-UA" w:bidi="uk-UA"/>
              </w:rPr>
              <w:t>можна виділити впливи в результаті виконання проектів фінансованих індикативними заходами в рамках цього пріоритету, які входять до складу цієї культурної та історичної спадщини</w:t>
            </w:r>
          </w:p>
        </w:tc>
        <w:tc>
          <w:tcPr>
            <w:tcW w:w="2551"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Технології, які будуть використовуватися для відновлення, збереження та зміцнення культурних та історичних пам'ятників, необхідно вибрати таким чином, щоб, наскільки це можливо, вплив екологічних аспектів був зведений до мінімуму.</w:t>
            </w:r>
          </w:p>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Вибір відповідних технологій для відновлення / збереження та чіткого їх дотримання, таким чином, щоб обрані рішення не впливали на види флори, фауни та водних екосистем у цьому районі</w:t>
            </w:r>
          </w:p>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З митою забезпечення безпеки та валоризації пам'ятників і об'єктів культурної та історичної спадщини, необхідно  взяти до уваги енергоефективні рішення та, при необхідності,  застосовувати інтегроване управління відходами.</w:t>
            </w:r>
          </w:p>
        </w:tc>
      </w:tr>
      <w:tr w:rsidR="001D2B9A" w:rsidRPr="001D2B9A" w:rsidTr="001D2B9A">
        <w:trPr>
          <w:gridAfter w:val="1"/>
          <w:wAfter w:w="172" w:type="dxa"/>
          <w:trHeight w:val="235"/>
        </w:trPr>
        <w:tc>
          <w:tcPr>
            <w:tcW w:w="2235" w:type="dxa"/>
            <w:shd w:val="clear" w:color="auto" w:fill="auto"/>
          </w:tcPr>
          <w:p w:rsidR="00642FB4" w:rsidRPr="001D2B9A" w:rsidRDefault="00642FB4">
            <w:pPr>
              <w:autoSpaceDE w:val="0"/>
              <w:autoSpaceDN w:val="0"/>
              <w:adjustRightInd w:val="0"/>
              <w:contextualSpacing/>
              <w:rPr>
                <w:rFonts w:cs="Arial"/>
                <w:b/>
                <w:bCs/>
                <w:sz w:val="22"/>
                <w:szCs w:val="22"/>
                <w:lang w:val="uk-UA" w:eastAsia="uk-UA" w:bidi="uk-UA"/>
              </w:rPr>
            </w:pPr>
            <w:r w:rsidRPr="001D2B9A">
              <w:rPr>
                <w:rFonts w:eastAsia="Calibri"/>
                <w:b/>
                <w:sz w:val="22"/>
                <w:szCs w:val="22"/>
                <w:lang w:val="uk-UA" w:eastAsia="uk-UA" w:bidi="uk-UA"/>
              </w:rPr>
              <w:t xml:space="preserve">OT7 - ПОЛІПШЕННЯ ДОСТУПНОСТІ В РЕГІОНАХ, РОЗВИТОК СТІЙКО РОЗВИВАЮЧОГОСЯ ТРАНСПОРТУ ТА МЕРЕЖ І СИСТЕМ ЗВ'ЯЗКУ </w:t>
            </w:r>
          </w:p>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b/>
                <w:i/>
                <w:sz w:val="22"/>
                <w:szCs w:val="22"/>
                <w:lang w:val="uk-UA" w:eastAsia="uk-UA" w:bidi="uk-UA"/>
              </w:rPr>
              <w:t>Ціль 3</w:t>
            </w:r>
            <w:r w:rsidRPr="001D2B9A">
              <w:rPr>
                <w:rFonts w:eastAsia="Calibri"/>
                <w:sz w:val="22"/>
                <w:szCs w:val="22"/>
                <w:lang w:val="uk-UA" w:eastAsia="uk-UA" w:bidi="uk-UA"/>
              </w:rPr>
              <w:t>: Поліпшення послуг громадського транспорту, інфраструктури і співпраці, а також ІКТ networking</w:t>
            </w:r>
          </w:p>
        </w:tc>
        <w:tc>
          <w:tcPr>
            <w:tcW w:w="2835"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П 3.1 Розвиток транскордонної транспортної інфраструктури та ІКТ інструментів</w:t>
            </w:r>
          </w:p>
        </w:tc>
        <w:tc>
          <w:tcPr>
            <w:tcW w:w="2693"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Моніторинг впливу пріоритету вимагає включення додаткового показника для Програми:</w:t>
            </w:r>
          </w:p>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b/>
                <w:i/>
                <w:sz w:val="22"/>
                <w:szCs w:val="22"/>
                <w:lang w:val="uk-UA" w:eastAsia="uk-UA" w:bidi="uk-UA"/>
              </w:rPr>
              <w:t>”Кількість проектів, що підтримують розвиток транспортних ініціатив з низьким впливом на навколишнє середовище„</w:t>
            </w:r>
            <w:r w:rsidRPr="001D2B9A">
              <w:rPr>
                <w:rFonts w:eastAsia="Calibri"/>
                <w:sz w:val="22"/>
                <w:szCs w:val="22"/>
                <w:lang w:val="uk-UA" w:eastAsia="uk-UA" w:bidi="uk-UA"/>
              </w:rPr>
              <w:t xml:space="preserve"> які би чітко відображали спосіб, за допомогою якого індикативні заходи сприятимуть зниженню впливу транспорту на навколишнє середовище.</w:t>
            </w:r>
          </w:p>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 xml:space="preserve">Другий запропонований для Програми показник, а саме </w:t>
            </w:r>
            <w:r w:rsidRPr="001D2B9A">
              <w:rPr>
                <w:rFonts w:eastAsia="Calibri"/>
                <w:i/>
                <w:sz w:val="22"/>
                <w:szCs w:val="22"/>
                <w:lang w:val="uk-UA" w:eastAsia="uk-UA" w:bidi="uk-UA"/>
              </w:rPr>
              <w:t>„Загальна протяжність відновлених та реконструйованих доріг”</w:t>
            </w:r>
            <w:r w:rsidRPr="001D2B9A">
              <w:rPr>
                <w:rFonts w:eastAsia="Calibri"/>
                <w:sz w:val="22"/>
                <w:szCs w:val="22"/>
                <w:lang w:val="uk-UA" w:eastAsia="uk-UA" w:bidi="uk-UA"/>
              </w:rPr>
              <w:t xml:space="preserve">, може відображати позитивний вплив здійснення таких індикативних заходів на навколишнє середовище </w:t>
            </w:r>
          </w:p>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Робота зі сприяння змішаному транспорту повинна бути відображена в показниках. Рекомендується реформулювати показник про кількість спільних стратегій так, щоб він відображав також і змішаний транспорт.</w:t>
            </w:r>
          </w:p>
        </w:tc>
        <w:tc>
          <w:tcPr>
            <w:tcW w:w="2551"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Будівництво, відновлення, модернізація, розвиток, вдосконалення транскордонної транспортної інфраструктури повинні пройти процедуру ОВНС / СЕО та при необхідності, шляхом відповідної оцінки, щоб побачити вплив на мережу Натура 2000.</w:t>
            </w:r>
          </w:p>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Слід мати на увазі</w:t>
            </w:r>
          </w:p>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транскордонні консультації відповідно до Конвенції Еспо, коли виникає транскордонний вплив.</w:t>
            </w:r>
          </w:p>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Вибір технології будівництва / відновлення / розширення доріг з обмеженим пилоутворенням, уникнення</w:t>
            </w:r>
          </w:p>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забруднення ґрунту та води рідким паливом або іншими будівельними матеріалами на період виробництва.</w:t>
            </w:r>
          </w:p>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 xml:space="preserve">Вибір маршрутів для нових доріг або під'їзних доріг, які би не впливали на види флори і фауни, а також на водні екосистеми </w:t>
            </w:r>
          </w:p>
        </w:tc>
      </w:tr>
      <w:tr w:rsidR="001D2B9A" w:rsidRPr="001D2B9A" w:rsidTr="001D2B9A">
        <w:trPr>
          <w:gridAfter w:val="1"/>
          <w:wAfter w:w="172" w:type="dxa"/>
          <w:trHeight w:val="1380"/>
        </w:trPr>
        <w:tc>
          <w:tcPr>
            <w:tcW w:w="2235" w:type="dxa"/>
            <w:vMerge w:val="restart"/>
            <w:shd w:val="clear" w:color="auto" w:fill="auto"/>
          </w:tcPr>
          <w:p w:rsidR="00642FB4" w:rsidRPr="001D2B9A" w:rsidRDefault="00642FB4">
            <w:pPr>
              <w:autoSpaceDE w:val="0"/>
              <w:autoSpaceDN w:val="0"/>
              <w:adjustRightInd w:val="0"/>
              <w:contextualSpacing/>
              <w:rPr>
                <w:rFonts w:cs="Arial"/>
                <w:b/>
                <w:bCs/>
                <w:sz w:val="22"/>
                <w:szCs w:val="22"/>
                <w:lang w:val="uk-UA" w:eastAsia="uk-UA" w:bidi="uk-UA"/>
              </w:rPr>
            </w:pPr>
            <w:r w:rsidRPr="001D2B9A">
              <w:rPr>
                <w:rFonts w:eastAsia="Calibri"/>
                <w:b/>
                <w:sz w:val="22"/>
                <w:szCs w:val="22"/>
                <w:lang w:val="uk-UA" w:eastAsia="uk-UA" w:bidi="uk-UA"/>
              </w:rPr>
              <w:t>OT8 - СПІЛЬНІ ПРОБЛЕМИ У ГАЛУЗІ БЕЗПЕКИ</w:t>
            </w:r>
          </w:p>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b/>
                <w:i/>
                <w:sz w:val="22"/>
                <w:szCs w:val="22"/>
                <w:lang w:val="uk-UA" w:eastAsia="uk-UA" w:bidi="uk-UA"/>
              </w:rPr>
              <w:t xml:space="preserve">Ціль 4: </w:t>
            </w:r>
            <w:r w:rsidRPr="001D2B9A">
              <w:rPr>
                <w:rFonts w:eastAsia="Calibri"/>
                <w:sz w:val="22"/>
                <w:szCs w:val="22"/>
                <w:lang w:val="uk-UA" w:eastAsia="uk-UA" w:bidi="uk-UA"/>
              </w:rPr>
              <w:t>Спільні проблеми у галузі транскордонної безпеки,  доступ до охорони здоров'я, управління природними та антропогенними ризиками та надзвичайними ситуаціями у спільних проектах</w:t>
            </w:r>
          </w:p>
        </w:tc>
        <w:tc>
          <w:tcPr>
            <w:tcW w:w="2835"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П 4.1 Підтримка розвитку медичних послуг та доступ до охорони здоров'я</w:t>
            </w:r>
          </w:p>
        </w:tc>
        <w:tc>
          <w:tcPr>
            <w:tcW w:w="2693"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 xml:space="preserve">Запропоновані Програмою показники </w:t>
            </w:r>
            <w:r w:rsidRPr="001D2B9A">
              <w:rPr>
                <w:rFonts w:eastAsia="Calibri"/>
                <w:i/>
                <w:sz w:val="22"/>
                <w:szCs w:val="22"/>
                <w:lang w:val="uk-UA" w:eastAsia="uk-UA" w:bidi="uk-UA"/>
              </w:rPr>
              <w:t>„Число удосконалених медичних установ” та „</w:t>
            </w:r>
            <w:r w:rsidRPr="001D2B9A">
              <w:rPr>
                <w:rFonts w:eastAsia="Calibri"/>
                <w:sz w:val="22"/>
                <w:szCs w:val="22"/>
                <w:lang w:val="uk-UA" w:eastAsia="uk-UA" w:bidi="uk-UA"/>
              </w:rPr>
              <w:t>Населення, охоплене покращеними послугами охорони здоров'я, як прямий результат наданої Програмою підтримки „ будуть відображати вплив індикативних заходів на населення та громадське здоров'я</w:t>
            </w:r>
          </w:p>
          <w:p w:rsidR="00642FB4" w:rsidRPr="001D2B9A" w:rsidRDefault="00642FB4">
            <w:pPr>
              <w:autoSpaceDE w:val="0"/>
              <w:autoSpaceDN w:val="0"/>
              <w:adjustRightInd w:val="0"/>
              <w:contextualSpacing/>
              <w:rPr>
                <w:rFonts w:cs="Arial"/>
                <w:bCs/>
                <w:sz w:val="22"/>
                <w:szCs w:val="22"/>
                <w:lang w:val="uk-UA" w:eastAsia="uk-UA" w:bidi="uk-UA"/>
              </w:rPr>
            </w:pPr>
          </w:p>
        </w:tc>
        <w:tc>
          <w:tcPr>
            <w:tcW w:w="2551"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Розробка медичних закладів або їх вдосконалення буде дотримуватися всіх законодавчих екологічних вимог щодо забезпечення якості повітря, води і ґрунту, в тому числі принципів управління відходами. Потрібно враховувати вплив на біорізноманіття, при необхідності.</w:t>
            </w:r>
          </w:p>
        </w:tc>
      </w:tr>
      <w:tr w:rsidR="001D2B9A" w:rsidRPr="001D2B9A" w:rsidTr="001D2B9A">
        <w:trPr>
          <w:gridAfter w:val="1"/>
          <w:wAfter w:w="172" w:type="dxa"/>
          <w:trHeight w:val="1310"/>
        </w:trPr>
        <w:tc>
          <w:tcPr>
            <w:tcW w:w="2235" w:type="dxa"/>
            <w:vMerge/>
            <w:shd w:val="clear" w:color="auto" w:fill="auto"/>
          </w:tcPr>
          <w:p w:rsidR="00642FB4" w:rsidRPr="001D2B9A" w:rsidRDefault="00642FB4">
            <w:pPr>
              <w:autoSpaceDE w:val="0"/>
              <w:autoSpaceDN w:val="0"/>
              <w:adjustRightInd w:val="0"/>
              <w:contextualSpacing/>
              <w:jc w:val="both"/>
              <w:rPr>
                <w:rFonts w:cs="Arial"/>
                <w:b/>
                <w:bCs/>
                <w:sz w:val="22"/>
                <w:szCs w:val="22"/>
                <w:lang w:val="uk-UA" w:eastAsia="uk-UA" w:bidi="uk-UA"/>
              </w:rPr>
            </w:pPr>
          </w:p>
        </w:tc>
        <w:tc>
          <w:tcPr>
            <w:tcW w:w="2835"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П 4.2 Підтримка спільних заходів щодо запобігання стихійним лихам та лихам викликаним діяльністю людини, а також підтримка спільних заходів в надзвичайних ситуаціях</w:t>
            </w:r>
          </w:p>
        </w:tc>
        <w:tc>
          <w:tcPr>
            <w:tcW w:w="2693"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 xml:space="preserve">Запропонований показник </w:t>
            </w:r>
            <w:r w:rsidRPr="001D2B9A">
              <w:rPr>
                <w:rFonts w:eastAsia="Calibri"/>
                <w:i/>
                <w:sz w:val="22"/>
                <w:szCs w:val="22"/>
                <w:lang w:val="uk-UA" w:eastAsia="uk-UA" w:bidi="uk-UA"/>
              </w:rPr>
              <w:t>„Чисельність населення, яке постраждало від реалізації заходів”</w:t>
            </w:r>
            <w:r w:rsidRPr="001D2B9A">
              <w:rPr>
                <w:rFonts w:eastAsia="Calibri"/>
                <w:sz w:val="22"/>
                <w:szCs w:val="22"/>
                <w:lang w:val="uk-UA" w:eastAsia="uk-UA" w:bidi="uk-UA"/>
              </w:rPr>
              <w:t xml:space="preserve"> збігається з одним з показників Програми та відображатиме позитивний вплив на навколишнє середовище</w:t>
            </w:r>
          </w:p>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 xml:space="preserve">Ми рекомендуємо змінити другий запропонований для Програми показник </w:t>
            </w:r>
            <w:r w:rsidRPr="001D2B9A">
              <w:rPr>
                <w:rFonts w:eastAsia="Calibri"/>
                <w:i/>
                <w:sz w:val="22"/>
                <w:szCs w:val="22"/>
                <w:lang w:val="uk-UA" w:eastAsia="uk-UA" w:bidi="uk-UA"/>
              </w:rPr>
              <w:t>„Кількість спільних дій (обмін досвідом, навчання, навчальні візити, засідання спільного планування і т.д.)</w:t>
            </w:r>
            <w:r w:rsidRPr="001D2B9A">
              <w:rPr>
                <w:rFonts w:eastAsia="Calibri"/>
                <w:sz w:val="22"/>
                <w:szCs w:val="22"/>
                <w:lang w:val="uk-UA" w:eastAsia="uk-UA" w:bidi="uk-UA"/>
              </w:rPr>
              <w:t xml:space="preserve">”, щоб відобразити також і ІУП „Clean River” та доповнити за кількістю спільних дій чи за показниками моніторингу </w:t>
            </w:r>
            <w:r w:rsidRPr="001D2B9A">
              <w:rPr>
                <w:rFonts w:eastAsia="Calibri"/>
                <w:i/>
                <w:sz w:val="22"/>
                <w:szCs w:val="22"/>
                <w:lang w:val="uk-UA" w:eastAsia="uk-UA" w:bidi="uk-UA"/>
              </w:rPr>
              <w:t>„новоствореними або обновленими картами, створеними базами даних, виконаними системами / структурами, придбаним обладнанням”</w:t>
            </w:r>
            <w:r w:rsidRPr="001D2B9A">
              <w:rPr>
                <w:rFonts w:eastAsia="Calibri"/>
                <w:sz w:val="22"/>
                <w:szCs w:val="22"/>
                <w:lang w:val="uk-UA" w:eastAsia="uk-UA" w:bidi="uk-UA"/>
              </w:rPr>
              <w:t xml:space="preserve"> з митою проведення також і моніторингу впливу всіх індикативних заходів цього пріоритету.</w:t>
            </w:r>
          </w:p>
        </w:tc>
        <w:tc>
          <w:tcPr>
            <w:tcW w:w="2551"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Обрані рішення щодо запобігання стихійним лихам будуть розглядатися як такі, що не впливають на флору, фауну і водні екосистеми в цих районах.</w:t>
            </w:r>
          </w:p>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Інфраструктура (наприклад, будівлі), яка буде побудована для моніторингу та втручання в разі виникнення надзвичайної ситуації, повинна відповідати всім чинним екологічним вимогам та застосовувати найкращі види природоохоронної діяльності для забезпечення якості повітря, води і ґрунту та управління відходами.</w:t>
            </w:r>
          </w:p>
          <w:p w:rsidR="00642FB4" w:rsidRPr="001D2B9A" w:rsidRDefault="00642FB4">
            <w:pPr>
              <w:autoSpaceDE w:val="0"/>
              <w:autoSpaceDN w:val="0"/>
              <w:adjustRightInd w:val="0"/>
              <w:contextualSpacing/>
              <w:jc w:val="both"/>
              <w:rPr>
                <w:rFonts w:cs="Arial"/>
                <w:bCs/>
                <w:sz w:val="22"/>
                <w:szCs w:val="22"/>
                <w:lang w:val="uk-UA" w:eastAsia="uk-UA" w:bidi="uk-UA"/>
              </w:rPr>
            </w:pPr>
          </w:p>
        </w:tc>
      </w:tr>
      <w:tr w:rsidR="001D2B9A" w:rsidRPr="001D2B9A" w:rsidTr="001D2B9A">
        <w:trPr>
          <w:gridAfter w:val="1"/>
          <w:wAfter w:w="172" w:type="dxa"/>
          <w:trHeight w:val="377"/>
        </w:trPr>
        <w:tc>
          <w:tcPr>
            <w:tcW w:w="2235" w:type="dxa"/>
            <w:vMerge/>
            <w:shd w:val="clear" w:color="auto" w:fill="auto"/>
          </w:tcPr>
          <w:p w:rsidR="00642FB4" w:rsidRPr="001D2B9A" w:rsidRDefault="00642FB4">
            <w:pPr>
              <w:autoSpaceDE w:val="0"/>
              <w:autoSpaceDN w:val="0"/>
              <w:adjustRightInd w:val="0"/>
              <w:contextualSpacing/>
              <w:jc w:val="both"/>
              <w:rPr>
                <w:rFonts w:cs="Arial"/>
                <w:b/>
                <w:bCs/>
                <w:sz w:val="22"/>
                <w:szCs w:val="22"/>
                <w:lang w:val="uk-UA" w:eastAsia="uk-UA" w:bidi="uk-UA"/>
              </w:rPr>
            </w:pPr>
          </w:p>
        </w:tc>
        <w:tc>
          <w:tcPr>
            <w:tcW w:w="2835"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П 4.3 Запобігання та боротьба з організованою злочинністю і поліцейське співробітництво</w:t>
            </w:r>
          </w:p>
        </w:tc>
        <w:tc>
          <w:tcPr>
            <w:tcW w:w="2693"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 xml:space="preserve">Запропонований Програмою показник </w:t>
            </w:r>
            <w:r w:rsidRPr="001D2B9A">
              <w:rPr>
                <w:rFonts w:eastAsia="Calibri"/>
                <w:i/>
                <w:sz w:val="22"/>
                <w:szCs w:val="22"/>
                <w:lang w:val="uk-UA" w:eastAsia="uk-UA" w:bidi="uk-UA"/>
              </w:rPr>
              <w:t>„Кількість модернізованих поліцейських підрозділів, підрозділів прикордонної поліції, митних служб на прийнятній території” може також проводити і моніторинг позитивного впливу на навколишнє середовище</w:t>
            </w:r>
          </w:p>
        </w:tc>
        <w:tc>
          <w:tcPr>
            <w:tcW w:w="2551"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Будівництво, відновлення та модернізація інфраструктури поліції / митних служб / прикордонної поліції/ жандармерії буде дотримуватися всіх законодавчих екологічних вимог щодо забезпечення якості повітря, води і ґрунту, в тому числі принципів управління відходами.</w:t>
            </w:r>
          </w:p>
        </w:tc>
      </w:tr>
      <w:tr w:rsidR="001D2B9A" w:rsidRPr="001D2B9A" w:rsidTr="001D2B9A">
        <w:trPr>
          <w:gridAfter w:val="1"/>
          <w:wAfter w:w="172" w:type="dxa"/>
          <w:trHeight w:val="300"/>
        </w:trPr>
        <w:tc>
          <w:tcPr>
            <w:tcW w:w="2235" w:type="dxa"/>
            <w:vMerge w:val="restart"/>
            <w:shd w:val="clear" w:color="auto" w:fill="auto"/>
          </w:tcPr>
          <w:p w:rsidR="00642FB4" w:rsidRPr="001D2B9A" w:rsidRDefault="00642FB4">
            <w:pPr>
              <w:autoSpaceDE w:val="0"/>
              <w:autoSpaceDN w:val="0"/>
              <w:adjustRightInd w:val="0"/>
              <w:contextualSpacing/>
              <w:rPr>
                <w:rFonts w:cs="Arial"/>
                <w:b/>
                <w:bCs/>
                <w:sz w:val="22"/>
                <w:szCs w:val="22"/>
                <w:lang w:val="uk-UA" w:eastAsia="uk-UA" w:bidi="uk-UA"/>
              </w:rPr>
            </w:pPr>
            <w:r w:rsidRPr="001D2B9A">
              <w:rPr>
                <w:rFonts w:eastAsia="Calibri"/>
                <w:b/>
                <w:sz w:val="22"/>
                <w:szCs w:val="22"/>
                <w:lang w:val="uk-UA" w:eastAsia="uk-UA" w:bidi="uk-UA"/>
              </w:rPr>
              <w:t>Великі Інфраструктурні Проекти</w:t>
            </w:r>
          </w:p>
        </w:tc>
        <w:tc>
          <w:tcPr>
            <w:tcW w:w="2835"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“Чиста ріка” – Дунай (OT8) 4.2</w:t>
            </w:r>
          </w:p>
        </w:tc>
        <w:tc>
          <w:tcPr>
            <w:tcW w:w="2693" w:type="dxa"/>
            <w:shd w:val="clear" w:color="auto" w:fill="auto"/>
          </w:tcPr>
          <w:p w:rsidR="00642FB4" w:rsidRPr="001D2B9A" w:rsidRDefault="00642FB4" w:rsidP="004A16E2">
            <w:pPr>
              <w:autoSpaceDE w:val="0"/>
              <w:autoSpaceDN w:val="0"/>
              <w:adjustRightInd w:val="0"/>
              <w:ind w:left="60"/>
              <w:contextualSpacing/>
              <w:rPr>
                <w:rFonts w:cs="Arial"/>
                <w:bCs/>
                <w:sz w:val="22"/>
                <w:szCs w:val="22"/>
                <w:lang w:val="uk-UA" w:eastAsia="uk-UA" w:bidi="uk-UA"/>
              </w:rPr>
            </w:pPr>
            <w:r w:rsidRPr="001D2B9A">
              <w:rPr>
                <w:rFonts w:eastAsia="Calibri"/>
                <w:sz w:val="22"/>
                <w:szCs w:val="22"/>
                <w:lang w:val="uk-UA" w:eastAsia="uk-UA" w:bidi="uk-UA"/>
              </w:rPr>
              <w:t xml:space="preserve">Ці два запропоновані Програмою показники </w:t>
            </w:r>
            <w:r w:rsidRPr="001D2B9A">
              <w:rPr>
                <w:rFonts w:eastAsia="Calibri"/>
                <w:i/>
                <w:sz w:val="22"/>
                <w:szCs w:val="22"/>
                <w:lang w:val="uk-UA" w:eastAsia="uk-UA" w:bidi="uk-UA"/>
              </w:rPr>
              <w:t>„Населення яке має користь від заходів по захисту від повеней”</w:t>
            </w:r>
            <w:r w:rsidRPr="001D2B9A">
              <w:rPr>
                <w:rFonts w:eastAsia="Calibri"/>
                <w:sz w:val="22"/>
                <w:szCs w:val="22"/>
                <w:lang w:val="uk-UA" w:eastAsia="uk-UA" w:bidi="uk-UA"/>
              </w:rPr>
              <w:t xml:space="preserve">  та „</w:t>
            </w:r>
            <w:r w:rsidRPr="001D2B9A">
              <w:rPr>
                <w:rFonts w:eastAsia="Calibri"/>
                <w:i/>
                <w:sz w:val="22"/>
                <w:szCs w:val="22"/>
                <w:lang w:val="uk-UA" w:eastAsia="uk-UA" w:bidi="uk-UA"/>
              </w:rPr>
              <w:t>Кількість спільних дій, в тому числі м'яких дій (о</w:t>
            </w:r>
            <w:bookmarkStart w:id="163" w:name="_GoBack"/>
            <w:bookmarkEnd w:id="163"/>
            <w:r w:rsidRPr="001D2B9A">
              <w:rPr>
                <w:rFonts w:eastAsia="Calibri"/>
                <w:i/>
                <w:sz w:val="22"/>
                <w:szCs w:val="22"/>
                <w:lang w:val="uk-UA" w:eastAsia="uk-UA" w:bidi="uk-UA"/>
              </w:rPr>
              <w:t>бмін досвідом, навчання, навчальні візити, спільні сесії планування, нові зроблені або оновлені карти,  створені бази даних, створені системи / структури, придбане обладнання, і т.д.) і спільні інвестиції в інфраструктуру у сфері надзвичайних ситуацій та стихійних лих, викликаних людиною”</w:t>
            </w:r>
            <w:r w:rsidRPr="001D2B9A">
              <w:rPr>
                <w:rFonts w:eastAsia="Calibri"/>
                <w:sz w:val="22"/>
                <w:szCs w:val="22"/>
                <w:lang w:val="uk-UA" w:eastAsia="uk-UA" w:bidi="uk-UA"/>
              </w:rPr>
              <w:t xml:space="preserve"> відображає також і позитивний екологічний ефект за рахунок заходів з відновлення / модернізації каналізаційних насосних станцій і моніторингу та контролю якості води р. Дунай</w:t>
            </w:r>
          </w:p>
        </w:tc>
        <w:tc>
          <w:tcPr>
            <w:tcW w:w="2551" w:type="dxa"/>
            <w:vMerge w:val="restart"/>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Реалізація великих Інфраструктурних Проектів</w:t>
            </w:r>
          </w:p>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Вони повинні пройти процедуру ОВНС / СЕО та, у разі необхідності, належну оцінку, щоб побачити вплив на флору, фауну та водні екосистеми.</w:t>
            </w:r>
          </w:p>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Слід мати на увазі</w:t>
            </w:r>
          </w:p>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транскордонні консультації відповідно до Конвенції Еспо, коли виникає транскордонний вплив.</w:t>
            </w:r>
          </w:p>
        </w:tc>
      </w:tr>
      <w:tr w:rsidR="001D2B9A" w:rsidRPr="001D2B9A" w:rsidTr="001D2B9A">
        <w:trPr>
          <w:gridAfter w:val="1"/>
          <w:wAfter w:w="172" w:type="dxa"/>
          <w:trHeight w:val="518"/>
        </w:trPr>
        <w:tc>
          <w:tcPr>
            <w:tcW w:w="2235" w:type="dxa"/>
            <w:vMerge/>
            <w:shd w:val="clear" w:color="auto" w:fill="auto"/>
          </w:tcPr>
          <w:p w:rsidR="00642FB4" w:rsidRPr="001D2B9A" w:rsidRDefault="00642FB4">
            <w:pPr>
              <w:autoSpaceDE w:val="0"/>
              <w:autoSpaceDN w:val="0"/>
              <w:adjustRightInd w:val="0"/>
              <w:contextualSpacing/>
              <w:rPr>
                <w:rFonts w:cs="Arial"/>
                <w:b/>
                <w:bCs/>
                <w:sz w:val="22"/>
                <w:szCs w:val="22"/>
                <w:lang w:val="uk-UA" w:eastAsia="uk-UA" w:bidi="uk-UA"/>
              </w:rPr>
            </w:pPr>
          </w:p>
        </w:tc>
        <w:tc>
          <w:tcPr>
            <w:tcW w:w="2835"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Покращення транскордонної інфраструктури - відкриті ворота в Європу (OT7) 3.1</w:t>
            </w:r>
          </w:p>
        </w:tc>
        <w:tc>
          <w:tcPr>
            <w:tcW w:w="2693"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 xml:space="preserve">Запропонований для Програми показник  </w:t>
            </w:r>
            <w:r w:rsidRPr="001D2B9A">
              <w:rPr>
                <w:rFonts w:eastAsia="Calibri"/>
                <w:i/>
                <w:sz w:val="22"/>
                <w:szCs w:val="22"/>
                <w:lang w:val="uk-UA" w:eastAsia="uk-UA" w:bidi="uk-UA"/>
              </w:rPr>
              <w:t>„Загальна протяжність відновлених та реконструйованих доріг”</w:t>
            </w:r>
            <w:r w:rsidRPr="001D2B9A">
              <w:rPr>
                <w:rFonts w:eastAsia="Calibri"/>
                <w:sz w:val="22"/>
                <w:szCs w:val="22"/>
                <w:lang w:val="uk-UA" w:eastAsia="uk-UA" w:bidi="uk-UA"/>
              </w:rPr>
              <w:t xml:space="preserve"> може відображати позитивний вплив на навколишнє середовище за рахунок відновлення існуючої дороги Красноїльськ - Вікову-де-Сус</w:t>
            </w:r>
          </w:p>
        </w:tc>
        <w:tc>
          <w:tcPr>
            <w:tcW w:w="2551" w:type="dxa"/>
            <w:vMerge/>
            <w:shd w:val="clear" w:color="auto" w:fill="auto"/>
          </w:tcPr>
          <w:p w:rsidR="00642FB4" w:rsidRPr="001D2B9A" w:rsidRDefault="00642FB4">
            <w:pPr>
              <w:autoSpaceDE w:val="0"/>
              <w:autoSpaceDN w:val="0"/>
              <w:adjustRightInd w:val="0"/>
              <w:contextualSpacing/>
              <w:jc w:val="both"/>
              <w:rPr>
                <w:rFonts w:cs="Arial"/>
                <w:bCs/>
                <w:sz w:val="22"/>
                <w:szCs w:val="22"/>
                <w:lang w:val="uk-UA" w:eastAsia="uk-UA" w:bidi="uk-UA"/>
              </w:rPr>
            </w:pPr>
          </w:p>
        </w:tc>
      </w:tr>
      <w:tr w:rsidR="001D2B9A" w:rsidRPr="001D2B9A" w:rsidTr="001D2B9A">
        <w:trPr>
          <w:gridAfter w:val="1"/>
          <w:wAfter w:w="172" w:type="dxa"/>
          <w:trHeight w:val="520"/>
        </w:trPr>
        <w:tc>
          <w:tcPr>
            <w:tcW w:w="2235" w:type="dxa"/>
            <w:vMerge/>
            <w:shd w:val="clear" w:color="auto" w:fill="auto"/>
          </w:tcPr>
          <w:p w:rsidR="00642FB4" w:rsidRPr="001D2B9A" w:rsidRDefault="00642FB4">
            <w:pPr>
              <w:autoSpaceDE w:val="0"/>
              <w:autoSpaceDN w:val="0"/>
              <w:adjustRightInd w:val="0"/>
              <w:contextualSpacing/>
              <w:rPr>
                <w:rFonts w:cs="Arial"/>
                <w:b/>
                <w:bCs/>
                <w:sz w:val="22"/>
                <w:szCs w:val="22"/>
                <w:lang w:val="uk-UA" w:eastAsia="uk-UA" w:bidi="uk-UA"/>
              </w:rPr>
            </w:pPr>
          </w:p>
        </w:tc>
        <w:tc>
          <w:tcPr>
            <w:tcW w:w="2835"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Регіональне співробітництво між Румунією та Україною для запобігання та боротьби з транскордонною злочинністю  (OT 8) 4.3</w:t>
            </w:r>
          </w:p>
        </w:tc>
        <w:tc>
          <w:tcPr>
            <w:tcW w:w="2693"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 xml:space="preserve">Запропонований для Програми показник </w:t>
            </w:r>
            <w:r w:rsidRPr="001D2B9A">
              <w:rPr>
                <w:rFonts w:eastAsia="Calibri"/>
                <w:i/>
                <w:sz w:val="22"/>
                <w:szCs w:val="22"/>
                <w:lang w:val="uk-UA" w:eastAsia="uk-UA" w:bidi="uk-UA"/>
              </w:rPr>
              <w:t>„Кількість модернізованих поліцейських підрозділів, підрозділів прикордонної поліції, митних служб на прийнятній території” може відображати також і позитивний вплив на навколишнє середовище в результаті зміцнення / модернізації / розширення приміщень поліції</w:t>
            </w:r>
          </w:p>
        </w:tc>
        <w:tc>
          <w:tcPr>
            <w:tcW w:w="2551" w:type="dxa"/>
            <w:vMerge/>
            <w:shd w:val="clear" w:color="auto" w:fill="auto"/>
          </w:tcPr>
          <w:p w:rsidR="00642FB4" w:rsidRPr="001D2B9A" w:rsidRDefault="00642FB4">
            <w:pPr>
              <w:autoSpaceDE w:val="0"/>
              <w:autoSpaceDN w:val="0"/>
              <w:adjustRightInd w:val="0"/>
              <w:contextualSpacing/>
              <w:jc w:val="both"/>
              <w:rPr>
                <w:rFonts w:cs="Arial"/>
                <w:bCs/>
                <w:sz w:val="22"/>
                <w:szCs w:val="22"/>
                <w:lang w:val="uk-UA" w:eastAsia="uk-UA" w:bidi="uk-UA"/>
              </w:rPr>
            </w:pPr>
          </w:p>
        </w:tc>
      </w:tr>
      <w:tr w:rsidR="001D2B9A" w:rsidRPr="001D2B9A" w:rsidTr="001D2B9A">
        <w:trPr>
          <w:gridAfter w:val="1"/>
          <w:wAfter w:w="172" w:type="dxa"/>
          <w:trHeight w:val="1367"/>
        </w:trPr>
        <w:tc>
          <w:tcPr>
            <w:tcW w:w="2235" w:type="dxa"/>
            <w:vMerge/>
            <w:shd w:val="clear" w:color="auto" w:fill="auto"/>
          </w:tcPr>
          <w:p w:rsidR="00642FB4" w:rsidRPr="001D2B9A" w:rsidRDefault="00642FB4">
            <w:pPr>
              <w:autoSpaceDE w:val="0"/>
              <w:autoSpaceDN w:val="0"/>
              <w:adjustRightInd w:val="0"/>
              <w:contextualSpacing/>
              <w:jc w:val="both"/>
              <w:rPr>
                <w:rFonts w:cs="Arial"/>
                <w:b/>
                <w:bCs/>
                <w:sz w:val="22"/>
                <w:szCs w:val="22"/>
                <w:lang w:val="uk-UA" w:eastAsia="uk-UA" w:bidi="uk-UA"/>
              </w:rPr>
            </w:pPr>
          </w:p>
        </w:tc>
        <w:tc>
          <w:tcPr>
            <w:tcW w:w="2835"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Підвищення громадської безпеки та рівня транскордонної безпеки через поліпшення спільного навчання та заходів співпраці в управлінні надзвичайними ситуаціями (OT) 4.1</w:t>
            </w:r>
          </w:p>
        </w:tc>
        <w:tc>
          <w:tcPr>
            <w:tcW w:w="2693" w:type="dxa"/>
            <w:shd w:val="clear" w:color="auto" w:fill="auto"/>
          </w:tcPr>
          <w:p w:rsidR="00642FB4" w:rsidRPr="001D2B9A" w:rsidRDefault="00642FB4">
            <w:pPr>
              <w:autoSpaceDE w:val="0"/>
              <w:autoSpaceDN w:val="0"/>
              <w:adjustRightInd w:val="0"/>
              <w:contextualSpacing/>
              <w:rPr>
                <w:rFonts w:cs="Arial"/>
                <w:bCs/>
                <w:sz w:val="22"/>
                <w:szCs w:val="22"/>
                <w:lang w:val="uk-UA" w:eastAsia="uk-UA" w:bidi="uk-UA"/>
              </w:rPr>
            </w:pPr>
            <w:r w:rsidRPr="001D2B9A">
              <w:rPr>
                <w:rFonts w:eastAsia="Calibri"/>
                <w:sz w:val="22"/>
                <w:szCs w:val="22"/>
                <w:lang w:val="uk-UA" w:eastAsia="uk-UA" w:bidi="uk-UA"/>
              </w:rPr>
              <w:t>Один з цих двох показників запропонованих Програмою, а саме „</w:t>
            </w:r>
            <w:r w:rsidRPr="001D2B9A">
              <w:rPr>
                <w:rFonts w:eastAsia="Calibri"/>
                <w:i/>
                <w:sz w:val="22"/>
                <w:szCs w:val="22"/>
                <w:lang w:val="uk-UA" w:eastAsia="uk-UA" w:bidi="uk-UA"/>
              </w:rPr>
              <w:t>Число удосконалених медичних установ</w:t>
            </w:r>
            <w:r w:rsidRPr="001D2B9A">
              <w:rPr>
                <w:rFonts w:eastAsia="Calibri"/>
                <w:sz w:val="22"/>
                <w:szCs w:val="22"/>
                <w:lang w:val="uk-UA" w:eastAsia="uk-UA" w:bidi="uk-UA"/>
              </w:rPr>
              <w:t>” може відображати також і позитивний вплив на населення та громадське здоров'я</w:t>
            </w:r>
          </w:p>
        </w:tc>
        <w:tc>
          <w:tcPr>
            <w:tcW w:w="2551" w:type="dxa"/>
            <w:vMerge/>
            <w:shd w:val="clear" w:color="auto" w:fill="auto"/>
          </w:tcPr>
          <w:p w:rsidR="00642FB4" w:rsidRPr="001D2B9A" w:rsidRDefault="00642FB4">
            <w:pPr>
              <w:autoSpaceDE w:val="0"/>
              <w:autoSpaceDN w:val="0"/>
              <w:adjustRightInd w:val="0"/>
              <w:contextualSpacing/>
              <w:jc w:val="both"/>
              <w:rPr>
                <w:rFonts w:cs="Arial"/>
                <w:bCs/>
                <w:sz w:val="22"/>
                <w:szCs w:val="22"/>
                <w:lang w:val="uk-UA" w:eastAsia="uk-UA" w:bidi="uk-UA"/>
              </w:rPr>
            </w:pPr>
          </w:p>
        </w:tc>
      </w:tr>
    </w:tbl>
    <w:p w:rsidR="00642FB4" w:rsidRPr="001D2B9A" w:rsidRDefault="00642FB4">
      <w:pPr>
        <w:autoSpaceDE w:val="0"/>
        <w:autoSpaceDN w:val="0"/>
        <w:adjustRightInd w:val="0"/>
        <w:spacing w:before="60" w:after="60" w:line="288" w:lineRule="auto"/>
        <w:ind w:left="720"/>
        <w:contextualSpacing/>
        <w:jc w:val="both"/>
        <w:rPr>
          <w:rFonts w:cs="Arial"/>
          <w:bCs/>
          <w:lang w:val="uk-UA" w:eastAsia="uk-UA" w:bidi="uk-UA"/>
        </w:rPr>
      </w:pPr>
    </w:p>
    <w:p w:rsidR="00642FB4" w:rsidRPr="001D2B9A" w:rsidRDefault="00642FB4">
      <w:pPr>
        <w:autoSpaceDE w:val="0"/>
        <w:autoSpaceDN w:val="0"/>
        <w:adjustRightInd w:val="0"/>
        <w:spacing w:before="60" w:after="60" w:line="288" w:lineRule="auto"/>
        <w:ind w:left="720"/>
        <w:contextualSpacing/>
        <w:jc w:val="both"/>
        <w:rPr>
          <w:rFonts w:cs="Arial"/>
          <w:bCs/>
          <w:lang w:val="uk-UA" w:eastAsia="uk-UA" w:bidi="uk-UA"/>
        </w:rPr>
      </w:pPr>
    </w:p>
    <w:p w:rsidR="00642FB4" w:rsidRPr="001D2B9A" w:rsidRDefault="00642FB4">
      <w:pPr>
        <w:autoSpaceDE w:val="0"/>
        <w:autoSpaceDN w:val="0"/>
        <w:adjustRightInd w:val="0"/>
        <w:spacing w:before="60" w:after="60" w:line="288" w:lineRule="auto"/>
        <w:ind w:left="720"/>
        <w:contextualSpacing/>
        <w:jc w:val="both"/>
        <w:rPr>
          <w:rFonts w:cs="Arial"/>
          <w:bCs/>
          <w:lang w:val="uk-UA" w:eastAsia="uk-UA" w:bidi="uk-UA"/>
        </w:rPr>
      </w:pPr>
    </w:p>
    <w:p w:rsidR="00642FB4" w:rsidRPr="001D2B9A" w:rsidRDefault="00642FB4">
      <w:pPr>
        <w:autoSpaceDE w:val="0"/>
        <w:autoSpaceDN w:val="0"/>
        <w:adjustRightInd w:val="0"/>
        <w:spacing w:before="60" w:after="60" w:line="288" w:lineRule="auto"/>
        <w:ind w:firstLine="709"/>
        <w:contextualSpacing/>
        <w:jc w:val="both"/>
        <w:rPr>
          <w:rFonts w:cs="Arial"/>
          <w:bCs/>
          <w:lang w:val="uk-UA" w:eastAsia="uk-UA" w:bidi="uk-UA"/>
        </w:rPr>
      </w:pPr>
      <w:r w:rsidRPr="001D2B9A">
        <w:rPr>
          <w:rFonts w:eastAsia="Calibri"/>
          <w:szCs w:val="22"/>
          <w:lang w:val="uk-UA" w:eastAsia="uk-UA" w:bidi="uk-UA"/>
        </w:rPr>
        <w:t xml:space="preserve">В наступній таблиці представлено рекомендовані показники моніторингу для індикативних заходів Програми, які можуть фінансувати проекти з впливом на навколишнє середовище. </w:t>
      </w:r>
    </w:p>
    <w:p w:rsidR="00642FB4" w:rsidRDefault="00642FB4">
      <w:pPr>
        <w:autoSpaceDE w:val="0"/>
        <w:autoSpaceDN w:val="0"/>
        <w:adjustRightInd w:val="0"/>
        <w:spacing w:before="60" w:after="60" w:line="288" w:lineRule="auto"/>
        <w:ind w:left="1080"/>
        <w:contextualSpacing/>
        <w:jc w:val="both"/>
        <w:rPr>
          <w:rFonts w:cs="Arial"/>
          <w:bCs/>
          <w:color w:val="000000"/>
          <w:lang w:val="uk-UA" w:eastAsia="uk-UA" w:bidi="uk-UA"/>
        </w:rPr>
      </w:pPr>
    </w:p>
    <w:tbl>
      <w:tblPr>
        <w:tblW w:w="1034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9"/>
        <w:gridCol w:w="3119"/>
      </w:tblGrid>
      <w:tr w:rsidR="00642FB4" w:rsidTr="001D2B9A">
        <w:tc>
          <w:tcPr>
            <w:tcW w:w="7229" w:type="dxa"/>
            <w:shd w:val="clear" w:color="auto" w:fill="auto"/>
          </w:tcPr>
          <w:p w:rsidR="00642FB4" w:rsidRDefault="00642FB4">
            <w:pPr>
              <w:jc w:val="both"/>
              <w:rPr>
                <w:b/>
                <w:sz w:val="22"/>
                <w:szCs w:val="22"/>
                <w:lang w:val="uk-UA" w:eastAsia="uk-UA" w:bidi="uk-UA"/>
              </w:rPr>
            </w:pPr>
          </w:p>
          <w:p w:rsidR="00642FB4" w:rsidRDefault="00642FB4">
            <w:pPr>
              <w:jc w:val="both"/>
              <w:rPr>
                <w:b/>
                <w:sz w:val="22"/>
                <w:szCs w:val="22"/>
                <w:lang w:val="uk-UA" w:eastAsia="uk-UA" w:bidi="uk-UA"/>
              </w:rPr>
            </w:pPr>
            <w:r>
              <w:rPr>
                <w:rFonts w:eastAsia="Calibri"/>
                <w:b/>
                <w:sz w:val="22"/>
                <w:szCs w:val="22"/>
                <w:lang w:val="uk-UA" w:eastAsia="uk-UA" w:bidi="uk-UA"/>
              </w:rPr>
              <w:t>ІНДИКАТИВНИЙ ЗАХІД Програми Ro-Ua</w:t>
            </w:r>
          </w:p>
        </w:tc>
        <w:tc>
          <w:tcPr>
            <w:tcW w:w="3119" w:type="dxa"/>
            <w:shd w:val="clear" w:color="auto" w:fill="auto"/>
          </w:tcPr>
          <w:p w:rsidR="00642FB4" w:rsidRDefault="00642FB4">
            <w:pPr>
              <w:jc w:val="both"/>
              <w:rPr>
                <w:b/>
                <w:sz w:val="22"/>
                <w:szCs w:val="22"/>
                <w:lang w:val="uk-UA" w:eastAsia="uk-UA" w:bidi="uk-UA"/>
              </w:rPr>
            </w:pPr>
          </w:p>
          <w:p w:rsidR="00642FB4" w:rsidRDefault="00642FB4">
            <w:pPr>
              <w:jc w:val="both"/>
              <w:rPr>
                <w:b/>
                <w:sz w:val="22"/>
                <w:szCs w:val="22"/>
                <w:lang w:val="uk-UA" w:eastAsia="uk-UA" w:bidi="uk-UA"/>
              </w:rPr>
            </w:pPr>
            <w:r>
              <w:rPr>
                <w:rFonts w:eastAsia="Calibri"/>
                <w:b/>
                <w:sz w:val="22"/>
                <w:szCs w:val="22"/>
                <w:lang w:val="uk-UA" w:eastAsia="uk-UA" w:bidi="uk-UA"/>
              </w:rPr>
              <w:t>Показники моніторингу</w:t>
            </w:r>
            <w:r>
              <w:rPr>
                <w:rFonts w:eastAsia="Calibri"/>
                <w:b/>
                <w:sz w:val="22"/>
                <w:szCs w:val="22"/>
                <w:vertAlign w:val="superscript"/>
                <w:lang w:val="uk-UA" w:eastAsia="uk-UA" w:bidi="uk-UA"/>
              </w:rPr>
              <w:footnoteReference w:id="1"/>
            </w:r>
          </w:p>
        </w:tc>
      </w:tr>
      <w:tr w:rsidR="00642FB4" w:rsidTr="001D2B9A">
        <w:tc>
          <w:tcPr>
            <w:tcW w:w="10348" w:type="dxa"/>
            <w:gridSpan w:val="2"/>
            <w:shd w:val="clear" w:color="auto" w:fill="auto"/>
          </w:tcPr>
          <w:p w:rsidR="00642FB4" w:rsidRDefault="00642FB4">
            <w:pPr>
              <w:jc w:val="both"/>
              <w:rPr>
                <w:sz w:val="22"/>
                <w:szCs w:val="22"/>
                <w:lang w:val="uk-UA" w:eastAsia="uk-UA" w:bidi="uk-UA"/>
              </w:rPr>
            </w:pPr>
            <w:r>
              <w:rPr>
                <w:rFonts w:eastAsia="Calibri"/>
                <w:b/>
                <w:sz w:val="22"/>
                <w:szCs w:val="22"/>
                <w:lang w:val="uk-UA" w:eastAsia="uk-UA" w:bidi="uk-UA"/>
              </w:rPr>
              <w:t>OT2 - ПІДТРИМКА ОСВІТИ, ДОСЛІДЖЕНЬ, ТЕХНОЛОГІЧНОГО РОЗВИТКУ ТА ІННОВАЦІЙ</w:t>
            </w:r>
          </w:p>
          <w:p w:rsidR="00642FB4" w:rsidRDefault="00642FB4">
            <w:pPr>
              <w:jc w:val="both"/>
              <w:rPr>
                <w:lang w:val="uk-UA" w:eastAsia="uk-UA" w:bidi="uk-UA"/>
              </w:rPr>
            </w:pPr>
            <w:r>
              <w:rPr>
                <w:rFonts w:eastAsia="Calibri"/>
                <w:b/>
                <w:sz w:val="22"/>
                <w:szCs w:val="22"/>
                <w:lang w:val="uk-UA" w:eastAsia="uk-UA" w:bidi="uk-UA"/>
              </w:rPr>
              <w:t>Ціль 1</w:t>
            </w:r>
            <w:r>
              <w:rPr>
                <w:rFonts w:eastAsia="Calibri"/>
                <w:sz w:val="22"/>
                <w:szCs w:val="22"/>
                <w:lang w:val="uk-UA" w:eastAsia="uk-UA" w:bidi="uk-UA"/>
              </w:rPr>
              <w:t>: Розвиток системи освіти і підтримка досліджень та інновацій на території програми шляхом сприяння співробітництву на місцевому, регіональному та центральному рівнях</w:t>
            </w:r>
          </w:p>
        </w:tc>
      </w:tr>
      <w:tr w:rsidR="00642FB4" w:rsidTr="001D2B9A">
        <w:tc>
          <w:tcPr>
            <w:tcW w:w="10348" w:type="dxa"/>
            <w:gridSpan w:val="2"/>
            <w:shd w:val="clear" w:color="auto" w:fill="auto"/>
          </w:tcPr>
          <w:p w:rsidR="00642FB4" w:rsidRDefault="00642FB4">
            <w:pPr>
              <w:jc w:val="both"/>
              <w:rPr>
                <w:lang w:val="uk-UA" w:eastAsia="uk-UA" w:bidi="uk-UA"/>
              </w:rPr>
            </w:pPr>
            <w:r>
              <w:rPr>
                <w:rFonts w:ascii="Calibri" w:eastAsia="Calibri" w:hAnsi="Calibri"/>
                <w:i/>
                <w:sz w:val="22"/>
                <w:szCs w:val="22"/>
                <w:lang w:val="uk-UA" w:eastAsia="uk-UA" w:bidi="uk-UA"/>
              </w:rPr>
              <w:t>П 1.1 Інституційна співпраця у галузі освіти з метою розширення доступу до освіти та якості освіти</w:t>
            </w:r>
          </w:p>
        </w:tc>
      </w:tr>
      <w:tr w:rsidR="00642FB4" w:rsidTr="001D2B9A">
        <w:tc>
          <w:tcPr>
            <w:tcW w:w="7229" w:type="dxa"/>
            <w:shd w:val="clear" w:color="auto" w:fill="auto"/>
          </w:tcPr>
          <w:p w:rsidR="00642FB4" w:rsidRDefault="00642FB4">
            <w:pPr>
              <w:ind w:left="34" w:hanging="34"/>
              <w:jc w:val="both"/>
              <w:rPr>
                <w:sz w:val="22"/>
                <w:szCs w:val="22"/>
                <w:lang w:val="uk-UA" w:eastAsia="uk-UA" w:bidi="uk-UA"/>
              </w:rPr>
            </w:pPr>
            <w:r>
              <w:rPr>
                <w:rFonts w:eastAsia="Calibri"/>
                <w:sz w:val="22"/>
                <w:szCs w:val="22"/>
                <w:lang w:val="uk-UA" w:eastAsia="uk-UA" w:bidi="uk-UA"/>
              </w:rPr>
              <w:t>Відновлення/ модернізація / розширення / придбання обладнання для розвитку освітньої інфраструктури та забезпечення матеріальних передумов для процесу якісної освіти та підвищення участі в освітній діяльності</w:t>
            </w:r>
          </w:p>
        </w:tc>
        <w:tc>
          <w:tcPr>
            <w:tcW w:w="3119" w:type="dxa"/>
            <w:shd w:val="clear" w:color="auto" w:fill="auto"/>
          </w:tcPr>
          <w:p w:rsidR="00642FB4" w:rsidRDefault="00642FB4">
            <w:pPr>
              <w:ind w:left="34"/>
              <w:rPr>
                <w:sz w:val="22"/>
                <w:szCs w:val="22"/>
                <w:lang w:val="uk-UA" w:eastAsia="uk-UA" w:bidi="uk-UA"/>
              </w:rPr>
            </w:pPr>
            <w:r>
              <w:rPr>
                <w:rFonts w:eastAsia="Calibri"/>
                <w:sz w:val="22"/>
                <w:szCs w:val="22"/>
                <w:lang w:val="uk-UA" w:eastAsia="uk-UA" w:bidi="uk-UA"/>
              </w:rPr>
              <w:t>Кількість відновлених / модернізованих навчальних закладів</w:t>
            </w:r>
          </w:p>
        </w:tc>
      </w:tr>
      <w:tr w:rsidR="00642FB4" w:rsidTr="001D2B9A">
        <w:tc>
          <w:tcPr>
            <w:tcW w:w="10348" w:type="dxa"/>
            <w:gridSpan w:val="2"/>
            <w:shd w:val="clear" w:color="auto" w:fill="auto"/>
          </w:tcPr>
          <w:p w:rsidR="00642FB4" w:rsidRDefault="00642FB4">
            <w:pPr>
              <w:ind w:left="34"/>
              <w:jc w:val="both"/>
              <w:rPr>
                <w:sz w:val="22"/>
                <w:szCs w:val="22"/>
                <w:lang w:val="uk-UA" w:eastAsia="uk-UA" w:bidi="uk-UA"/>
              </w:rPr>
            </w:pPr>
            <w:r>
              <w:rPr>
                <w:rFonts w:eastAsia="Calibri"/>
                <w:i/>
                <w:sz w:val="22"/>
                <w:szCs w:val="22"/>
                <w:lang w:val="uk-UA" w:eastAsia="uk-UA" w:bidi="uk-UA"/>
              </w:rPr>
              <w:t>П 1.2  Просування та підтримка досліджень та інновацій</w:t>
            </w:r>
          </w:p>
        </w:tc>
      </w:tr>
      <w:tr w:rsidR="00642FB4" w:rsidTr="001D2B9A">
        <w:tc>
          <w:tcPr>
            <w:tcW w:w="7229"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Просування та підтримка досліджень та інновацій шляхом відновлення/ модернізації / розширення специфічної інфраструктури, в тому числі, придбання спеціального обладнання</w:t>
            </w:r>
          </w:p>
        </w:tc>
        <w:tc>
          <w:tcPr>
            <w:tcW w:w="3119" w:type="dxa"/>
            <w:shd w:val="clear" w:color="auto" w:fill="auto"/>
          </w:tcPr>
          <w:p w:rsidR="00642FB4" w:rsidRDefault="00642FB4">
            <w:pPr>
              <w:ind w:left="34"/>
              <w:rPr>
                <w:sz w:val="22"/>
                <w:szCs w:val="22"/>
                <w:lang w:val="uk-UA" w:eastAsia="uk-UA" w:bidi="uk-UA"/>
              </w:rPr>
            </w:pPr>
            <w:r>
              <w:rPr>
                <w:rFonts w:eastAsia="Calibri"/>
                <w:sz w:val="22"/>
                <w:szCs w:val="22"/>
                <w:lang w:val="uk-UA" w:eastAsia="uk-UA" w:bidi="uk-UA"/>
              </w:rPr>
              <w:t>Кількість установ, які використовують кошти програми для співпраці в R&amp;D та інновацій</w:t>
            </w:r>
          </w:p>
          <w:p w:rsidR="00642FB4" w:rsidRDefault="00642FB4">
            <w:pPr>
              <w:ind w:left="34"/>
              <w:rPr>
                <w:sz w:val="22"/>
                <w:szCs w:val="22"/>
                <w:lang w:val="uk-UA" w:eastAsia="uk-UA" w:bidi="uk-UA"/>
              </w:rPr>
            </w:pPr>
          </w:p>
          <w:p w:rsidR="00642FB4" w:rsidRDefault="00642FB4">
            <w:pPr>
              <w:ind w:left="34"/>
              <w:rPr>
                <w:sz w:val="22"/>
                <w:szCs w:val="22"/>
                <w:lang w:val="uk-UA" w:eastAsia="uk-UA" w:bidi="uk-UA"/>
              </w:rPr>
            </w:pPr>
          </w:p>
        </w:tc>
      </w:tr>
      <w:tr w:rsidR="00642FB4" w:rsidTr="001D2B9A">
        <w:tc>
          <w:tcPr>
            <w:tcW w:w="10348" w:type="dxa"/>
            <w:gridSpan w:val="2"/>
            <w:shd w:val="clear" w:color="auto" w:fill="auto"/>
          </w:tcPr>
          <w:p w:rsidR="00642FB4" w:rsidRDefault="00642FB4">
            <w:pPr>
              <w:jc w:val="both"/>
              <w:rPr>
                <w:b/>
                <w:sz w:val="22"/>
                <w:szCs w:val="22"/>
                <w:lang w:val="uk-UA" w:eastAsia="uk-UA" w:bidi="uk-UA"/>
              </w:rPr>
            </w:pPr>
            <w:r>
              <w:rPr>
                <w:rFonts w:eastAsia="Calibri"/>
                <w:b/>
                <w:sz w:val="22"/>
                <w:szCs w:val="22"/>
                <w:lang w:val="uk-UA" w:eastAsia="uk-UA" w:bidi="uk-UA"/>
              </w:rPr>
              <w:t>OT3 - ПРОСУВАННЯ МІСЦЕВОЇ КУЛЬТУРИ ТА ЗБЕРЕЖЕННЯ ІСТОРИЧНОЇ СПАДЩИНИ</w:t>
            </w:r>
          </w:p>
          <w:p w:rsidR="00642FB4" w:rsidRDefault="00642FB4">
            <w:pPr>
              <w:jc w:val="both"/>
              <w:rPr>
                <w:i/>
                <w:sz w:val="22"/>
                <w:szCs w:val="22"/>
                <w:lang w:val="uk-UA" w:eastAsia="uk-UA" w:bidi="uk-UA"/>
              </w:rPr>
            </w:pPr>
            <w:r>
              <w:rPr>
                <w:rFonts w:eastAsia="Calibri"/>
                <w:b/>
                <w:i/>
                <w:sz w:val="22"/>
                <w:szCs w:val="22"/>
                <w:lang w:val="uk-UA" w:eastAsia="uk-UA" w:bidi="uk-UA"/>
              </w:rPr>
              <w:t xml:space="preserve">Ціль 2: </w:t>
            </w:r>
            <w:r>
              <w:rPr>
                <w:rFonts w:eastAsia="Calibri"/>
                <w:sz w:val="22"/>
                <w:szCs w:val="22"/>
                <w:lang w:val="uk-UA" w:eastAsia="uk-UA" w:bidi="uk-UA"/>
              </w:rPr>
              <w:t xml:space="preserve"> Збереження культурної та історичної спадщини на прийнятній території, підтримка розвитку місцевої культури, специфічної культурної самобутності та культурного діалогу сприяють підвищенню привабливості прийнятної території</w:t>
            </w:r>
          </w:p>
          <w:p w:rsidR="00642FB4" w:rsidRDefault="00642FB4">
            <w:pPr>
              <w:jc w:val="both"/>
              <w:rPr>
                <w:sz w:val="22"/>
                <w:szCs w:val="22"/>
                <w:lang w:val="uk-UA" w:eastAsia="uk-UA" w:bidi="uk-UA"/>
              </w:rPr>
            </w:pPr>
            <w:r>
              <w:rPr>
                <w:rFonts w:eastAsia="Calibri"/>
                <w:i/>
                <w:sz w:val="22"/>
                <w:szCs w:val="22"/>
                <w:lang w:val="uk-UA" w:eastAsia="uk-UA" w:bidi="uk-UA"/>
              </w:rPr>
              <w:t>Пріоритет 2.1 Збереження і просування культурної та історичної спадщини</w:t>
            </w:r>
          </w:p>
        </w:tc>
      </w:tr>
      <w:tr w:rsidR="00642FB4" w:rsidTr="001D2B9A">
        <w:tc>
          <w:tcPr>
            <w:tcW w:w="7229"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 xml:space="preserve">Відновлення, збереження, зміцнення захист і безпека культурних та історичних пам'ятників (у тому числі їх під'їзних доріг), музеїв, художніх колекцій та виробів та їх спільне просування на основі відповідних транскордонних стратегій/ концептів </w:t>
            </w:r>
          </w:p>
        </w:tc>
        <w:tc>
          <w:tcPr>
            <w:tcW w:w="3119" w:type="dxa"/>
            <w:shd w:val="clear" w:color="auto" w:fill="auto"/>
          </w:tcPr>
          <w:p w:rsidR="00642FB4" w:rsidRDefault="00642FB4">
            <w:pPr>
              <w:ind w:left="34"/>
              <w:rPr>
                <w:sz w:val="22"/>
                <w:szCs w:val="22"/>
                <w:lang w:val="uk-UA" w:eastAsia="uk-UA" w:bidi="uk-UA"/>
              </w:rPr>
            </w:pPr>
            <w:r>
              <w:rPr>
                <w:rFonts w:eastAsia="Calibri"/>
                <w:sz w:val="22"/>
                <w:szCs w:val="22"/>
                <w:lang w:val="uk-UA" w:eastAsia="uk-UA" w:bidi="uk-UA"/>
              </w:rPr>
              <w:t>Кількість поліпшених культурних та історичних місць</w:t>
            </w:r>
          </w:p>
        </w:tc>
      </w:tr>
      <w:tr w:rsidR="00642FB4" w:rsidTr="001D2B9A">
        <w:tc>
          <w:tcPr>
            <w:tcW w:w="7229"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Збереження, охорона та спільне використання пам'ятників та історичних і культурних цінностей</w:t>
            </w:r>
          </w:p>
        </w:tc>
        <w:tc>
          <w:tcPr>
            <w:tcW w:w="3119" w:type="dxa"/>
            <w:shd w:val="clear" w:color="auto" w:fill="auto"/>
          </w:tcPr>
          <w:p w:rsidR="00642FB4" w:rsidRDefault="00642FB4">
            <w:pPr>
              <w:ind w:left="34"/>
              <w:jc w:val="both"/>
              <w:rPr>
                <w:sz w:val="22"/>
                <w:szCs w:val="22"/>
                <w:lang w:val="uk-UA" w:eastAsia="uk-UA" w:bidi="uk-UA"/>
              </w:rPr>
            </w:pPr>
            <w:r>
              <w:rPr>
                <w:rFonts w:eastAsia="Calibri"/>
                <w:sz w:val="22"/>
                <w:szCs w:val="22"/>
                <w:lang w:val="uk-UA" w:eastAsia="uk-UA" w:bidi="uk-UA"/>
              </w:rPr>
              <w:t>Кількість поліпшених культурних та історичних місць</w:t>
            </w:r>
          </w:p>
        </w:tc>
      </w:tr>
      <w:tr w:rsidR="00642FB4" w:rsidTr="001D2B9A">
        <w:tc>
          <w:tcPr>
            <w:tcW w:w="10348" w:type="dxa"/>
            <w:gridSpan w:val="2"/>
            <w:shd w:val="clear" w:color="auto" w:fill="auto"/>
          </w:tcPr>
          <w:p w:rsidR="00642FB4" w:rsidRDefault="00642FB4">
            <w:pPr>
              <w:jc w:val="both"/>
              <w:rPr>
                <w:b/>
                <w:sz w:val="22"/>
                <w:szCs w:val="22"/>
                <w:lang w:val="uk-UA" w:eastAsia="uk-UA" w:bidi="uk-UA"/>
              </w:rPr>
            </w:pPr>
            <w:r>
              <w:rPr>
                <w:rFonts w:eastAsia="Calibri"/>
                <w:b/>
                <w:sz w:val="22"/>
                <w:szCs w:val="22"/>
                <w:lang w:val="uk-UA" w:eastAsia="uk-UA" w:bidi="uk-UA"/>
              </w:rPr>
              <w:t xml:space="preserve">OT7 – ПОЛІПШЕННЯ ДОСТУПНОСТІ В РЕГІОНАХ, РОЗВИТОК МЕРЕЖ ТА СИСТЕМ ТРАНСПОРТУ І ЗВ'ЯЗКУ </w:t>
            </w:r>
          </w:p>
          <w:p w:rsidR="00642FB4" w:rsidRDefault="00642FB4">
            <w:pPr>
              <w:jc w:val="both"/>
              <w:rPr>
                <w:sz w:val="22"/>
                <w:szCs w:val="22"/>
                <w:lang w:val="uk-UA" w:eastAsia="uk-UA" w:bidi="uk-UA"/>
              </w:rPr>
            </w:pPr>
            <w:r>
              <w:rPr>
                <w:rFonts w:eastAsia="Calibri"/>
                <w:b/>
                <w:i/>
                <w:sz w:val="22"/>
                <w:szCs w:val="22"/>
                <w:lang w:val="uk-UA" w:eastAsia="uk-UA" w:bidi="uk-UA"/>
              </w:rPr>
              <w:t>Ціль 3</w:t>
            </w:r>
            <w:r>
              <w:rPr>
                <w:rFonts w:eastAsia="Calibri"/>
                <w:sz w:val="22"/>
                <w:szCs w:val="22"/>
                <w:lang w:val="uk-UA" w:eastAsia="uk-UA" w:bidi="uk-UA"/>
              </w:rPr>
              <w:t>: Поліпшення послуг громадського транспорту, інфраструктури і співпраці, а також ІКТ networking</w:t>
            </w:r>
          </w:p>
          <w:p w:rsidR="00642FB4" w:rsidRDefault="00642FB4">
            <w:pPr>
              <w:jc w:val="both"/>
              <w:rPr>
                <w:sz w:val="22"/>
                <w:szCs w:val="22"/>
                <w:lang w:val="uk-UA" w:eastAsia="uk-UA" w:bidi="uk-UA"/>
              </w:rPr>
            </w:pPr>
            <w:r>
              <w:rPr>
                <w:rFonts w:eastAsia="Calibri"/>
                <w:i/>
                <w:sz w:val="22"/>
                <w:szCs w:val="22"/>
                <w:lang w:val="uk-UA" w:eastAsia="uk-UA" w:bidi="uk-UA"/>
              </w:rPr>
              <w:t>П 3.1 Розвиток транскордонної транспортної інфраструктури та ІКТ інструментів</w:t>
            </w:r>
          </w:p>
        </w:tc>
      </w:tr>
      <w:tr w:rsidR="00642FB4" w:rsidTr="001D2B9A">
        <w:tc>
          <w:tcPr>
            <w:tcW w:w="7229"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Реконструкція, відновлення, модернізація транскордонних систем транспорту</w:t>
            </w:r>
          </w:p>
        </w:tc>
        <w:tc>
          <w:tcPr>
            <w:tcW w:w="3119" w:type="dxa"/>
            <w:shd w:val="clear" w:color="auto" w:fill="auto"/>
          </w:tcPr>
          <w:p w:rsidR="00642FB4" w:rsidRDefault="00642FB4">
            <w:pPr>
              <w:ind w:left="34"/>
              <w:jc w:val="both"/>
              <w:rPr>
                <w:sz w:val="22"/>
                <w:szCs w:val="22"/>
                <w:lang w:val="uk-UA" w:eastAsia="uk-UA" w:bidi="uk-UA"/>
              </w:rPr>
            </w:pPr>
            <w:r>
              <w:rPr>
                <w:rFonts w:eastAsia="Calibri"/>
                <w:sz w:val="22"/>
                <w:szCs w:val="22"/>
                <w:lang w:val="uk-UA" w:eastAsia="uk-UA" w:bidi="uk-UA"/>
              </w:rPr>
              <w:t xml:space="preserve">Загальна протяжність відновлених та реконструйованих доріг </w:t>
            </w:r>
          </w:p>
        </w:tc>
      </w:tr>
      <w:tr w:rsidR="00642FB4" w:rsidTr="001D2B9A">
        <w:tc>
          <w:tcPr>
            <w:tcW w:w="7229"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Розробка екологічно чистих ініціатив щодо транскордонного транспорту та інноваційних рішень</w:t>
            </w:r>
          </w:p>
        </w:tc>
        <w:tc>
          <w:tcPr>
            <w:tcW w:w="3119" w:type="dxa"/>
            <w:shd w:val="clear" w:color="auto" w:fill="auto"/>
          </w:tcPr>
          <w:p w:rsidR="00642FB4" w:rsidRDefault="00642FB4">
            <w:pPr>
              <w:ind w:left="34"/>
              <w:rPr>
                <w:sz w:val="22"/>
                <w:szCs w:val="22"/>
                <w:lang w:val="uk-UA" w:eastAsia="uk-UA" w:bidi="uk-UA"/>
              </w:rPr>
            </w:pPr>
            <w:r>
              <w:rPr>
                <w:rFonts w:eastAsia="Calibri"/>
                <w:sz w:val="22"/>
                <w:szCs w:val="22"/>
                <w:lang w:val="uk-UA" w:eastAsia="uk-UA" w:bidi="uk-UA"/>
              </w:rPr>
              <w:t xml:space="preserve">Кількість розроблених ініціатив щодо транспорту з низьким впливом на навколишнє середовище  </w:t>
            </w:r>
          </w:p>
        </w:tc>
      </w:tr>
      <w:tr w:rsidR="00642FB4" w:rsidTr="001D2B9A">
        <w:tc>
          <w:tcPr>
            <w:tcW w:w="7229"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Удосконалення засобів змішаного транспорту (дорожнього / річкового) з транскордонним значенням</w:t>
            </w:r>
          </w:p>
        </w:tc>
        <w:tc>
          <w:tcPr>
            <w:tcW w:w="3119" w:type="dxa"/>
            <w:shd w:val="clear" w:color="auto" w:fill="auto"/>
          </w:tcPr>
          <w:p w:rsidR="00642FB4" w:rsidRDefault="00642FB4">
            <w:pPr>
              <w:ind w:left="34"/>
              <w:rPr>
                <w:sz w:val="22"/>
                <w:szCs w:val="22"/>
                <w:lang w:val="uk-UA" w:eastAsia="uk-UA" w:bidi="uk-UA"/>
              </w:rPr>
            </w:pPr>
            <w:r>
              <w:rPr>
                <w:rFonts w:eastAsia="Calibri"/>
                <w:sz w:val="22"/>
                <w:szCs w:val="22"/>
                <w:lang w:val="uk-UA" w:eastAsia="uk-UA" w:bidi="uk-UA"/>
              </w:rPr>
              <w:t xml:space="preserve">Кількість спільних механізмів, розроблених для підтримки поліпшення транскордонної інфраструктури (спільна документація планування, включаючи стратегії, плани дій, механізми для сприяння змішаному транспорту) </w:t>
            </w:r>
          </w:p>
        </w:tc>
      </w:tr>
      <w:tr w:rsidR="00642FB4" w:rsidTr="001D2B9A">
        <w:tc>
          <w:tcPr>
            <w:tcW w:w="7229"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Реконструкція, відновлення, розширення прикордонних доріг або певних відрізків дороги, які з'єднують населені пункти вздовж головної дороги, що веде до кордону</w:t>
            </w:r>
          </w:p>
        </w:tc>
        <w:tc>
          <w:tcPr>
            <w:tcW w:w="3119" w:type="dxa"/>
            <w:shd w:val="clear" w:color="auto" w:fill="auto"/>
          </w:tcPr>
          <w:p w:rsidR="00642FB4" w:rsidRDefault="00642FB4">
            <w:pPr>
              <w:ind w:left="34"/>
              <w:rPr>
                <w:sz w:val="22"/>
                <w:szCs w:val="22"/>
                <w:lang w:val="uk-UA" w:eastAsia="uk-UA" w:bidi="uk-UA"/>
              </w:rPr>
            </w:pPr>
            <w:r>
              <w:rPr>
                <w:rFonts w:eastAsia="Calibri"/>
                <w:sz w:val="22"/>
                <w:szCs w:val="22"/>
                <w:lang w:val="uk-UA" w:eastAsia="uk-UA" w:bidi="uk-UA"/>
              </w:rPr>
              <w:t>Загальна протяжність відновлених та реконструйованих доріг</w:t>
            </w:r>
          </w:p>
        </w:tc>
      </w:tr>
      <w:tr w:rsidR="00642FB4" w:rsidTr="001D2B9A">
        <w:tc>
          <w:tcPr>
            <w:tcW w:w="7229"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 xml:space="preserve">Поліпшення / відновлення / будівництво доріг або відрізків дороги для забезпечення доступу до центрів транскордонного значення </w:t>
            </w:r>
          </w:p>
        </w:tc>
        <w:tc>
          <w:tcPr>
            <w:tcW w:w="3119" w:type="dxa"/>
            <w:shd w:val="clear" w:color="auto" w:fill="auto"/>
          </w:tcPr>
          <w:p w:rsidR="00642FB4" w:rsidRDefault="00642FB4">
            <w:pPr>
              <w:ind w:left="34"/>
              <w:rPr>
                <w:sz w:val="22"/>
                <w:szCs w:val="22"/>
                <w:lang w:val="uk-UA" w:eastAsia="uk-UA" w:bidi="uk-UA"/>
              </w:rPr>
            </w:pPr>
            <w:r>
              <w:rPr>
                <w:rFonts w:eastAsia="Calibri"/>
                <w:sz w:val="22"/>
                <w:szCs w:val="22"/>
                <w:lang w:val="uk-UA" w:eastAsia="uk-UA" w:bidi="uk-UA"/>
              </w:rPr>
              <w:t>Загальна протяжність відновлених та реконструйованих доріг</w:t>
            </w:r>
          </w:p>
        </w:tc>
      </w:tr>
      <w:tr w:rsidR="00642FB4" w:rsidTr="001D2B9A">
        <w:tc>
          <w:tcPr>
            <w:tcW w:w="10348" w:type="dxa"/>
            <w:gridSpan w:val="2"/>
            <w:shd w:val="clear" w:color="auto" w:fill="auto"/>
          </w:tcPr>
          <w:p w:rsidR="00642FB4" w:rsidRDefault="00642FB4">
            <w:pPr>
              <w:jc w:val="both"/>
              <w:rPr>
                <w:b/>
                <w:sz w:val="22"/>
                <w:szCs w:val="22"/>
                <w:lang w:val="uk-UA" w:eastAsia="uk-UA" w:bidi="uk-UA"/>
              </w:rPr>
            </w:pPr>
            <w:r>
              <w:rPr>
                <w:rFonts w:eastAsia="Calibri"/>
                <w:b/>
                <w:sz w:val="22"/>
                <w:szCs w:val="22"/>
                <w:lang w:val="uk-UA" w:eastAsia="uk-UA" w:bidi="uk-UA"/>
              </w:rPr>
              <w:t>OT8 - СПІЛЬНІ ПРОБЛЕМИ У ГАЛУЗІ БЕЗПЕКИ</w:t>
            </w:r>
          </w:p>
          <w:p w:rsidR="00642FB4" w:rsidRDefault="00642FB4">
            <w:pPr>
              <w:jc w:val="both"/>
              <w:rPr>
                <w:sz w:val="22"/>
                <w:szCs w:val="22"/>
                <w:lang w:val="uk-UA" w:eastAsia="uk-UA" w:bidi="uk-UA"/>
              </w:rPr>
            </w:pPr>
            <w:r>
              <w:rPr>
                <w:rFonts w:eastAsia="Calibri"/>
                <w:b/>
                <w:i/>
                <w:sz w:val="22"/>
                <w:szCs w:val="22"/>
                <w:lang w:val="uk-UA" w:eastAsia="uk-UA" w:bidi="uk-UA"/>
              </w:rPr>
              <w:t xml:space="preserve">Ціль 4: </w:t>
            </w:r>
            <w:r>
              <w:rPr>
                <w:rFonts w:eastAsia="Calibri"/>
                <w:sz w:val="22"/>
                <w:szCs w:val="22"/>
                <w:lang w:val="uk-UA" w:eastAsia="uk-UA" w:bidi="uk-UA"/>
              </w:rPr>
              <w:t>Спільні проблеми у галузі транскордонної безпеки,  доступу до охорони здоров'я, управління природними та антропогенними ризиками та надзвичайними ситуаціями у спільних проектах</w:t>
            </w:r>
          </w:p>
        </w:tc>
      </w:tr>
      <w:tr w:rsidR="00642FB4" w:rsidTr="001D2B9A">
        <w:tc>
          <w:tcPr>
            <w:tcW w:w="10348" w:type="dxa"/>
            <w:gridSpan w:val="2"/>
            <w:shd w:val="clear" w:color="auto" w:fill="auto"/>
          </w:tcPr>
          <w:p w:rsidR="00642FB4" w:rsidRDefault="00642FB4">
            <w:pPr>
              <w:jc w:val="both"/>
              <w:rPr>
                <w:sz w:val="22"/>
                <w:szCs w:val="22"/>
                <w:lang w:val="uk-UA" w:eastAsia="uk-UA" w:bidi="uk-UA"/>
              </w:rPr>
            </w:pPr>
            <w:r>
              <w:rPr>
                <w:rFonts w:eastAsia="Calibri"/>
                <w:i/>
                <w:sz w:val="22"/>
                <w:szCs w:val="22"/>
                <w:lang w:val="uk-UA" w:eastAsia="uk-UA" w:bidi="uk-UA"/>
              </w:rPr>
              <w:t>П 4.1 Підтримка розвитку медичних послуг та доступ до медичних послуг</w:t>
            </w:r>
          </w:p>
        </w:tc>
      </w:tr>
      <w:tr w:rsidR="00642FB4" w:rsidTr="001D2B9A">
        <w:tc>
          <w:tcPr>
            <w:tcW w:w="7229"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 xml:space="preserve">Спільні заходи, спрямовані на розширення доступу до охорони громадського здоров'я в прикордонній зоні за допомогою будівництва / відновлення / модернізації інфраструктури служб охорони здоров'я (у тому числі шляхом використання відновлюваних джерел енергії тощо) </w:t>
            </w:r>
          </w:p>
        </w:tc>
        <w:tc>
          <w:tcPr>
            <w:tcW w:w="3119" w:type="dxa"/>
            <w:shd w:val="clear" w:color="auto" w:fill="auto"/>
          </w:tcPr>
          <w:p w:rsidR="00642FB4" w:rsidRDefault="00642FB4">
            <w:pPr>
              <w:rPr>
                <w:sz w:val="22"/>
                <w:szCs w:val="22"/>
                <w:lang w:val="uk-UA" w:eastAsia="uk-UA" w:bidi="uk-UA"/>
              </w:rPr>
            </w:pPr>
            <w:r>
              <w:rPr>
                <w:rFonts w:eastAsia="Calibri"/>
                <w:sz w:val="22"/>
                <w:szCs w:val="22"/>
                <w:lang w:val="uk-UA" w:eastAsia="uk-UA" w:bidi="uk-UA"/>
              </w:rPr>
              <w:t>Населення, охоплене удосконаленими медичними послугами як прямий результат підтримки, наданої  Програмою</w:t>
            </w:r>
          </w:p>
        </w:tc>
      </w:tr>
      <w:tr w:rsidR="00642FB4" w:rsidTr="001D2B9A">
        <w:tc>
          <w:tcPr>
            <w:tcW w:w="7229"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 xml:space="preserve">Розробка стаціонарних та мобільних лабораторій для виявлення / клінічного моніторингу хвороб та запобігання транскордонним епідеміям  </w:t>
            </w:r>
          </w:p>
        </w:tc>
        <w:tc>
          <w:tcPr>
            <w:tcW w:w="3119"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 xml:space="preserve">Число удосконалених медичних установ </w:t>
            </w:r>
          </w:p>
        </w:tc>
      </w:tr>
      <w:tr w:rsidR="00642FB4" w:rsidTr="001D2B9A">
        <w:tc>
          <w:tcPr>
            <w:tcW w:w="7229"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Оснащення специфічної інфраструктури охорони громадського здоров'я (амбулаторії, об'єкти підрозділів швидкої медичної допомоги, медичні центри, інтегроване соціальне втручання і т.д.)</w:t>
            </w:r>
          </w:p>
        </w:tc>
        <w:tc>
          <w:tcPr>
            <w:tcW w:w="3119" w:type="dxa"/>
            <w:shd w:val="clear" w:color="auto" w:fill="auto"/>
          </w:tcPr>
          <w:p w:rsidR="00642FB4" w:rsidRDefault="00642FB4">
            <w:pPr>
              <w:rPr>
                <w:sz w:val="22"/>
                <w:szCs w:val="22"/>
                <w:lang w:val="uk-UA" w:eastAsia="uk-UA" w:bidi="uk-UA"/>
              </w:rPr>
            </w:pPr>
            <w:r>
              <w:rPr>
                <w:rFonts w:eastAsia="Calibri"/>
                <w:sz w:val="22"/>
                <w:szCs w:val="22"/>
                <w:lang w:val="uk-UA" w:eastAsia="uk-UA" w:bidi="uk-UA"/>
              </w:rPr>
              <w:t>Число удосконалених медичних установ</w:t>
            </w:r>
          </w:p>
          <w:p w:rsidR="00642FB4" w:rsidRDefault="00642FB4">
            <w:pPr>
              <w:rPr>
                <w:sz w:val="22"/>
                <w:szCs w:val="22"/>
                <w:lang w:val="uk-UA" w:eastAsia="uk-UA" w:bidi="uk-UA"/>
              </w:rPr>
            </w:pPr>
            <w:r>
              <w:rPr>
                <w:rFonts w:eastAsia="Calibri"/>
                <w:sz w:val="22"/>
                <w:szCs w:val="22"/>
                <w:lang w:val="uk-UA" w:eastAsia="uk-UA" w:bidi="uk-UA"/>
              </w:rPr>
              <w:t>Населення, охоплене удосконаленими медичними послугами як прямий результат підтримки, наданої  Програмою</w:t>
            </w:r>
          </w:p>
        </w:tc>
      </w:tr>
      <w:tr w:rsidR="00642FB4" w:rsidTr="001D2B9A">
        <w:tc>
          <w:tcPr>
            <w:tcW w:w="10348" w:type="dxa"/>
            <w:gridSpan w:val="2"/>
            <w:shd w:val="clear" w:color="auto" w:fill="auto"/>
          </w:tcPr>
          <w:p w:rsidR="00642FB4" w:rsidRDefault="00642FB4">
            <w:pPr>
              <w:jc w:val="both"/>
              <w:rPr>
                <w:sz w:val="22"/>
                <w:szCs w:val="22"/>
                <w:lang w:val="uk-UA" w:eastAsia="uk-UA" w:bidi="uk-UA"/>
              </w:rPr>
            </w:pPr>
            <w:r>
              <w:rPr>
                <w:rFonts w:eastAsia="Calibri"/>
                <w:i/>
                <w:sz w:val="22"/>
                <w:szCs w:val="22"/>
                <w:lang w:val="uk-UA" w:eastAsia="uk-UA" w:bidi="uk-UA"/>
              </w:rPr>
              <w:t>Пріоритет 4.2 Підтримка спільних заходів щодо запобігання стихійним лихам та лихам викликаним діяльністю людини, а також підтримка спільних заходів в надзвичайних ситуаціях</w:t>
            </w:r>
          </w:p>
        </w:tc>
      </w:tr>
      <w:tr w:rsidR="00642FB4" w:rsidTr="001D2B9A">
        <w:tc>
          <w:tcPr>
            <w:tcW w:w="7229"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Спільні заходи щодо запобігання зсувам і повеням в транскордонних районах</w:t>
            </w:r>
          </w:p>
        </w:tc>
        <w:tc>
          <w:tcPr>
            <w:tcW w:w="3119" w:type="dxa"/>
            <w:shd w:val="clear" w:color="auto" w:fill="auto"/>
          </w:tcPr>
          <w:p w:rsidR="00642FB4" w:rsidRDefault="00642FB4">
            <w:pPr>
              <w:rPr>
                <w:sz w:val="22"/>
                <w:szCs w:val="22"/>
                <w:lang w:val="uk-UA" w:eastAsia="uk-UA" w:bidi="uk-UA"/>
              </w:rPr>
            </w:pPr>
            <w:r>
              <w:rPr>
                <w:rFonts w:eastAsia="Calibri"/>
                <w:sz w:val="22"/>
                <w:szCs w:val="22"/>
                <w:lang w:val="uk-UA" w:eastAsia="uk-UA" w:bidi="uk-UA"/>
              </w:rPr>
              <w:t>Населення, яке має користь від заходів по захисту від повеней</w:t>
            </w:r>
          </w:p>
          <w:p w:rsidR="00642FB4" w:rsidRDefault="00642FB4">
            <w:pPr>
              <w:rPr>
                <w:sz w:val="22"/>
                <w:szCs w:val="22"/>
                <w:lang w:val="uk-UA" w:eastAsia="uk-UA" w:bidi="uk-UA"/>
              </w:rPr>
            </w:pPr>
          </w:p>
        </w:tc>
      </w:tr>
      <w:tr w:rsidR="00642FB4" w:rsidTr="001D2B9A">
        <w:tc>
          <w:tcPr>
            <w:tcW w:w="7229"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Спільні інтегровані системи ефективного моніторингу та запобігання стихійним лихам і пом'якшення їх наслідків</w:t>
            </w:r>
          </w:p>
        </w:tc>
        <w:tc>
          <w:tcPr>
            <w:tcW w:w="3119" w:type="dxa"/>
            <w:vMerge w:val="restart"/>
            <w:shd w:val="clear" w:color="auto" w:fill="auto"/>
          </w:tcPr>
          <w:p w:rsidR="00642FB4" w:rsidRDefault="00642FB4">
            <w:pPr>
              <w:rPr>
                <w:sz w:val="22"/>
                <w:szCs w:val="22"/>
                <w:lang w:val="uk-UA" w:eastAsia="uk-UA" w:bidi="uk-UA"/>
              </w:rPr>
            </w:pPr>
            <w:r>
              <w:rPr>
                <w:rFonts w:eastAsia="Calibri"/>
                <w:sz w:val="22"/>
                <w:szCs w:val="22"/>
                <w:lang w:val="uk-UA" w:eastAsia="uk-UA" w:bidi="uk-UA"/>
              </w:rPr>
              <w:t>Кількість спільних дій, в тому числі м'яких дій (обмін досвідом, навчання, навчальні візити, спільні сесії планування, нові зроблені або оновлені карти,  створені бази даних, створені системи / структури, придбане обладнання, і т.д.) і спільні інвестиції в інфраструктуру у сфері надзвичайних ситуацій та стихійних лих, викликаних людиною</w:t>
            </w:r>
          </w:p>
        </w:tc>
      </w:tr>
      <w:tr w:rsidR="00642FB4" w:rsidTr="001D2B9A">
        <w:tc>
          <w:tcPr>
            <w:tcW w:w="7229"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Розробка спільних карт та детальних баз даних (із зазначенням природних і технологічних ризиків та землекористування для органів регіонального планування, природоохоронних відомств та екстрених служб)</w:t>
            </w:r>
          </w:p>
        </w:tc>
        <w:tc>
          <w:tcPr>
            <w:tcW w:w="3119" w:type="dxa"/>
            <w:vMerge/>
            <w:shd w:val="clear" w:color="auto" w:fill="auto"/>
          </w:tcPr>
          <w:p w:rsidR="00642FB4" w:rsidRDefault="00642FB4">
            <w:pPr>
              <w:ind w:left="176"/>
              <w:jc w:val="both"/>
              <w:rPr>
                <w:sz w:val="22"/>
                <w:szCs w:val="22"/>
                <w:lang w:val="uk-UA" w:eastAsia="uk-UA" w:bidi="uk-UA"/>
              </w:rPr>
            </w:pPr>
          </w:p>
        </w:tc>
      </w:tr>
      <w:tr w:rsidR="00642FB4" w:rsidTr="001D2B9A">
        <w:tc>
          <w:tcPr>
            <w:tcW w:w="7229" w:type="dxa"/>
            <w:shd w:val="clear" w:color="auto" w:fill="auto"/>
          </w:tcPr>
          <w:p w:rsidR="00642FB4" w:rsidRDefault="00642FB4">
            <w:pPr>
              <w:jc w:val="both"/>
              <w:rPr>
                <w:bCs/>
                <w:sz w:val="22"/>
                <w:szCs w:val="22"/>
                <w:lang w:val="uk-UA" w:eastAsia="uk-UA" w:bidi="uk-UA"/>
              </w:rPr>
            </w:pPr>
            <w:r>
              <w:rPr>
                <w:rFonts w:eastAsia="Calibri"/>
                <w:sz w:val="22"/>
                <w:szCs w:val="22"/>
                <w:lang w:val="uk-UA" w:eastAsia="uk-UA" w:bidi="uk-UA"/>
              </w:rPr>
              <w:t>Інвестиції та розробка спільних інтегрованих систем аварійного управління</w:t>
            </w:r>
          </w:p>
        </w:tc>
        <w:tc>
          <w:tcPr>
            <w:tcW w:w="3119" w:type="dxa"/>
            <w:vMerge/>
            <w:shd w:val="clear" w:color="auto" w:fill="auto"/>
          </w:tcPr>
          <w:p w:rsidR="00642FB4" w:rsidRDefault="00642FB4">
            <w:pPr>
              <w:ind w:left="176"/>
              <w:rPr>
                <w:sz w:val="22"/>
                <w:szCs w:val="22"/>
                <w:lang w:val="uk-UA" w:eastAsia="uk-UA" w:bidi="uk-UA"/>
              </w:rPr>
            </w:pPr>
          </w:p>
        </w:tc>
      </w:tr>
      <w:tr w:rsidR="00642FB4" w:rsidTr="001D2B9A">
        <w:tc>
          <w:tcPr>
            <w:tcW w:w="10348" w:type="dxa"/>
            <w:gridSpan w:val="2"/>
            <w:shd w:val="clear" w:color="auto" w:fill="auto"/>
          </w:tcPr>
          <w:p w:rsidR="00642FB4" w:rsidRDefault="00642FB4">
            <w:pPr>
              <w:jc w:val="both"/>
              <w:rPr>
                <w:sz w:val="22"/>
                <w:szCs w:val="22"/>
                <w:lang w:val="uk-UA" w:eastAsia="uk-UA" w:bidi="uk-UA"/>
              </w:rPr>
            </w:pPr>
            <w:r>
              <w:rPr>
                <w:rFonts w:eastAsia="Calibri"/>
                <w:i/>
                <w:sz w:val="22"/>
                <w:szCs w:val="22"/>
                <w:lang w:val="uk-UA" w:eastAsia="uk-UA" w:bidi="uk-UA"/>
              </w:rPr>
              <w:t>П 4.3 Запобігання та боротьба з організованою злочинністю і поліцейське співробітництво</w:t>
            </w:r>
          </w:p>
        </w:tc>
      </w:tr>
      <w:tr w:rsidR="00642FB4" w:rsidTr="001D2B9A">
        <w:tc>
          <w:tcPr>
            <w:tcW w:w="7229"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Інвестиції в будівництво, реконструкцію або модернізацію інфраструктури поліції та пунктів пропуску, а також інших суміжних будівель</w:t>
            </w:r>
          </w:p>
        </w:tc>
        <w:tc>
          <w:tcPr>
            <w:tcW w:w="3119" w:type="dxa"/>
            <w:vMerge w:val="restart"/>
            <w:shd w:val="clear" w:color="auto" w:fill="auto"/>
          </w:tcPr>
          <w:p w:rsidR="00642FB4" w:rsidRDefault="00642FB4">
            <w:pPr>
              <w:rPr>
                <w:sz w:val="22"/>
                <w:szCs w:val="22"/>
                <w:lang w:val="uk-UA" w:eastAsia="uk-UA" w:bidi="uk-UA"/>
              </w:rPr>
            </w:pPr>
            <w:r>
              <w:rPr>
                <w:rFonts w:eastAsia="Calibri"/>
                <w:sz w:val="22"/>
                <w:szCs w:val="22"/>
                <w:lang w:val="uk-UA" w:eastAsia="uk-UA" w:bidi="uk-UA"/>
              </w:rPr>
              <w:t xml:space="preserve">Кількість модернізованих підрозділів поліції, прикордонної поліції, митних служб на прийнятній території </w:t>
            </w:r>
          </w:p>
          <w:p w:rsidR="00642FB4" w:rsidRDefault="00642FB4">
            <w:pPr>
              <w:ind w:left="176"/>
              <w:rPr>
                <w:sz w:val="22"/>
                <w:szCs w:val="22"/>
                <w:lang w:val="uk-UA" w:eastAsia="uk-UA" w:bidi="uk-UA"/>
              </w:rPr>
            </w:pPr>
          </w:p>
        </w:tc>
      </w:tr>
      <w:tr w:rsidR="00642FB4" w:rsidTr="001D2B9A">
        <w:tc>
          <w:tcPr>
            <w:tcW w:w="7229"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Інвестиції в експлуатаційне обладнання та оснащення, специфічне діяльності поліції / митниці / прикордонній поліції / жандармерії (наприклад, лабораторії, обладнання, інструменти виявлення, апаратне та програмне забезпечення, транспортні засоби)</w:t>
            </w:r>
          </w:p>
        </w:tc>
        <w:tc>
          <w:tcPr>
            <w:tcW w:w="3119" w:type="dxa"/>
            <w:vMerge/>
            <w:shd w:val="clear" w:color="auto" w:fill="auto"/>
          </w:tcPr>
          <w:p w:rsidR="00642FB4" w:rsidRDefault="00642FB4">
            <w:pPr>
              <w:ind w:left="176"/>
              <w:jc w:val="both"/>
              <w:rPr>
                <w:sz w:val="22"/>
                <w:szCs w:val="22"/>
                <w:lang w:val="uk-UA" w:eastAsia="uk-UA" w:bidi="uk-UA"/>
              </w:rPr>
            </w:pPr>
          </w:p>
        </w:tc>
      </w:tr>
      <w:tr w:rsidR="00642FB4" w:rsidTr="001D2B9A">
        <w:tc>
          <w:tcPr>
            <w:tcW w:w="10348" w:type="dxa"/>
            <w:gridSpan w:val="2"/>
            <w:shd w:val="clear" w:color="auto" w:fill="auto"/>
          </w:tcPr>
          <w:p w:rsidR="00642FB4" w:rsidRDefault="00642FB4">
            <w:pPr>
              <w:jc w:val="both"/>
              <w:rPr>
                <w:b/>
                <w:sz w:val="22"/>
                <w:szCs w:val="22"/>
                <w:lang w:val="uk-UA" w:eastAsia="uk-UA" w:bidi="uk-UA"/>
              </w:rPr>
            </w:pPr>
            <w:r>
              <w:rPr>
                <w:rFonts w:eastAsia="Calibri"/>
                <w:b/>
                <w:sz w:val="22"/>
                <w:szCs w:val="22"/>
                <w:lang w:val="uk-UA" w:eastAsia="uk-UA" w:bidi="uk-UA"/>
              </w:rPr>
              <w:t>Великі Інфраструктурні Проекти</w:t>
            </w:r>
          </w:p>
        </w:tc>
      </w:tr>
      <w:tr w:rsidR="00642FB4" w:rsidTr="001D2B9A">
        <w:tc>
          <w:tcPr>
            <w:tcW w:w="7229"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 xml:space="preserve">“Чиста ріка” </w:t>
            </w:r>
            <w:r w:rsidR="001B6BC7">
              <w:rPr>
                <w:rFonts w:eastAsia="Calibri"/>
                <w:sz w:val="22"/>
                <w:szCs w:val="22"/>
                <w:lang w:val="uk-UA" w:eastAsia="uk-UA" w:bidi="uk-UA"/>
              </w:rPr>
              <w:t>–</w:t>
            </w:r>
            <w:r>
              <w:rPr>
                <w:rFonts w:eastAsia="Calibri"/>
                <w:sz w:val="22"/>
                <w:szCs w:val="22"/>
                <w:lang w:val="uk-UA" w:eastAsia="uk-UA" w:bidi="uk-UA"/>
              </w:rPr>
              <w:t xml:space="preserve"> Дунай</w:t>
            </w:r>
          </w:p>
        </w:tc>
        <w:tc>
          <w:tcPr>
            <w:tcW w:w="3119" w:type="dxa"/>
            <w:shd w:val="clear" w:color="auto" w:fill="auto"/>
          </w:tcPr>
          <w:p w:rsidR="00642FB4" w:rsidRDefault="00642FB4">
            <w:pPr>
              <w:ind w:left="34"/>
              <w:rPr>
                <w:sz w:val="22"/>
                <w:szCs w:val="22"/>
                <w:lang w:val="uk-UA" w:eastAsia="uk-UA" w:bidi="uk-UA"/>
              </w:rPr>
            </w:pPr>
            <w:r>
              <w:rPr>
                <w:rFonts w:eastAsia="Calibri"/>
                <w:sz w:val="22"/>
                <w:szCs w:val="22"/>
                <w:lang w:val="uk-UA" w:eastAsia="uk-UA" w:bidi="uk-UA"/>
              </w:rPr>
              <w:t>Населення, яке має користь від заходів по захисту від повеней</w:t>
            </w:r>
          </w:p>
          <w:p w:rsidR="00642FB4" w:rsidRDefault="00642FB4">
            <w:pPr>
              <w:ind w:left="34"/>
              <w:rPr>
                <w:sz w:val="22"/>
                <w:szCs w:val="22"/>
                <w:lang w:val="uk-UA" w:eastAsia="uk-UA" w:bidi="uk-UA"/>
              </w:rPr>
            </w:pPr>
            <w:r>
              <w:rPr>
                <w:rFonts w:eastAsia="Calibri"/>
                <w:sz w:val="22"/>
                <w:szCs w:val="22"/>
                <w:lang w:val="uk-UA" w:eastAsia="uk-UA" w:bidi="uk-UA"/>
              </w:rPr>
              <w:t>Кількість спільних дій, в тому числі м'яких дій (обмін досвідом, навчання, навчальні візити, спільні сесії планування, нові зроблені або оновлені карти,  створені бази даних, створені системи / структури, придбане обладнання, і т.д.) і спільні інвестиції в інфраструктуру у сфері надзвичайних ситуацій та стихійних лих, викликаних людиною</w:t>
            </w:r>
          </w:p>
        </w:tc>
      </w:tr>
      <w:tr w:rsidR="00642FB4" w:rsidTr="001D2B9A">
        <w:tc>
          <w:tcPr>
            <w:tcW w:w="7229"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 xml:space="preserve">Покращення транскордонної інфраструктури - відкриті ворота в Європу </w:t>
            </w:r>
          </w:p>
          <w:p w:rsidR="00642FB4" w:rsidRDefault="00642FB4">
            <w:pPr>
              <w:jc w:val="both"/>
              <w:rPr>
                <w:sz w:val="22"/>
                <w:szCs w:val="22"/>
                <w:lang w:val="uk-UA" w:eastAsia="uk-UA" w:bidi="uk-UA"/>
              </w:rPr>
            </w:pPr>
          </w:p>
        </w:tc>
        <w:tc>
          <w:tcPr>
            <w:tcW w:w="3119" w:type="dxa"/>
            <w:shd w:val="clear" w:color="auto" w:fill="auto"/>
          </w:tcPr>
          <w:p w:rsidR="00642FB4" w:rsidRDefault="00642FB4">
            <w:pPr>
              <w:tabs>
                <w:tab w:val="left" w:pos="176"/>
              </w:tabs>
              <w:ind w:left="34"/>
              <w:rPr>
                <w:sz w:val="22"/>
                <w:szCs w:val="22"/>
                <w:lang w:val="uk-UA" w:eastAsia="uk-UA" w:bidi="uk-UA"/>
              </w:rPr>
            </w:pPr>
            <w:r>
              <w:rPr>
                <w:rFonts w:eastAsia="Calibri"/>
                <w:sz w:val="22"/>
                <w:szCs w:val="22"/>
                <w:lang w:val="uk-UA" w:eastAsia="uk-UA" w:bidi="uk-UA"/>
              </w:rPr>
              <w:t>Загальна протяжність відновлених та реконструйованих доріг</w:t>
            </w:r>
          </w:p>
        </w:tc>
      </w:tr>
      <w:tr w:rsidR="00642FB4" w:rsidTr="001D2B9A">
        <w:tc>
          <w:tcPr>
            <w:tcW w:w="7229"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Регіональне співробітництво між Румунією та Україною для запобігання та боротьби з транскордонною злочинністю</w:t>
            </w:r>
          </w:p>
        </w:tc>
        <w:tc>
          <w:tcPr>
            <w:tcW w:w="3119" w:type="dxa"/>
            <w:shd w:val="clear" w:color="auto" w:fill="auto"/>
          </w:tcPr>
          <w:p w:rsidR="00642FB4" w:rsidRDefault="00642FB4">
            <w:pPr>
              <w:tabs>
                <w:tab w:val="left" w:pos="176"/>
              </w:tabs>
              <w:ind w:left="34"/>
              <w:rPr>
                <w:sz w:val="22"/>
                <w:szCs w:val="22"/>
                <w:lang w:val="uk-UA" w:eastAsia="uk-UA" w:bidi="uk-UA"/>
              </w:rPr>
            </w:pPr>
            <w:r>
              <w:rPr>
                <w:rFonts w:eastAsia="Calibri"/>
                <w:sz w:val="22"/>
                <w:szCs w:val="22"/>
                <w:lang w:val="uk-UA" w:eastAsia="uk-UA" w:bidi="uk-UA"/>
              </w:rPr>
              <w:t>Кількість модернізованих підрозділів поліції, прикордонної поліції, митних служб на прийнятній території</w:t>
            </w:r>
          </w:p>
        </w:tc>
      </w:tr>
      <w:tr w:rsidR="00642FB4" w:rsidTr="001D2B9A">
        <w:tc>
          <w:tcPr>
            <w:tcW w:w="7229"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 xml:space="preserve">Підвищення громадської безпеки та рівня транскордонної безпеки через поліпшення спільного навчання та заходів співпраці в управлінні надзвичайними ситуаціями </w:t>
            </w:r>
          </w:p>
        </w:tc>
        <w:tc>
          <w:tcPr>
            <w:tcW w:w="3119" w:type="dxa"/>
            <w:shd w:val="clear" w:color="auto" w:fill="auto"/>
          </w:tcPr>
          <w:p w:rsidR="00642FB4" w:rsidRDefault="00642FB4">
            <w:pPr>
              <w:tabs>
                <w:tab w:val="left" w:pos="176"/>
              </w:tabs>
              <w:ind w:left="34"/>
              <w:jc w:val="both"/>
              <w:rPr>
                <w:sz w:val="22"/>
                <w:szCs w:val="22"/>
                <w:lang w:val="uk-UA" w:eastAsia="uk-UA" w:bidi="uk-UA"/>
              </w:rPr>
            </w:pPr>
            <w:r>
              <w:rPr>
                <w:rFonts w:eastAsia="Calibri"/>
                <w:sz w:val="22"/>
                <w:szCs w:val="22"/>
                <w:lang w:val="uk-UA" w:eastAsia="uk-UA" w:bidi="uk-UA"/>
              </w:rPr>
              <w:t>Кількість спільних дій, в тому числі м'яких дій (обмін досвідом, навчання, навчальні візити, спільні сесії планування, нові зроблені або оновлені карти,  створені бази даних, створені системи / структури, придбане обладнання, і т.д.) і спільні інвестиції в інфраструктуру у сфері надзвичайних ситуацій та стихійних лих, викликаних людиною</w:t>
            </w:r>
          </w:p>
        </w:tc>
      </w:tr>
    </w:tbl>
    <w:p w:rsidR="00642FB4" w:rsidRDefault="00642FB4">
      <w:pPr>
        <w:autoSpaceDE w:val="0"/>
        <w:autoSpaceDN w:val="0"/>
        <w:adjustRightInd w:val="0"/>
        <w:spacing w:before="60" w:after="60" w:line="288" w:lineRule="auto"/>
        <w:ind w:left="709" w:hanging="709"/>
        <w:contextualSpacing/>
        <w:jc w:val="both"/>
        <w:rPr>
          <w:rFonts w:cs="Arial"/>
          <w:bCs/>
          <w:color w:val="000000"/>
          <w:lang w:val="uk-UA" w:eastAsia="uk-UA" w:bidi="uk-UA"/>
        </w:rPr>
      </w:pPr>
    </w:p>
    <w:p w:rsidR="00642FB4" w:rsidRDefault="00642FB4">
      <w:pPr>
        <w:autoSpaceDE w:val="0"/>
        <w:autoSpaceDN w:val="0"/>
        <w:adjustRightInd w:val="0"/>
        <w:spacing w:before="60" w:after="60" w:line="288" w:lineRule="auto"/>
        <w:ind w:firstLine="720"/>
        <w:contextualSpacing/>
        <w:jc w:val="both"/>
        <w:rPr>
          <w:rFonts w:cs="Arial"/>
          <w:bCs/>
          <w:color w:val="000000"/>
          <w:lang w:val="uk-UA" w:eastAsia="uk-UA" w:bidi="uk-UA"/>
        </w:rPr>
      </w:pPr>
      <w:r>
        <w:rPr>
          <w:rFonts w:eastAsia="Calibri"/>
          <w:color w:val="000000"/>
          <w:szCs w:val="22"/>
          <w:lang w:val="uk-UA" w:eastAsia="uk-UA" w:bidi="uk-UA"/>
        </w:rPr>
        <w:t>Показники моніторингу будуть використані для оцінки впливу кожного проекту фінансованого в рамках Програми, на навколишнє середовище. Ці дані будуть надані бенефіціарами специфічних проектів шляхом моніторингу проведеної діяльності та будуть збиратися щорічно для Річного звіту про моніторинг Програми, який буде представлено СКК.</w:t>
      </w:r>
    </w:p>
    <w:p w:rsidR="00642FB4" w:rsidRDefault="00642FB4">
      <w:pPr>
        <w:autoSpaceDE w:val="0"/>
        <w:autoSpaceDN w:val="0"/>
        <w:adjustRightInd w:val="0"/>
        <w:spacing w:before="60" w:after="60" w:line="288" w:lineRule="auto"/>
        <w:ind w:firstLine="720"/>
        <w:contextualSpacing/>
        <w:jc w:val="both"/>
        <w:rPr>
          <w:rFonts w:cs="Arial"/>
          <w:bCs/>
          <w:color w:val="000000"/>
          <w:lang w:val="uk-UA" w:eastAsia="uk-UA" w:bidi="uk-UA"/>
        </w:rPr>
      </w:pPr>
      <w:r>
        <w:rPr>
          <w:rFonts w:eastAsia="Calibri"/>
          <w:color w:val="000000"/>
          <w:szCs w:val="22"/>
          <w:lang w:val="uk-UA" w:eastAsia="uk-UA" w:bidi="uk-UA"/>
        </w:rPr>
        <w:t>Зацікавленими органами, запропонованими для моніторингу впливу на навколишнє середовище є: бенефіціари проектів фінансованих Програмою Ro-Ua, СКК, AM (Міністерство регіонального розвитку та державного управління).</w:t>
      </w:r>
    </w:p>
    <w:p w:rsidR="00642FB4" w:rsidRDefault="00642FB4">
      <w:pPr>
        <w:autoSpaceDE w:val="0"/>
        <w:autoSpaceDN w:val="0"/>
        <w:adjustRightInd w:val="0"/>
        <w:spacing w:before="60" w:after="60" w:line="288" w:lineRule="auto"/>
        <w:contextualSpacing/>
        <w:jc w:val="both"/>
        <w:rPr>
          <w:rFonts w:cs="Arial"/>
          <w:b/>
          <w:bCs/>
          <w:color w:val="000000"/>
          <w:sz w:val="22"/>
          <w:szCs w:val="22"/>
          <w:lang w:val="uk-UA" w:eastAsia="uk-UA" w:bidi="uk-UA"/>
        </w:rPr>
        <w:sectPr w:rsidR="00642FB4" w:rsidSect="001D2B9A">
          <w:pgSz w:w="11909" w:h="16834" w:code="9"/>
          <w:pgMar w:top="567" w:right="1134" w:bottom="849" w:left="749" w:header="284" w:footer="0" w:gutter="0"/>
          <w:cols w:space="708"/>
          <w:docGrid w:linePitch="360"/>
        </w:sectPr>
      </w:pPr>
    </w:p>
    <w:p w:rsidR="00642FB4" w:rsidRPr="00B521A8" w:rsidRDefault="00B521A8" w:rsidP="00B521A8">
      <w:pPr>
        <w:spacing w:before="240" w:after="60" w:line="276" w:lineRule="auto"/>
        <w:ind w:left="284"/>
        <w:jc w:val="both"/>
        <w:outlineLvl w:val="0"/>
        <w:rPr>
          <w:rFonts w:cs="Arial"/>
          <w:b/>
          <w:bCs/>
          <w:kern w:val="28"/>
          <w:lang w:val="uk-UA" w:eastAsia="uk-UA" w:bidi="uk-UA"/>
        </w:rPr>
      </w:pPr>
      <w:bookmarkStart w:id="164" w:name="_Toc412114142"/>
      <w:bookmarkStart w:id="165" w:name="_Toc419199678"/>
      <w:r w:rsidRPr="00B521A8">
        <w:rPr>
          <w:rFonts w:eastAsia="Calibri"/>
          <w:b/>
          <w:kern w:val="28"/>
          <w:szCs w:val="22"/>
          <w:lang w:eastAsia="uk-UA" w:bidi="uk-UA"/>
        </w:rPr>
        <w:t>11.</w:t>
      </w:r>
      <w:r w:rsidR="00642FB4" w:rsidRPr="00B521A8">
        <w:rPr>
          <w:rFonts w:eastAsia="Calibri"/>
          <w:b/>
          <w:kern w:val="28"/>
          <w:szCs w:val="22"/>
          <w:lang w:val="uk-UA" w:eastAsia="uk-UA" w:bidi="uk-UA"/>
        </w:rPr>
        <w:t xml:space="preserve"> </w:t>
      </w:r>
      <w:bookmarkStart w:id="166" w:name="_Toc418279318"/>
      <w:r w:rsidR="00642FB4" w:rsidRPr="00B521A8">
        <w:rPr>
          <w:rFonts w:eastAsia="Calibri"/>
          <w:b/>
          <w:kern w:val="28"/>
          <w:szCs w:val="22"/>
          <w:lang w:val="uk-UA" w:eastAsia="uk-UA" w:bidi="uk-UA"/>
        </w:rPr>
        <w:t>НЕТЕХНІЧНИЙ КОРОТКИЙ ВИКЛАД</w:t>
      </w:r>
      <w:bookmarkEnd w:id="164"/>
      <w:bookmarkEnd w:id="165"/>
      <w:bookmarkEnd w:id="166"/>
    </w:p>
    <w:p w:rsidR="00642FB4" w:rsidRDefault="00642FB4">
      <w:pPr>
        <w:jc w:val="both"/>
        <w:rPr>
          <w:highlight w:val="yellow"/>
          <w:lang w:val="uk-UA" w:eastAsia="uk-UA" w:bidi="uk-UA"/>
        </w:rPr>
      </w:pPr>
    </w:p>
    <w:p w:rsidR="00642FB4" w:rsidRDefault="00642FB4">
      <w:pPr>
        <w:spacing w:before="60" w:after="60" w:line="288" w:lineRule="auto"/>
        <w:ind w:firstLine="630"/>
        <w:jc w:val="both"/>
        <w:rPr>
          <w:lang w:val="uk-UA" w:eastAsia="uk-UA" w:bidi="uk-UA"/>
        </w:rPr>
      </w:pPr>
      <w:r>
        <w:rPr>
          <w:rFonts w:eastAsia="Calibri"/>
          <w:szCs w:val="22"/>
          <w:lang w:val="uk-UA" w:eastAsia="uk-UA" w:bidi="uk-UA"/>
        </w:rPr>
        <w:t>Стратегічна екологічна оцінка проводиться на основі вимог Директиви СЕО (Директива Європейської Ради  № 2001/42/CE про оцінку впливу певних планів та програм на навколишнє середовище).</w:t>
      </w:r>
    </w:p>
    <w:p w:rsidR="00642FB4" w:rsidRDefault="00642FB4">
      <w:pPr>
        <w:spacing w:before="60" w:after="60" w:line="288" w:lineRule="auto"/>
        <w:ind w:firstLine="630"/>
        <w:jc w:val="both"/>
        <w:rPr>
          <w:lang w:val="uk-UA" w:eastAsia="uk-UA" w:bidi="uk-UA"/>
        </w:rPr>
      </w:pPr>
      <w:r>
        <w:rPr>
          <w:rFonts w:eastAsia="Calibri"/>
          <w:szCs w:val="22"/>
          <w:lang w:val="uk-UA" w:eastAsia="uk-UA" w:bidi="uk-UA"/>
        </w:rPr>
        <w:t xml:space="preserve">Основними елементами при таких екологічних оцінках, для яких рекомендується, щоб вони слідували законодавству або керівництву по застосуванню, є: </w:t>
      </w:r>
    </w:p>
    <w:p w:rsidR="00642FB4" w:rsidRDefault="00642FB4">
      <w:pPr>
        <w:numPr>
          <w:ilvl w:val="0"/>
          <w:numId w:val="28"/>
        </w:numPr>
        <w:tabs>
          <w:tab w:val="left" w:pos="990"/>
        </w:tabs>
        <w:spacing w:before="60" w:after="60" w:line="288" w:lineRule="auto"/>
        <w:ind w:left="990" w:hanging="270"/>
        <w:jc w:val="both"/>
        <w:rPr>
          <w:lang w:val="uk-UA" w:eastAsia="uk-UA" w:bidi="uk-UA"/>
        </w:rPr>
      </w:pPr>
      <w:r>
        <w:rPr>
          <w:rFonts w:eastAsia="Calibri"/>
          <w:szCs w:val="22"/>
          <w:lang w:val="uk-UA" w:eastAsia="uk-UA" w:bidi="uk-UA"/>
        </w:rPr>
        <w:t>опис основних аспектів щодо навколишнього середовища, які необхідно розглянути;</w:t>
      </w:r>
    </w:p>
    <w:p w:rsidR="00642FB4" w:rsidRDefault="00642FB4">
      <w:pPr>
        <w:numPr>
          <w:ilvl w:val="0"/>
          <w:numId w:val="28"/>
        </w:numPr>
        <w:tabs>
          <w:tab w:val="left" w:pos="990"/>
        </w:tabs>
        <w:spacing w:before="60" w:after="60" w:line="288" w:lineRule="auto"/>
        <w:ind w:left="990" w:hanging="270"/>
        <w:jc w:val="both"/>
        <w:rPr>
          <w:lang w:val="uk-UA" w:eastAsia="uk-UA" w:bidi="uk-UA"/>
        </w:rPr>
      </w:pPr>
      <w:r>
        <w:rPr>
          <w:rFonts w:eastAsia="Calibri"/>
          <w:szCs w:val="22"/>
          <w:lang w:val="uk-UA" w:eastAsia="uk-UA" w:bidi="uk-UA"/>
        </w:rPr>
        <w:t xml:space="preserve">Опис діапазону початкових значень в галузі охорони навколишнього середовища, які необхідно представити для аналізу в звіті СЕО; </w:t>
      </w:r>
    </w:p>
    <w:p w:rsidR="00642FB4" w:rsidRDefault="00642FB4">
      <w:pPr>
        <w:numPr>
          <w:ilvl w:val="0"/>
          <w:numId w:val="28"/>
        </w:numPr>
        <w:tabs>
          <w:tab w:val="left" w:pos="990"/>
        </w:tabs>
        <w:spacing w:before="60" w:after="60" w:line="288" w:lineRule="auto"/>
        <w:ind w:left="990" w:hanging="270"/>
        <w:jc w:val="both"/>
        <w:rPr>
          <w:lang w:val="uk-UA" w:eastAsia="uk-UA" w:bidi="uk-UA"/>
        </w:rPr>
      </w:pPr>
      <w:r>
        <w:rPr>
          <w:rFonts w:eastAsia="Calibri"/>
          <w:szCs w:val="22"/>
          <w:lang w:val="uk-UA" w:eastAsia="uk-UA" w:bidi="uk-UA"/>
        </w:rPr>
        <w:t xml:space="preserve">способи виявлення впливу при виконанні плану / програми на навколишнє середовище; </w:t>
      </w:r>
    </w:p>
    <w:p w:rsidR="00642FB4" w:rsidRDefault="00642FB4">
      <w:pPr>
        <w:numPr>
          <w:ilvl w:val="0"/>
          <w:numId w:val="28"/>
        </w:numPr>
        <w:tabs>
          <w:tab w:val="left" w:pos="990"/>
        </w:tabs>
        <w:spacing w:before="60" w:after="60" w:line="288" w:lineRule="auto"/>
        <w:ind w:left="990" w:hanging="270"/>
        <w:jc w:val="both"/>
        <w:rPr>
          <w:lang w:val="uk-UA" w:eastAsia="uk-UA" w:bidi="uk-UA"/>
        </w:rPr>
      </w:pPr>
      <w:r>
        <w:rPr>
          <w:rFonts w:eastAsia="Calibri"/>
          <w:szCs w:val="22"/>
          <w:lang w:val="uk-UA" w:eastAsia="uk-UA" w:bidi="uk-UA"/>
        </w:rPr>
        <w:t>оцінка потенціалу для вирішення проблем, ризиків та можливості запобігання їм, на навколишнє середовище.</w:t>
      </w:r>
    </w:p>
    <w:p w:rsidR="00642FB4" w:rsidRDefault="00642FB4">
      <w:pPr>
        <w:spacing w:before="60" w:after="60" w:line="288" w:lineRule="auto"/>
        <w:ind w:firstLine="630"/>
        <w:jc w:val="both"/>
        <w:rPr>
          <w:lang w:val="uk-UA" w:eastAsia="uk-UA" w:bidi="uk-UA"/>
        </w:rPr>
      </w:pPr>
      <w:r>
        <w:rPr>
          <w:rFonts w:eastAsia="Calibri"/>
          <w:szCs w:val="22"/>
          <w:lang w:val="uk-UA" w:eastAsia="uk-UA" w:bidi="uk-UA"/>
        </w:rPr>
        <w:t xml:space="preserve">Методологія, яка використовувалася в стратегічній екологічній оцінці, включає вимоги вищезгаданих документів та методичні рекомендації із: </w:t>
      </w:r>
    </w:p>
    <w:p w:rsidR="00642FB4" w:rsidRDefault="00642FB4">
      <w:pPr>
        <w:tabs>
          <w:tab w:val="left" w:pos="990"/>
        </w:tabs>
        <w:spacing w:before="60" w:after="60" w:line="288" w:lineRule="auto"/>
        <w:ind w:firstLine="709"/>
        <w:jc w:val="both"/>
        <w:rPr>
          <w:b/>
          <w:lang w:val="uk-UA" w:eastAsia="uk-UA" w:bidi="uk-UA"/>
        </w:rPr>
      </w:pPr>
      <w:r>
        <w:rPr>
          <w:rFonts w:eastAsia="Calibri"/>
          <w:b/>
          <w:i/>
          <w:szCs w:val="22"/>
          <w:lang w:val="uk-UA" w:eastAsia="uk-UA" w:bidi="uk-UA"/>
        </w:rPr>
        <w:t>„Guidance note on  Strategic Assessement in the context of ENI CBC”</w:t>
      </w:r>
      <w:r>
        <w:rPr>
          <w:rFonts w:eastAsia="Calibri"/>
          <w:b/>
          <w:szCs w:val="22"/>
          <w:lang w:val="uk-UA" w:eastAsia="uk-UA" w:bidi="uk-UA"/>
        </w:rPr>
        <w:t>, розробленого  INTERACT ENPI для конкретної ситуації СПІЛЬНИХ ОПЕРАЦІЙНИХ ПРОГРАМ та затвердженого Генеральним директоратом  з питань розвитку і співробітництва – Europe Aid (DG DEVCO) та Генеральним директоратом з питань довкілля (DG ENV).</w:t>
      </w:r>
    </w:p>
    <w:p w:rsidR="00642FB4" w:rsidRDefault="00642FB4">
      <w:pPr>
        <w:tabs>
          <w:tab w:val="left" w:pos="990"/>
        </w:tabs>
        <w:spacing w:before="60" w:after="60" w:line="288" w:lineRule="auto"/>
        <w:ind w:firstLine="709"/>
        <w:jc w:val="both"/>
        <w:rPr>
          <w:b/>
          <w:lang w:val="uk-UA" w:eastAsia="uk-UA" w:bidi="uk-UA"/>
        </w:rPr>
      </w:pPr>
    </w:p>
    <w:p w:rsidR="00642FB4" w:rsidRDefault="00642FB4">
      <w:pPr>
        <w:spacing w:before="60" w:after="60" w:line="288" w:lineRule="auto"/>
        <w:ind w:firstLine="630"/>
        <w:jc w:val="both"/>
        <w:rPr>
          <w:lang w:val="uk-UA" w:eastAsia="uk-UA" w:bidi="uk-UA"/>
        </w:rPr>
      </w:pPr>
      <w:r>
        <w:rPr>
          <w:rFonts w:eastAsia="Calibri"/>
          <w:szCs w:val="22"/>
          <w:lang w:val="uk-UA" w:eastAsia="uk-UA" w:bidi="uk-UA"/>
        </w:rPr>
        <w:t xml:space="preserve">Враховуючи те, в якій мірі </w:t>
      </w:r>
      <w:r>
        <w:rPr>
          <w:rFonts w:eastAsia="Calibri"/>
          <w:i/>
          <w:szCs w:val="22"/>
          <w:lang w:val="uk-UA" w:eastAsia="uk-UA" w:bidi="uk-UA"/>
        </w:rPr>
        <w:t>Програма CBC Ro-Ua 2014 ÷ 2020</w:t>
      </w:r>
      <w:r>
        <w:rPr>
          <w:rFonts w:eastAsia="Calibri"/>
          <w:szCs w:val="22"/>
          <w:lang w:val="uk-UA" w:eastAsia="uk-UA" w:bidi="uk-UA"/>
        </w:rPr>
        <w:t xml:space="preserve"> створює основу для майбутніх проектів та інших заходів, про розробку першого варіанту необхідно повідомити компетентні органи охорони навколишнього середовища для оцінки впливу. В рамках цієї процедури необхідно </w:t>
      </w:r>
      <w:r>
        <w:rPr>
          <w:rFonts w:eastAsia="Calibri"/>
          <w:b/>
          <w:szCs w:val="22"/>
          <w:lang w:val="uk-UA" w:eastAsia="uk-UA" w:bidi="uk-UA"/>
        </w:rPr>
        <w:t>завершити Програму паралельно з складанням екологічного звіту.</w:t>
      </w:r>
    </w:p>
    <w:p w:rsidR="00642FB4" w:rsidRDefault="00642FB4">
      <w:pPr>
        <w:spacing w:before="60" w:after="60" w:line="288" w:lineRule="auto"/>
        <w:ind w:firstLine="630"/>
        <w:jc w:val="both"/>
        <w:rPr>
          <w:lang w:val="uk-UA" w:eastAsia="uk-UA" w:bidi="uk-UA"/>
        </w:rPr>
      </w:pPr>
    </w:p>
    <w:p w:rsidR="00642FB4" w:rsidRDefault="00642FB4">
      <w:pPr>
        <w:spacing w:before="60" w:after="60" w:line="288" w:lineRule="auto"/>
        <w:ind w:firstLine="630"/>
        <w:jc w:val="both"/>
        <w:rPr>
          <w:lang w:val="uk-UA" w:eastAsia="uk-UA" w:bidi="uk-UA"/>
        </w:rPr>
      </w:pPr>
      <w:r>
        <w:rPr>
          <w:rFonts w:eastAsia="Calibri"/>
          <w:b/>
          <w:szCs w:val="22"/>
          <w:lang w:val="uk-UA" w:eastAsia="uk-UA" w:bidi="uk-UA"/>
        </w:rPr>
        <w:t>Екологічний звіт</w:t>
      </w:r>
      <w:r>
        <w:rPr>
          <w:rFonts w:eastAsia="Calibri"/>
          <w:szCs w:val="22"/>
          <w:lang w:val="uk-UA" w:eastAsia="uk-UA" w:bidi="uk-UA"/>
        </w:rPr>
        <w:t xml:space="preserve"> є частиною документації </w:t>
      </w:r>
      <w:r>
        <w:rPr>
          <w:rFonts w:eastAsia="Calibri"/>
          <w:b/>
          <w:szCs w:val="22"/>
          <w:lang w:val="uk-UA" w:eastAsia="uk-UA" w:bidi="uk-UA"/>
        </w:rPr>
        <w:t>Програми</w:t>
      </w:r>
      <w:r>
        <w:rPr>
          <w:rFonts w:eastAsia="Calibri"/>
          <w:szCs w:val="22"/>
          <w:lang w:val="uk-UA" w:eastAsia="uk-UA" w:bidi="uk-UA"/>
        </w:rPr>
        <w:t xml:space="preserve">, який ідентифікує, описує та оцінює можливі значні впливи її виконання на навколишнє середовище та розумні альтернативи, беручи до уваги цілі і відповідну географічну територію. </w:t>
      </w:r>
    </w:p>
    <w:p w:rsidR="00642FB4" w:rsidRDefault="00642FB4">
      <w:pPr>
        <w:spacing w:before="60" w:after="60" w:line="288" w:lineRule="auto"/>
        <w:ind w:firstLine="630"/>
        <w:jc w:val="both"/>
        <w:rPr>
          <w:lang w:val="uk-UA" w:eastAsia="uk-UA" w:bidi="uk-UA"/>
        </w:rPr>
      </w:pPr>
    </w:p>
    <w:p w:rsidR="00642FB4" w:rsidRDefault="00642FB4">
      <w:pPr>
        <w:spacing w:before="60" w:after="60" w:line="288" w:lineRule="auto"/>
        <w:ind w:firstLine="630"/>
        <w:jc w:val="both"/>
        <w:rPr>
          <w:lang w:val="uk-UA" w:eastAsia="uk-UA" w:bidi="uk-UA"/>
        </w:rPr>
      </w:pPr>
      <w:r>
        <w:rPr>
          <w:rFonts w:eastAsia="Calibri"/>
          <w:szCs w:val="22"/>
          <w:lang w:val="uk-UA" w:eastAsia="uk-UA" w:bidi="uk-UA"/>
        </w:rPr>
        <w:t xml:space="preserve">Створення стратегічної процедури екологічної оцінки є обов'язковим, тому що Європейська Комісія вимагає затвердження Програми </w:t>
      </w:r>
      <w:r>
        <w:rPr>
          <w:rFonts w:eastAsia="Calibri"/>
          <w:i/>
          <w:szCs w:val="22"/>
          <w:lang w:val="uk-UA" w:eastAsia="uk-UA" w:bidi="uk-UA"/>
        </w:rPr>
        <w:t>CBC “Румунія-Україна” 2014 ÷ 2020 рр.</w:t>
      </w:r>
      <w:r>
        <w:rPr>
          <w:rFonts w:eastAsia="Calibri"/>
          <w:b/>
          <w:szCs w:val="22"/>
          <w:lang w:val="uk-UA" w:eastAsia="uk-UA" w:bidi="uk-UA"/>
        </w:rPr>
        <w:t xml:space="preserve">, точка зору </w:t>
      </w:r>
      <w:r>
        <w:rPr>
          <w:rFonts w:eastAsia="Calibri"/>
          <w:szCs w:val="22"/>
          <w:lang w:val="uk-UA" w:eastAsia="uk-UA" w:bidi="uk-UA"/>
        </w:rPr>
        <w:t>органів охорону навколишнього середовища щодо проведення екологічної оцінки, відповідно до вимог чинного законодавства.</w:t>
      </w:r>
    </w:p>
    <w:p w:rsidR="00642FB4" w:rsidRDefault="00642FB4">
      <w:pPr>
        <w:spacing w:before="60" w:after="60" w:line="288" w:lineRule="auto"/>
        <w:ind w:firstLine="630"/>
        <w:jc w:val="both"/>
        <w:rPr>
          <w:lang w:val="uk-UA" w:eastAsia="uk-UA" w:bidi="uk-UA"/>
        </w:rPr>
      </w:pPr>
    </w:p>
    <w:p w:rsidR="00642FB4" w:rsidRDefault="00642FB4">
      <w:pPr>
        <w:spacing w:before="60" w:after="60" w:line="288" w:lineRule="auto"/>
        <w:ind w:firstLine="630"/>
        <w:jc w:val="both"/>
        <w:rPr>
          <w:lang w:val="uk-UA" w:eastAsia="uk-UA" w:bidi="uk-UA"/>
        </w:rPr>
      </w:pPr>
      <w:r>
        <w:rPr>
          <w:rFonts w:eastAsia="Calibri"/>
          <w:szCs w:val="22"/>
          <w:lang w:val="uk-UA" w:eastAsia="uk-UA" w:bidi="uk-UA"/>
        </w:rPr>
        <w:t>Відповідно до Директиви СЕО (2001/42/CЕ), екологічна оцінка включає в себе наступні кроки:</w:t>
      </w:r>
    </w:p>
    <w:p w:rsidR="00642FB4" w:rsidRDefault="00642FB4">
      <w:pPr>
        <w:numPr>
          <w:ilvl w:val="0"/>
          <w:numId w:val="28"/>
        </w:numPr>
        <w:tabs>
          <w:tab w:val="left" w:pos="990"/>
        </w:tabs>
        <w:spacing w:before="60" w:after="60" w:line="288" w:lineRule="auto"/>
        <w:ind w:left="990" w:hanging="270"/>
        <w:jc w:val="both"/>
        <w:rPr>
          <w:lang w:val="uk-UA" w:eastAsia="uk-UA" w:bidi="uk-UA"/>
        </w:rPr>
      </w:pPr>
      <w:r>
        <w:rPr>
          <w:rFonts w:eastAsia="Calibri"/>
          <w:szCs w:val="22"/>
          <w:lang w:val="uk-UA" w:eastAsia="uk-UA" w:bidi="uk-UA"/>
        </w:rPr>
        <w:t>Ідентифікація органів охорони навколишнього середовища всіх зацікавлених країн (Румунії та України);</w:t>
      </w:r>
    </w:p>
    <w:p w:rsidR="00642FB4" w:rsidRDefault="00642FB4">
      <w:pPr>
        <w:numPr>
          <w:ilvl w:val="0"/>
          <w:numId w:val="28"/>
        </w:numPr>
        <w:tabs>
          <w:tab w:val="left" w:pos="990"/>
        </w:tabs>
        <w:spacing w:before="60" w:after="60" w:line="288" w:lineRule="auto"/>
        <w:ind w:left="990" w:hanging="270"/>
        <w:jc w:val="both"/>
        <w:rPr>
          <w:lang w:val="uk-UA" w:eastAsia="uk-UA" w:bidi="uk-UA"/>
        </w:rPr>
      </w:pPr>
      <w:r>
        <w:rPr>
          <w:rFonts w:eastAsia="Calibri"/>
          <w:szCs w:val="22"/>
          <w:lang w:val="uk-UA" w:eastAsia="uk-UA" w:bidi="uk-UA"/>
        </w:rPr>
        <w:t>Рішення про те, чи є необхідною СЕО, чи ні, у випадку якщо є:</w:t>
      </w:r>
    </w:p>
    <w:p w:rsidR="00642FB4" w:rsidRDefault="00642FB4">
      <w:pPr>
        <w:numPr>
          <w:ilvl w:val="0"/>
          <w:numId w:val="28"/>
        </w:numPr>
        <w:tabs>
          <w:tab w:val="left" w:pos="990"/>
        </w:tabs>
        <w:spacing w:before="60" w:after="60" w:line="288" w:lineRule="auto"/>
        <w:ind w:left="990" w:hanging="270"/>
        <w:jc w:val="both"/>
        <w:rPr>
          <w:lang w:val="uk-UA" w:eastAsia="uk-UA" w:bidi="uk-UA"/>
        </w:rPr>
      </w:pPr>
      <w:r>
        <w:rPr>
          <w:rFonts w:eastAsia="Calibri"/>
          <w:szCs w:val="22"/>
          <w:lang w:val="uk-UA" w:eastAsia="uk-UA" w:bidi="uk-UA"/>
        </w:rPr>
        <w:t>Визначення мети СЕО та складання Екологічного звіту;</w:t>
      </w:r>
    </w:p>
    <w:p w:rsidR="00642FB4" w:rsidRDefault="00642FB4">
      <w:pPr>
        <w:numPr>
          <w:ilvl w:val="0"/>
          <w:numId w:val="28"/>
        </w:numPr>
        <w:tabs>
          <w:tab w:val="left" w:pos="990"/>
        </w:tabs>
        <w:spacing w:before="60" w:after="60" w:line="288" w:lineRule="auto"/>
        <w:ind w:left="990" w:hanging="270"/>
        <w:jc w:val="both"/>
        <w:rPr>
          <w:lang w:val="uk-UA" w:eastAsia="uk-UA" w:bidi="uk-UA"/>
        </w:rPr>
      </w:pPr>
      <w:r>
        <w:rPr>
          <w:rFonts w:eastAsia="Calibri"/>
          <w:szCs w:val="22"/>
          <w:lang w:val="uk-UA" w:eastAsia="uk-UA" w:bidi="uk-UA"/>
        </w:rPr>
        <w:t>Консультування природоохоронних органів та громадськості;</w:t>
      </w:r>
    </w:p>
    <w:p w:rsidR="00642FB4" w:rsidRDefault="00642FB4">
      <w:pPr>
        <w:numPr>
          <w:ilvl w:val="0"/>
          <w:numId w:val="28"/>
        </w:numPr>
        <w:tabs>
          <w:tab w:val="left" w:pos="990"/>
        </w:tabs>
        <w:spacing w:before="60" w:after="60" w:line="288" w:lineRule="auto"/>
        <w:ind w:left="990" w:hanging="270"/>
        <w:jc w:val="both"/>
        <w:rPr>
          <w:lang w:val="uk-UA" w:eastAsia="uk-UA" w:bidi="uk-UA"/>
        </w:rPr>
      </w:pPr>
      <w:r>
        <w:rPr>
          <w:rFonts w:eastAsia="Calibri"/>
          <w:szCs w:val="22"/>
          <w:lang w:val="uk-UA" w:eastAsia="uk-UA" w:bidi="uk-UA"/>
        </w:rPr>
        <w:t>Включення в Екологічний звіт висновків і результатів консультацій</w:t>
      </w:r>
    </w:p>
    <w:p w:rsidR="00642FB4" w:rsidRDefault="00642FB4">
      <w:pPr>
        <w:numPr>
          <w:ilvl w:val="0"/>
          <w:numId w:val="28"/>
        </w:numPr>
        <w:tabs>
          <w:tab w:val="left" w:pos="990"/>
        </w:tabs>
        <w:spacing w:before="60" w:after="60" w:line="288" w:lineRule="auto"/>
        <w:ind w:left="990" w:hanging="270"/>
        <w:jc w:val="both"/>
        <w:rPr>
          <w:lang w:val="uk-UA" w:eastAsia="uk-UA" w:bidi="uk-UA"/>
        </w:rPr>
      </w:pPr>
      <w:r>
        <w:rPr>
          <w:rFonts w:eastAsia="Calibri"/>
          <w:szCs w:val="22"/>
          <w:lang w:val="uk-UA" w:eastAsia="uk-UA" w:bidi="uk-UA"/>
        </w:rPr>
        <w:t>Адекватний моніторинг рекомендацій;</w:t>
      </w:r>
    </w:p>
    <w:p w:rsidR="00642FB4" w:rsidRDefault="00642FB4">
      <w:pPr>
        <w:numPr>
          <w:ilvl w:val="0"/>
          <w:numId w:val="28"/>
        </w:numPr>
        <w:tabs>
          <w:tab w:val="left" w:pos="990"/>
        </w:tabs>
        <w:spacing w:before="60" w:after="60" w:line="288" w:lineRule="auto"/>
        <w:ind w:left="990" w:hanging="270"/>
        <w:jc w:val="both"/>
        <w:rPr>
          <w:lang w:val="uk-UA" w:eastAsia="uk-UA" w:bidi="uk-UA"/>
        </w:rPr>
      </w:pPr>
      <w:r>
        <w:rPr>
          <w:rFonts w:eastAsia="Calibri"/>
          <w:szCs w:val="22"/>
          <w:lang w:val="uk-UA" w:eastAsia="uk-UA" w:bidi="uk-UA"/>
        </w:rPr>
        <w:t>Інформування проконсультованих органів та громадськості про затвердження програми.</w:t>
      </w:r>
    </w:p>
    <w:p w:rsidR="00642FB4" w:rsidRDefault="00642FB4">
      <w:pPr>
        <w:tabs>
          <w:tab w:val="left" w:pos="990"/>
        </w:tabs>
        <w:spacing w:before="60" w:after="60" w:line="288" w:lineRule="auto"/>
        <w:ind w:left="990"/>
        <w:jc w:val="both"/>
        <w:rPr>
          <w:b/>
          <w:i/>
          <w:lang w:val="uk-UA" w:eastAsia="uk-UA" w:bidi="uk-UA"/>
        </w:rPr>
      </w:pPr>
    </w:p>
    <w:p w:rsidR="00642FB4" w:rsidRDefault="00642FB4">
      <w:pPr>
        <w:tabs>
          <w:tab w:val="left" w:pos="0"/>
        </w:tabs>
        <w:spacing w:before="60" w:after="60" w:line="288" w:lineRule="auto"/>
        <w:ind w:firstLine="709"/>
        <w:jc w:val="both"/>
        <w:rPr>
          <w:lang w:val="uk-UA" w:eastAsia="uk-UA" w:bidi="uk-UA"/>
        </w:rPr>
      </w:pPr>
      <w:r>
        <w:rPr>
          <w:rFonts w:eastAsia="Calibri"/>
          <w:b/>
          <w:i/>
          <w:szCs w:val="22"/>
          <w:lang w:val="uk-UA" w:eastAsia="uk-UA" w:bidi="uk-UA"/>
        </w:rPr>
        <w:t>Екологічна оцінка є обов'язковою</w:t>
      </w:r>
      <w:r>
        <w:rPr>
          <w:rFonts w:eastAsia="Calibri"/>
          <w:szCs w:val="22"/>
          <w:lang w:val="uk-UA" w:eastAsia="uk-UA" w:bidi="uk-UA"/>
        </w:rPr>
        <w:t xml:space="preserve"> якщо програми включають проекти, що охоплюються Директивою про ОВНС в галузях, передбачених статтею 3.2 (енергетики, промисловості, транспорту, управління відходами, водного господарства, телекомунікацій, туризму, регіонального та міського планування, землекористування тощо), а також проекти зі значним впливом на довкілля в інших галузях, відповідно до статті 3.4. </w:t>
      </w:r>
    </w:p>
    <w:p w:rsidR="00642FB4" w:rsidRDefault="00642FB4">
      <w:pPr>
        <w:tabs>
          <w:tab w:val="left" w:pos="990"/>
        </w:tabs>
        <w:spacing w:before="60" w:after="60" w:line="288" w:lineRule="auto"/>
        <w:ind w:left="990"/>
        <w:jc w:val="both"/>
        <w:rPr>
          <w:lang w:val="uk-UA" w:eastAsia="uk-UA" w:bidi="uk-UA"/>
        </w:rPr>
      </w:pPr>
    </w:p>
    <w:p w:rsidR="00642FB4" w:rsidRDefault="00642FB4">
      <w:pPr>
        <w:spacing w:before="60" w:after="60" w:line="288" w:lineRule="auto"/>
        <w:ind w:firstLine="709"/>
        <w:jc w:val="both"/>
        <w:rPr>
          <w:b/>
          <w:lang w:val="uk-UA" w:eastAsia="uk-UA" w:bidi="uk-UA"/>
        </w:rPr>
      </w:pPr>
      <w:r>
        <w:rPr>
          <w:rFonts w:eastAsia="Calibri"/>
          <w:b/>
          <w:szCs w:val="22"/>
          <w:lang w:val="uk-UA" w:eastAsia="uk-UA" w:bidi="uk-UA"/>
        </w:rPr>
        <w:t>Програми ENI CBC з Великими Інфраструктурними Проектами повинні пройти процедуру стратегічної екологічної оцінки.</w:t>
      </w:r>
    </w:p>
    <w:p w:rsidR="00642FB4" w:rsidRDefault="00642FB4">
      <w:pPr>
        <w:spacing w:before="60" w:after="60" w:line="288" w:lineRule="auto"/>
        <w:ind w:firstLine="720"/>
        <w:jc w:val="both"/>
        <w:rPr>
          <w:szCs w:val="20"/>
          <w:lang w:val="uk-UA" w:eastAsia="uk-UA" w:bidi="uk-UA"/>
        </w:rPr>
      </w:pPr>
    </w:p>
    <w:p w:rsidR="00642FB4" w:rsidRDefault="00642FB4">
      <w:pPr>
        <w:spacing w:before="60" w:after="60" w:line="288" w:lineRule="auto"/>
        <w:ind w:firstLine="720"/>
        <w:jc w:val="both"/>
        <w:rPr>
          <w:szCs w:val="20"/>
          <w:lang w:val="uk-UA" w:eastAsia="uk-UA" w:bidi="uk-UA"/>
        </w:rPr>
      </w:pPr>
      <w:r>
        <w:rPr>
          <w:rFonts w:eastAsia="Calibri"/>
          <w:szCs w:val="22"/>
          <w:lang w:val="uk-UA" w:eastAsia="uk-UA" w:bidi="uk-UA"/>
        </w:rPr>
        <w:t>У період 2014 ÷ 2020 рр, Європейський Союз буде фінансувати шляхом Європейського інструменту сусідства (ENI) програми двостороннього транскордонного співробітництва (CBC) між Румунією та Україною, як продовження Спільної Операційної Програми "Румунія - Україна - Республіка Молдова 2007 ÷ 2013 рр.".</w:t>
      </w:r>
    </w:p>
    <w:p w:rsidR="00642FB4" w:rsidRDefault="00642FB4">
      <w:pPr>
        <w:spacing w:before="60" w:after="60" w:line="288" w:lineRule="auto"/>
        <w:ind w:firstLine="720"/>
        <w:jc w:val="both"/>
        <w:rPr>
          <w:rFonts w:eastAsia="EUAlbertina-Regular-Identity-H"/>
          <w:lang w:val="uk-UA" w:eastAsia="uk-UA" w:bidi="uk-UA"/>
        </w:rPr>
      </w:pPr>
      <w:r>
        <w:rPr>
          <w:rFonts w:eastAsia="Calibri"/>
          <w:szCs w:val="22"/>
          <w:lang w:val="uk-UA" w:eastAsia="uk-UA" w:bidi="uk-UA"/>
        </w:rPr>
        <w:t>Регламент ЄС № 232/2014 про створення Європейського інструменту сусідства (ENI) та Положенням ЄС № 897/2014, що встановлює особливі положення для реалізації програм транскордонного співробітництва (CBC), передбачає щоб партнери програми співпрацювали для виявлення потреб в обраній області та вибору найбільш актуальних тематичних цілей та пріоритетів.</w:t>
      </w:r>
    </w:p>
    <w:p w:rsidR="00642FB4" w:rsidRDefault="00642FB4">
      <w:pPr>
        <w:spacing w:before="60" w:after="60" w:line="288" w:lineRule="auto"/>
        <w:ind w:firstLine="709"/>
        <w:jc w:val="both"/>
        <w:rPr>
          <w:rFonts w:eastAsia="EUAlbertina-Regular-Identity-H"/>
          <w:lang w:val="uk-UA" w:eastAsia="uk-UA" w:bidi="uk-UA"/>
        </w:rPr>
      </w:pPr>
      <w:r>
        <w:rPr>
          <w:rFonts w:eastAsia="Calibri"/>
          <w:szCs w:val="22"/>
          <w:lang w:val="uk-UA" w:eastAsia="uk-UA" w:bidi="uk-UA"/>
        </w:rPr>
        <w:t>У цьому контексті, країни-партнери призначили Міністерство регіонального розвитку та державного управління (MDRAP) Румунії, як Керуючого Органа а Спільний Комітет запису до Програми (CCP) як вирішальний орган, який приймає рішення в процесі запису до Програми. У той же час були створені дві робочі групи, одна для виявлення великих інфраструктурних проектів, а друга для встановлення структур управління та контролю.</w:t>
      </w:r>
    </w:p>
    <w:p w:rsidR="00642FB4" w:rsidRDefault="00642FB4">
      <w:pPr>
        <w:spacing w:before="60" w:after="60" w:line="288" w:lineRule="auto"/>
        <w:ind w:firstLine="720"/>
        <w:jc w:val="both"/>
        <w:rPr>
          <w:lang w:val="uk-UA" w:eastAsia="uk-UA" w:bidi="uk-UA"/>
        </w:rPr>
      </w:pPr>
      <w:r>
        <w:rPr>
          <w:rFonts w:eastAsia="Calibri"/>
          <w:szCs w:val="22"/>
          <w:lang w:val="uk-UA" w:eastAsia="uk-UA" w:bidi="uk-UA"/>
        </w:rPr>
        <w:t>Для</w:t>
      </w:r>
      <w:r>
        <w:rPr>
          <w:rFonts w:eastAsia="Calibri"/>
          <w:b/>
          <w:szCs w:val="22"/>
          <w:lang w:val="uk-UA" w:eastAsia="uk-UA" w:bidi="uk-UA"/>
        </w:rPr>
        <w:t xml:space="preserve"> </w:t>
      </w:r>
      <w:r>
        <w:rPr>
          <w:rFonts w:eastAsia="Calibri"/>
          <w:i/>
          <w:szCs w:val="22"/>
          <w:lang w:val="uk-UA" w:eastAsia="uk-UA" w:bidi="uk-UA"/>
        </w:rPr>
        <w:t>Програми Румунія - Україна 2014 ÷ 2020</w:t>
      </w:r>
      <w:r>
        <w:rPr>
          <w:rFonts w:eastAsia="Calibri"/>
          <w:b/>
          <w:szCs w:val="22"/>
          <w:lang w:val="uk-UA" w:eastAsia="uk-UA" w:bidi="uk-UA"/>
        </w:rPr>
        <w:t xml:space="preserve"> </w:t>
      </w:r>
      <w:r>
        <w:rPr>
          <w:rFonts w:eastAsia="Calibri"/>
          <w:szCs w:val="22"/>
          <w:lang w:val="uk-UA" w:eastAsia="uk-UA" w:bidi="uk-UA"/>
        </w:rPr>
        <w:t>були затвердженні</w:t>
      </w:r>
      <w:r>
        <w:rPr>
          <w:rFonts w:eastAsia="Calibri"/>
          <w:b/>
          <w:szCs w:val="22"/>
          <w:lang w:val="uk-UA" w:eastAsia="uk-UA" w:bidi="uk-UA"/>
        </w:rPr>
        <w:t xml:space="preserve"> 4 тематичні цілі:</w:t>
      </w:r>
    </w:p>
    <w:p w:rsidR="00642FB4" w:rsidRDefault="00642FB4">
      <w:pPr>
        <w:numPr>
          <w:ilvl w:val="0"/>
          <w:numId w:val="29"/>
        </w:numPr>
        <w:spacing w:before="60" w:after="60" w:line="288" w:lineRule="auto"/>
        <w:jc w:val="both"/>
        <w:rPr>
          <w:lang w:val="uk-UA" w:eastAsia="uk-UA" w:bidi="uk-UA"/>
        </w:rPr>
      </w:pPr>
      <w:r>
        <w:rPr>
          <w:rFonts w:eastAsia="Calibri"/>
          <w:b/>
          <w:i/>
          <w:szCs w:val="22"/>
          <w:lang w:val="uk-UA" w:eastAsia="uk-UA" w:bidi="uk-UA"/>
        </w:rPr>
        <w:t>OT2 - Підтримка освіти, досліджень, технологічного розвитку та інновацій</w:t>
      </w:r>
      <w:r>
        <w:rPr>
          <w:rFonts w:eastAsia="Calibri"/>
          <w:szCs w:val="22"/>
          <w:lang w:val="uk-UA" w:eastAsia="uk-UA" w:bidi="uk-UA"/>
        </w:rPr>
        <w:t>:</w:t>
      </w:r>
    </w:p>
    <w:p w:rsidR="00642FB4" w:rsidRDefault="00642FB4">
      <w:pPr>
        <w:spacing w:before="60" w:after="60" w:line="288" w:lineRule="auto"/>
        <w:ind w:left="284"/>
        <w:jc w:val="both"/>
        <w:rPr>
          <w:lang w:val="uk-UA" w:eastAsia="uk-UA" w:bidi="uk-UA"/>
        </w:rPr>
      </w:pPr>
      <w:r>
        <w:rPr>
          <w:rFonts w:eastAsia="Calibri"/>
          <w:b/>
          <w:i/>
          <w:szCs w:val="22"/>
          <w:lang w:val="uk-UA" w:eastAsia="uk-UA" w:bidi="uk-UA"/>
        </w:rPr>
        <w:t>Ціль 1</w:t>
      </w:r>
      <w:r>
        <w:rPr>
          <w:rFonts w:eastAsia="Calibri"/>
          <w:szCs w:val="22"/>
          <w:lang w:val="uk-UA" w:eastAsia="uk-UA" w:bidi="uk-UA"/>
        </w:rPr>
        <w:t>: Розвиток системи освіти та підтримка досліджень та інновацій на території програми шляхом сприяння співробітництву на місцевому, регіональному та центральному рівнях</w:t>
      </w:r>
    </w:p>
    <w:p w:rsidR="00642FB4" w:rsidRDefault="00642FB4">
      <w:pPr>
        <w:numPr>
          <w:ilvl w:val="0"/>
          <w:numId w:val="17"/>
        </w:numPr>
        <w:tabs>
          <w:tab w:val="num" w:pos="993"/>
        </w:tabs>
        <w:spacing w:before="60" w:after="60" w:line="288" w:lineRule="auto"/>
        <w:ind w:left="993" w:hanging="284"/>
        <w:jc w:val="both"/>
        <w:rPr>
          <w:i/>
          <w:lang w:val="uk-UA" w:eastAsia="uk-UA" w:bidi="uk-UA"/>
        </w:rPr>
      </w:pPr>
      <w:r>
        <w:rPr>
          <w:rFonts w:eastAsia="Calibri"/>
          <w:i/>
          <w:szCs w:val="22"/>
          <w:lang w:val="uk-UA" w:eastAsia="uk-UA" w:bidi="uk-UA"/>
        </w:rPr>
        <w:t>Пріоритет 1.1</w:t>
      </w:r>
      <w:r>
        <w:rPr>
          <w:rFonts w:eastAsia="Calibri"/>
          <w:szCs w:val="22"/>
          <w:lang w:val="uk-UA" w:eastAsia="uk-UA" w:bidi="uk-UA"/>
        </w:rPr>
        <w:t xml:space="preserve"> – Інституційна співпраця в галузі освіти з метою розширення доступу до освіти та якості освіти;</w:t>
      </w:r>
    </w:p>
    <w:p w:rsidR="00642FB4" w:rsidRDefault="00642FB4">
      <w:pPr>
        <w:numPr>
          <w:ilvl w:val="0"/>
          <w:numId w:val="17"/>
        </w:numPr>
        <w:tabs>
          <w:tab w:val="num" w:pos="993"/>
        </w:tabs>
        <w:spacing w:before="60" w:after="60" w:line="288" w:lineRule="auto"/>
        <w:ind w:left="993" w:hanging="284"/>
        <w:jc w:val="both"/>
        <w:rPr>
          <w:lang w:val="uk-UA" w:eastAsia="uk-UA" w:bidi="uk-UA"/>
        </w:rPr>
      </w:pPr>
      <w:r>
        <w:rPr>
          <w:rFonts w:eastAsia="Calibri"/>
          <w:i/>
          <w:szCs w:val="22"/>
          <w:lang w:val="uk-UA" w:eastAsia="uk-UA" w:bidi="uk-UA"/>
        </w:rPr>
        <w:t xml:space="preserve">Пріоритет  1.2  – </w:t>
      </w:r>
      <w:r>
        <w:rPr>
          <w:rFonts w:eastAsia="Calibri"/>
          <w:szCs w:val="22"/>
          <w:lang w:val="uk-UA" w:eastAsia="uk-UA" w:bidi="uk-UA"/>
        </w:rPr>
        <w:t>Просування та підтримка досліджень та інновацій.</w:t>
      </w:r>
    </w:p>
    <w:p w:rsidR="00642FB4" w:rsidRDefault="00642FB4">
      <w:pPr>
        <w:tabs>
          <w:tab w:val="num" w:pos="284"/>
        </w:tabs>
        <w:spacing w:before="60" w:after="60" w:line="288" w:lineRule="auto"/>
        <w:ind w:left="284" w:hanging="284"/>
        <w:jc w:val="both"/>
        <w:rPr>
          <w:lang w:val="uk-UA" w:eastAsia="uk-UA" w:bidi="uk-UA"/>
        </w:rPr>
      </w:pPr>
    </w:p>
    <w:p w:rsidR="00642FB4" w:rsidRDefault="00642FB4">
      <w:pPr>
        <w:numPr>
          <w:ilvl w:val="0"/>
          <w:numId w:val="29"/>
        </w:numPr>
        <w:tabs>
          <w:tab w:val="num" w:pos="284"/>
        </w:tabs>
        <w:spacing w:before="60" w:after="60" w:line="288" w:lineRule="auto"/>
        <w:ind w:left="284" w:hanging="284"/>
        <w:jc w:val="both"/>
        <w:rPr>
          <w:b/>
          <w:i/>
          <w:lang w:val="uk-UA" w:eastAsia="uk-UA" w:bidi="uk-UA"/>
        </w:rPr>
      </w:pPr>
      <w:r>
        <w:rPr>
          <w:rFonts w:eastAsia="Calibri"/>
          <w:b/>
          <w:i/>
          <w:szCs w:val="22"/>
          <w:lang w:val="uk-UA" w:eastAsia="uk-UA" w:bidi="uk-UA"/>
        </w:rPr>
        <w:t>OT3 - Просування місцевої культури та збереження історичної спадщини</w:t>
      </w:r>
    </w:p>
    <w:p w:rsidR="00642FB4" w:rsidRDefault="00642FB4">
      <w:pPr>
        <w:spacing w:before="60" w:after="60" w:line="288" w:lineRule="auto"/>
        <w:ind w:left="284"/>
        <w:jc w:val="both"/>
        <w:rPr>
          <w:b/>
          <w:i/>
          <w:lang w:val="uk-UA" w:eastAsia="uk-UA" w:bidi="uk-UA"/>
        </w:rPr>
      </w:pPr>
      <w:r>
        <w:rPr>
          <w:rFonts w:eastAsia="Calibri"/>
          <w:b/>
          <w:i/>
          <w:szCs w:val="22"/>
          <w:lang w:val="uk-UA" w:eastAsia="uk-UA" w:bidi="uk-UA"/>
        </w:rPr>
        <w:t xml:space="preserve">Ціль 2:  </w:t>
      </w:r>
      <w:r>
        <w:rPr>
          <w:rFonts w:eastAsia="Calibri"/>
          <w:szCs w:val="22"/>
          <w:lang w:val="uk-UA" w:eastAsia="uk-UA" w:bidi="uk-UA"/>
        </w:rPr>
        <w:t xml:space="preserve">Збереження культурної та історичної спадщини на прийнятній території, підтримка розвитку місцевої культури, специфічної культурної самобутності та культурного діалогу сприяють підвищенню привабливості прийнятної території </w:t>
      </w:r>
    </w:p>
    <w:p w:rsidR="00642FB4" w:rsidRDefault="00642FB4">
      <w:pPr>
        <w:numPr>
          <w:ilvl w:val="0"/>
          <w:numId w:val="17"/>
        </w:numPr>
        <w:tabs>
          <w:tab w:val="num" w:pos="993"/>
        </w:tabs>
        <w:spacing w:before="60" w:after="60" w:line="288" w:lineRule="auto"/>
        <w:ind w:left="993" w:hanging="284"/>
        <w:jc w:val="both"/>
        <w:rPr>
          <w:i/>
          <w:lang w:val="uk-UA" w:eastAsia="uk-UA" w:bidi="uk-UA"/>
        </w:rPr>
      </w:pPr>
      <w:r>
        <w:rPr>
          <w:rFonts w:eastAsia="Calibri"/>
          <w:i/>
          <w:szCs w:val="22"/>
          <w:lang w:val="uk-UA" w:eastAsia="uk-UA" w:bidi="uk-UA"/>
        </w:rPr>
        <w:t xml:space="preserve">Пріоритет 2.1 – </w:t>
      </w:r>
      <w:r>
        <w:rPr>
          <w:rFonts w:eastAsia="Calibri"/>
          <w:szCs w:val="22"/>
          <w:lang w:val="uk-UA" w:eastAsia="uk-UA" w:bidi="uk-UA"/>
        </w:rPr>
        <w:t>Збереження і просування культурної та історичної спадщини</w:t>
      </w:r>
    </w:p>
    <w:p w:rsidR="00642FB4" w:rsidRDefault="00642FB4">
      <w:pPr>
        <w:tabs>
          <w:tab w:val="num" w:pos="284"/>
        </w:tabs>
        <w:spacing w:before="60" w:after="60" w:line="288" w:lineRule="auto"/>
        <w:ind w:left="284" w:hanging="284"/>
        <w:jc w:val="both"/>
        <w:rPr>
          <w:lang w:val="uk-UA" w:eastAsia="uk-UA" w:bidi="uk-UA"/>
        </w:rPr>
      </w:pPr>
    </w:p>
    <w:p w:rsidR="00642FB4" w:rsidRDefault="00642FB4">
      <w:pPr>
        <w:numPr>
          <w:ilvl w:val="0"/>
          <w:numId w:val="29"/>
        </w:numPr>
        <w:spacing w:before="60" w:after="60" w:line="288" w:lineRule="auto"/>
        <w:jc w:val="both"/>
        <w:rPr>
          <w:b/>
          <w:i/>
          <w:lang w:val="uk-UA" w:eastAsia="uk-UA" w:bidi="uk-UA"/>
        </w:rPr>
      </w:pPr>
      <w:r>
        <w:rPr>
          <w:rFonts w:eastAsia="Calibri"/>
          <w:b/>
          <w:i/>
          <w:szCs w:val="22"/>
          <w:lang w:val="uk-UA" w:eastAsia="uk-UA" w:bidi="uk-UA"/>
        </w:rPr>
        <w:t>OT7 – Поліпшення доступності в регіонах, розвиток мереж та систем транспорту і зв'язку:</w:t>
      </w:r>
    </w:p>
    <w:p w:rsidR="00642FB4" w:rsidRDefault="00642FB4">
      <w:pPr>
        <w:spacing w:before="60" w:after="60" w:line="288" w:lineRule="auto"/>
        <w:ind w:left="284"/>
        <w:jc w:val="both"/>
        <w:rPr>
          <w:lang w:val="uk-UA" w:eastAsia="uk-UA" w:bidi="uk-UA"/>
        </w:rPr>
      </w:pPr>
      <w:r>
        <w:rPr>
          <w:rFonts w:eastAsia="Calibri"/>
          <w:b/>
          <w:i/>
          <w:szCs w:val="22"/>
          <w:lang w:val="uk-UA" w:eastAsia="uk-UA" w:bidi="uk-UA"/>
        </w:rPr>
        <w:t>Ціль 3</w:t>
      </w:r>
      <w:r>
        <w:rPr>
          <w:rFonts w:eastAsia="Calibri"/>
          <w:szCs w:val="22"/>
          <w:lang w:val="uk-UA" w:eastAsia="uk-UA" w:bidi="uk-UA"/>
        </w:rPr>
        <w:t>: Поліпшення послуг громадського транспорту, інфраструктури і співпраці, а також ІКТ networking</w:t>
      </w:r>
    </w:p>
    <w:p w:rsidR="00642FB4" w:rsidRDefault="00642FB4">
      <w:pPr>
        <w:numPr>
          <w:ilvl w:val="0"/>
          <w:numId w:val="18"/>
        </w:numPr>
        <w:tabs>
          <w:tab w:val="num" w:pos="851"/>
        </w:tabs>
        <w:spacing w:before="60" w:after="60" w:line="288" w:lineRule="auto"/>
        <w:ind w:left="851" w:hanging="284"/>
        <w:jc w:val="both"/>
        <w:rPr>
          <w:i/>
          <w:lang w:val="uk-UA" w:eastAsia="uk-UA" w:bidi="uk-UA"/>
        </w:rPr>
      </w:pPr>
      <w:r>
        <w:rPr>
          <w:rFonts w:eastAsia="Calibri"/>
          <w:i/>
          <w:szCs w:val="22"/>
          <w:lang w:val="uk-UA" w:eastAsia="uk-UA" w:bidi="uk-UA"/>
        </w:rPr>
        <w:t xml:space="preserve">Пріоритет 3.1 – </w:t>
      </w:r>
      <w:r>
        <w:rPr>
          <w:rFonts w:eastAsia="Calibri"/>
          <w:szCs w:val="22"/>
          <w:lang w:val="uk-UA" w:eastAsia="uk-UA" w:bidi="uk-UA"/>
        </w:rPr>
        <w:t>Розвиток транскордонної транспортної інфраструктури та ІКТ інструментів</w:t>
      </w:r>
    </w:p>
    <w:p w:rsidR="00642FB4" w:rsidRDefault="00642FB4">
      <w:pPr>
        <w:numPr>
          <w:ilvl w:val="0"/>
          <w:numId w:val="29"/>
        </w:numPr>
        <w:tabs>
          <w:tab w:val="num" w:pos="284"/>
        </w:tabs>
        <w:spacing w:before="60" w:after="60" w:line="288" w:lineRule="auto"/>
        <w:ind w:left="284" w:hanging="284"/>
        <w:jc w:val="both"/>
        <w:rPr>
          <w:b/>
          <w:i/>
          <w:lang w:val="uk-UA" w:eastAsia="uk-UA" w:bidi="uk-UA"/>
        </w:rPr>
      </w:pPr>
      <w:r>
        <w:rPr>
          <w:rFonts w:eastAsia="Calibri"/>
          <w:b/>
          <w:i/>
          <w:szCs w:val="22"/>
          <w:lang w:val="uk-UA" w:eastAsia="uk-UA" w:bidi="uk-UA"/>
        </w:rPr>
        <w:t>OT8 - Спільні проблеми у галузі безпеки</w:t>
      </w:r>
    </w:p>
    <w:p w:rsidR="00642FB4" w:rsidRDefault="00642FB4">
      <w:pPr>
        <w:spacing w:before="60" w:after="60" w:line="288" w:lineRule="auto"/>
        <w:ind w:left="284"/>
        <w:jc w:val="both"/>
        <w:rPr>
          <w:i/>
          <w:lang w:val="uk-UA" w:eastAsia="uk-UA" w:bidi="uk-UA"/>
        </w:rPr>
      </w:pPr>
      <w:r>
        <w:rPr>
          <w:rFonts w:eastAsia="Calibri"/>
          <w:b/>
          <w:i/>
          <w:szCs w:val="22"/>
          <w:lang w:val="uk-UA" w:eastAsia="uk-UA" w:bidi="uk-UA"/>
        </w:rPr>
        <w:t xml:space="preserve">Ціль 4: </w:t>
      </w:r>
      <w:r>
        <w:rPr>
          <w:rFonts w:eastAsia="Calibri"/>
          <w:szCs w:val="22"/>
          <w:lang w:val="uk-UA" w:eastAsia="uk-UA" w:bidi="uk-UA"/>
        </w:rPr>
        <w:t xml:space="preserve">Спільні проблеми у галузі транскордонної безпеки,  доступу до охорони здоров'я, управління природними та антропогенними ризиками та надзвичайними ситуаціями  </w:t>
      </w:r>
    </w:p>
    <w:p w:rsidR="00642FB4" w:rsidRDefault="00642FB4">
      <w:pPr>
        <w:numPr>
          <w:ilvl w:val="0"/>
          <w:numId w:val="18"/>
        </w:numPr>
        <w:tabs>
          <w:tab w:val="num" w:pos="851"/>
        </w:tabs>
        <w:spacing w:before="60" w:after="60" w:line="288" w:lineRule="auto"/>
        <w:ind w:left="851" w:hanging="284"/>
        <w:jc w:val="both"/>
        <w:rPr>
          <w:i/>
          <w:lang w:val="uk-UA" w:eastAsia="uk-UA" w:bidi="uk-UA"/>
        </w:rPr>
      </w:pPr>
      <w:r>
        <w:rPr>
          <w:rFonts w:eastAsia="Calibri"/>
          <w:i/>
          <w:szCs w:val="22"/>
          <w:lang w:val="uk-UA" w:eastAsia="uk-UA" w:bidi="uk-UA"/>
        </w:rPr>
        <w:t xml:space="preserve">Пріоритет 4.1 – </w:t>
      </w:r>
      <w:r>
        <w:rPr>
          <w:rFonts w:eastAsia="Calibri"/>
          <w:szCs w:val="22"/>
          <w:lang w:val="uk-UA" w:eastAsia="uk-UA" w:bidi="uk-UA"/>
        </w:rPr>
        <w:t>Підтримка розвитку медичних послуг та доступу до охорони здоров'я;</w:t>
      </w:r>
    </w:p>
    <w:p w:rsidR="00642FB4" w:rsidRDefault="00642FB4">
      <w:pPr>
        <w:numPr>
          <w:ilvl w:val="0"/>
          <w:numId w:val="18"/>
        </w:numPr>
        <w:tabs>
          <w:tab w:val="num" w:pos="851"/>
        </w:tabs>
        <w:spacing w:before="60" w:after="60" w:line="288" w:lineRule="auto"/>
        <w:ind w:left="851" w:hanging="284"/>
        <w:jc w:val="both"/>
        <w:rPr>
          <w:i/>
          <w:lang w:val="uk-UA" w:eastAsia="uk-UA" w:bidi="uk-UA"/>
        </w:rPr>
      </w:pPr>
      <w:r>
        <w:rPr>
          <w:rFonts w:eastAsia="Calibri"/>
          <w:i/>
          <w:szCs w:val="22"/>
          <w:lang w:val="uk-UA" w:eastAsia="uk-UA" w:bidi="uk-UA"/>
        </w:rPr>
        <w:t xml:space="preserve">Пріоритет 4.2 – </w:t>
      </w:r>
      <w:r>
        <w:rPr>
          <w:rFonts w:eastAsia="Calibri"/>
          <w:szCs w:val="22"/>
          <w:lang w:val="uk-UA" w:eastAsia="uk-UA" w:bidi="uk-UA"/>
        </w:rPr>
        <w:t>Підтримка спільних заходів щодо запобігання стихійним лихам та лихам викликаним діяльністю людини, а також підтримка спільних заходів в надзвичайних ситуаціях;</w:t>
      </w:r>
    </w:p>
    <w:p w:rsidR="00642FB4" w:rsidRDefault="00642FB4">
      <w:pPr>
        <w:numPr>
          <w:ilvl w:val="0"/>
          <w:numId w:val="18"/>
        </w:numPr>
        <w:tabs>
          <w:tab w:val="num" w:pos="851"/>
        </w:tabs>
        <w:spacing w:before="60" w:after="60" w:line="288" w:lineRule="auto"/>
        <w:ind w:left="851" w:hanging="284"/>
        <w:jc w:val="both"/>
        <w:rPr>
          <w:i/>
          <w:lang w:val="uk-UA" w:eastAsia="uk-UA" w:bidi="uk-UA"/>
        </w:rPr>
      </w:pPr>
      <w:r>
        <w:rPr>
          <w:rFonts w:eastAsia="Calibri"/>
          <w:i/>
          <w:szCs w:val="22"/>
          <w:lang w:val="uk-UA" w:eastAsia="uk-UA" w:bidi="uk-UA"/>
        </w:rPr>
        <w:t xml:space="preserve">Пріоритет 4.3 – </w:t>
      </w:r>
      <w:r>
        <w:rPr>
          <w:rFonts w:eastAsia="Calibri"/>
          <w:szCs w:val="22"/>
          <w:lang w:val="uk-UA" w:eastAsia="uk-UA" w:bidi="uk-UA"/>
        </w:rPr>
        <w:t>Запобігання та боротьба з організованою злочинністю і поліцейське співробітництво</w:t>
      </w:r>
    </w:p>
    <w:p w:rsidR="00642FB4" w:rsidRDefault="00642FB4">
      <w:pPr>
        <w:numPr>
          <w:ilvl w:val="0"/>
          <w:numId w:val="33"/>
        </w:numPr>
        <w:spacing w:after="200" w:line="276" w:lineRule="auto"/>
        <w:ind w:left="284" w:hanging="284"/>
        <w:jc w:val="both"/>
        <w:rPr>
          <w:lang w:val="uk-UA" w:eastAsia="uk-UA" w:bidi="uk-UA"/>
        </w:rPr>
      </w:pPr>
      <w:r>
        <w:rPr>
          <w:rFonts w:eastAsia="Calibri"/>
          <w:b/>
          <w:i/>
          <w:szCs w:val="22"/>
          <w:lang w:val="uk-UA" w:eastAsia="uk-UA" w:bidi="uk-UA"/>
        </w:rPr>
        <w:t xml:space="preserve">Великі Інфраструктурні Проекти </w:t>
      </w:r>
    </w:p>
    <w:tbl>
      <w:tblPr>
        <w:tblW w:w="10350" w:type="dxa"/>
        <w:tblInd w:w="108" w:type="dxa"/>
        <w:tblLayout w:type="fixed"/>
        <w:tblLook w:val="04A0" w:firstRow="1" w:lastRow="0" w:firstColumn="1" w:lastColumn="0" w:noHBand="0" w:noVBand="1"/>
      </w:tblPr>
      <w:tblGrid>
        <w:gridCol w:w="10350"/>
      </w:tblGrid>
      <w:tr w:rsidR="00642FB4">
        <w:tc>
          <w:tcPr>
            <w:tcW w:w="10350" w:type="dxa"/>
            <w:shd w:val="clear" w:color="auto" w:fill="auto"/>
          </w:tcPr>
          <w:p w:rsidR="00642FB4" w:rsidRDefault="00642FB4">
            <w:pPr>
              <w:numPr>
                <w:ilvl w:val="0"/>
                <w:numId w:val="34"/>
              </w:numPr>
              <w:spacing w:after="200" w:line="288" w:lineRule="auto"/>
              <w:ind w:left="743" w:hanging="284"/>
              <w:jc w:val="both"/>
              <w:rPr>
                <w:lang w:val="uk-UA" w:eastAsia="uk-UA" w:bidi="uk-UA"/>
              </w:rPr>
            </w:pPr>
            <w:r>
              <w:rPr>
                <w:rFonts w:eastAsia="Calibri"/>
                <w:szCs w:val="22"/>
                <w:lang w:val="uk-UA" w:eastAsia="uk-UA" w:bidi="uk-UA"/>
              </w:rPr>
              <w:t xml:space="preserve">“Чиста ріка” </w:t>
            </w:r>
            <w:r w:rsidR="001B6BC7">
              <w:rPr>
                <w:rFonts w:eastAsia="Calibri"/>
                <w:szCs w:val="22"/>
                <w:lang w:val="uk-UA" w:eastAsia="uk-UA" w:bidi="uk-UA"/>
              </w:rPr>
              <w:t>–</w:t>
            </w:r>
            <w:r>
              <w:rPr>
                <w:rFonts w:eastAsia="Calibri"/>
                <w:szCs w:val="22"/>
                <w:lang w:val="uk-UA" w:eastAsia="uk-UA" w:bidi="uk-UA"/>
              </w:rPr>
              <w:t xml:space="preserve"> Дунай</w:t>
            </w:r>
          </w:p>
        </w:tc>
      </w:tr>
      <w:tr w:rsidR="00642FB4">
        <w:tc>
          <w:tcPr>
            <w:tcW w:w="10350" w:type="dxa"/>
            <w:shd w:val="clear" w:color="auto" w:fill="auto"/>
          </w:tcPr>
          <w:p w:rsidR="00642FB4" w:rsidRDefault="00642FB4">
            <w:pPr>
              <w:numPr>
                <w:ilvl w:val="0"/>
                <w:numId w:val="34"/>
              </w:numPr>
              <w:spacing w:after="200" w:line="288" w:lineRule="auto"/>
              <w:ind w:left="743" w:hanging="284"/>
              <w:jc w:val="both"/>
              <w:rPr>
                <w:lang w:val="uk-UA" w:eastAsia="uk-UA" w:bidi="uk-UA"/>
              </w:rPr>
            </w:pPr>
            <w:r>
              <w:rPr>
                <w:rFonts w:eastAsia="Calibri"/>
                <w:szCs w:val="22"/>
                <w:lang w:val="uk-UA" w:eastAsia="uk-UA" w:bidi="uk-UA"/>
              </w:rPr>
              <w:t>Покращення транскордонної інфраструктури - відкриті ворота в Європу</w:t>
            </w:r>
          </w:p>
        </w:tc>
      </w:tr>
      <w:tr w:rsidR="00642FB4">
        <w:tc>
          <w:tcPr>
            <w:tcW w:w="10350" w:type="dxa"/>
            <w:shd w:val="clear" w:color="auto" w:fill="auto"/>
          </w:tcPr>
          <w:p w:rsidR="00642FB4" w:rsidRDefault="00642FB4">
            <w:pPr>
              <w:numPr>
                <w:ilvl w:val="0"/>
                <w:numId w:val="34"/>
              </w:numPr>
              <w:spacing w:after="200" w:line="288" w:lineRule="auto"/>
              <w:ind w:left="743" w:hanging="284"/>
              <w:jc w:val="both"/>
              <w:rPr>
                <w:lang w:val="uk-UA" w:eastAsia="uk-UA" w:bidi="uk-UA"/>
              </w:rPr>
            </w:pPr>
            <w:r>
              <w:rPr>
                <w:rFonts w:eastAsia="Calibri"/>
                <w:szCs w:val="22"/>
                <w:lang w:val="uk-UA" w:eastAsia="uk-UA" w:bidi="uk-UA"/>
              </w:rPr>
              <w:t>Регіональне співробітництво між Румунією та Україною для запобігання та боротьби з транскордонною злочинністю</w:t>
            </w:r>
          </w:p>
        </w:tc>
      </w:tr>
      <w:tr w:rsidR="00642FB4">
        <w:tc>
          <w:tcPr>
            <w:tcW w:w="10350" w:type="dxa"/>
            <w:shd w:val="clear" w:color="auto" w:fill="auto"/>
          </w:tcPr>
          <w:p w:rsidR="00642FB4" w:rsidRDefault="00642FB4">
            <w:pPr>
              <w:numPr>
                <w:ilvl w:val="0"/>
                <w:numId w:val="34"/>
              </w:numPr>
              <w:spacing w:after="200" w:line="288" w:lineRule="auto"/>
              <w:ind w:left="743" w:hanging="284"/>
              <w:jc w:val="both"/>
              <w:rPr>
                <w:lang w:val="uk-UA" w:eastAsia="uk-UA" w:bidi="uk-UA"/>
              </w:rPr>
            </w:pPr>
            <w:r>
              <w:rPr>
                <w:rFonts w:eastAsia="Calibri"/>
                <w:szCs w:val="22"/>
                <w:lang w:val="uk-UA" w:eastAsia="uk-UA" w:bidi="uk-UA"/>
              </w:rPr>
              <w:t>Підвищення громадської безпеки та рівня транскордонної безпеки через спільне навчання та заходи співпраці в управлінні надзвичайними ситуаціями</w:t>
            </w:r>
          </w:p>
        </w:tc>
      </w:tr>
    </w:tbl>
    <w:p w:rsidR="00642FB4" w:rsidRDefault="00642FB4">
      <w:pPr>
        <w:ind w:firstLine="709"/>
        <w:jc w:val="both"/>
        <w:rPr>
          <w:lang w:val="uk-UA" w:eastAsia="uk-UA" w:bidi="uk-UA"/>
        </w:rPr>
      </w:pPr>
    </w:p>
    <w:p w:rsidR="00642FB4" w:rsidRDefault="00642FB4">
      <w:pPr>
        <w:spacing w:before="60" w:after="60" w:line="288" w:lineRule="auto"/>
        <w:ind w:firstLine="709"/>
        <w:jc w:val="both"/>
        <w:rPr>
          <w:rFonts w:cs="Arial"/>
          <w:lang w:val="uk-UA" w:eastAsia="uk-UA" w:bidi="uk-UA"/>
        </w:rPr>
      </w:pPr>
    </w:p>
    <w:p w:rsidR="00642FB4" w:rsidRDefault="00642FB4">
      <w:pPr>
        <w:spacing w:before="60" w:after="60" w:line="288" w:lineRule="auto"/>
        <w:ind w:firstLine="709"/>
        <w:jc w:val="both"/>
        <w:rPr>
          <w:rFonts w:cs="Arial"/>
          <w:lang w:val="uk-UA" w:eastAsia="uk-UA" w:bidi="uk-UA"/>
        </w:rPr>
      </w:pPr>
      <w:r>
        <w:rPr>
          <w:rFonts w:eastAsia="Calibri"/>
          <w:szCs w:val="22"/>
          <w:lang w:val="uk-UA" w:eastAsia="uk-UA" w:bidi="uk-UA"/>
        </w:rPr>
        <w:t>Спільна операційна програма Румунія - Україна 2014 ÷ 2020 буде покривати наступну територію, встановлену в рамках ENI CBC:</w:t>
      </w:r>
    </w:p>
    <w:p w:rsidR="00642FB4" w:rsidRDefault="00642FB4">
      <w:pPr>
        <w:spacing w:before="60" w:after="60" w:line="288" w:lineRule="auto"/>
        <w:ind w:firstLine="709"/>
        <w:jc w:val="both"/>
        <w:rPr>
          <w:i/>
          <w:lang w:val="uk-UA" w:eastAsia="uk-UA" w:bidi="uk-UA"/>
        </w:rPr>
      </w:pPr>
      <w:r>
        <w:rPr>
          <w:rFonts w:eastAsia="Calibri"/>
          <w:b/>
          <w:szCs w:val="22"/>
          <w:lang w:val="uk-UA" w:eastAsia="uk-UA" w:bidi="uk-UA"/>
        </w:rPr>
        <w:t>Румунія:</w:t>
      </w:r>
      <w:r>
        <w:rPr>
          <w:rFonts w:eastAsia="Calibri"/>
          <w:szCs w:val="22"/>
          <w:lang w:val="uk-UA" w:eastAsia="uk-UA" w:bidi="uk-UA"/>
        </w:rPr>
        <w:t> </w:t>
      </w:r>
      <w:r>
        <w:rPr>
          <w:rFonts w:ascii="Calibri" w:eastAsia="Calibri" w:hAnsi="Calibri"/>
          <w:sz w:val="22"/>
          <w:szCs w:val="22"/>
          <w:lang w:val="uk-UA" w:eastAsia="uk-UA" w:bidi="uk-UA"/>
        </w:rPr>
        <w:tab/>
      </w:r>
      <w:r>
        <w:rPr>
          <w:rFonts w:eastAsia="Calibri"/>
          <w:b/>
          <w:szCs w:val="22"/>
          <w:lang w:val="uk-UA" w:eastAsia="uk-UA" w:bidi="uk-UA"/>
        </w:rPr>
        <w:t>5 повітів</w:t>
      </w:r>
      <w:r>
        <w:rPr>
          <w:rFonts w:eastAsia="Calibri"/>
          <w:szCs w:val="22"/>
          <w:lang w:val="uk-UA" w:eastAsia="uk-UA" w:bidi="uk-UA"/>
        </w:rPr>
        <w:t xml:space="preserve">: </w:t>
      </w:r>
      <w:r>
        <w:rPr>
          <w:rFonts w:eastAsia="Calibri"/>
          <w:i/>
          <w:szCs w:val="22"/>
          <w:lang w:val="uk-UA" w:eastAsia="uk-UA" w:bidi="uk-UA"/>
        </w:rPr>
        <w:t>Сату-Маре, Марамуреш, Ботошань, Сучава, Тулча;</w:t>
      </w:r>
    </w:p>
    <w:p w:rsidR="00642FB4" w:rsidRDefault="00642FB4">
      <w:pPr>
        <w:spacing w:before="60" w:after="60" w:line="288" w:lineRule="auto"/>
        <w:ind w:firstLine="709"/>
        <w:jc w:val="both"/>
        <w:rPr>
          <w:lang w:val="uk-UA" w:eastAsia="uk-UA" w:bidi="uk-UA"/>
        </w:rPr>
      </w:pPr>
      <w:r>
        <w:rPr>
          <w:rFonts w:eastAsia="Calibri"/>
          <w:b/>
          <w:szCs w:val="22"/>
          <w:lang w:val="uk-UA" w:eastAsia="uk-UA" w:bidi="uk-UA"/>
        </w:rPr>
        <w:t>Україна:</w:t>
      </w:r>
      <w:r>
        <w:rPr>
          <w:rFonts w:eastAsia="Calibri"/>
          <w:szCs w:val="22"/>
          <w:lang w:val="uk-UA" w:eastAsia="uk-UA" w:bidi="uk-UA"/>
        </w:rPr>
        <w:t xml:space="preserve">  </w:t>
      </w:r>
      <w:r>
        <w:rPr>
          <w:rFonts w:ascii="Calibri" w:eastAsia="Calibri" w:hAnsi="Calibri"/>
          <w:sz w:val="22"/>
          <w:szCs w:val="22"/>
          <w:lang w:val="uk-UA" w:eastAsia="uk-UA" w:bidi="uk-UA"/>
        </w:rPr>
        <w:tab/>
      </w:r>
      <w:r>
        <w:rPr>
          <w:rFonts w:eastAsia="Calibri"/>
          <w:b/>
          <w:szCs w:val="22"/>
          <w:lang w:val="uk-UA" w:eastAsia="uk-UA" w:bidi="uk-UA"/>
        </w:rPr>
        <w:t>4 області</w:t>
      </w:r>
      <w:r>
        <w:rPr>
          <w:rFonts w:eastAsia="Calibri"/>
          <w:szCs w:val="22"/>
          <w:lang w:val="uk-UA" w:eastAsia="uk-UA" w:bidi="uk-UA"/>
        </w:rPr>
        <w:t xml:space="preserve">: </w:t>
      </w:r>
      <w:r>
        <w:rPr>
          <w:rFonts w:eastAsia="Calibri"/>
          <w:i/>
          <w:szCs w:val="22"/>
          <w:lang w:val="uk-UA" w:eastAsia="uk-UA" w:bidi="uk-UA"/>
        </w:rPr>
        <w:t>Івано-Франківська, Закарпатська, Чернівецька, Одеська.</w:t>
      </w:r>
    </w:p>
    <w:p w:rsidR="00642FB4" w:rsidRDefault="00642FB4">
      <w:pPr>
        <w:jc w:val="both"/>
        <w:rPr>
          <w:rFonts w:ascii="Times New Roman" w:eastAsia="Calibri" w:hAnsi="Times New Roman"/>
          <w:sz w:val="20"/>
          <w:szCs w:val="20"/>
          <w:lang w:val="uk-UA" w:eastAsia="uk-UA" w:bidi="uk-UA"/>
        </w:rPr>
      </w:pPr>
    </w:p>
    <w:p w:rsidR="00642FB4" w:rsidRDefault="00642FB4">
      <w:pPr>
        <w:spacing w:before="60" w:after="60" w:line="288" w:lineRule="auto"/>
        <w:ind w:firstLine="709"/>
        <w:jc w:val="both"/>
        <w:rPr>
          <w:rFonts w:eastAsia="EUAlbertina-Regular-Identity-H"/>
          <w:lang w:val="uk-UA" w:eastAsia="uk-UA" w:bidi="uk-UA"/>
        </w:rPr>
      </w:pPr>
      <w:r>
        <w:rPr>
          <w:rFonts w:eastAsia="Calibri"/>
          <w:szCs w:val="22"/>
          <w:lang w:val="uk-UA" w:eastAsia="uk-UA" w:bidi="uk-UA"/>
        </w:rPr>
        <w:t>Що стосується пропорційності, українська прийнятна площа перевищує румунську територію більш ніж в два рази за розміром.</w:t>
      </w:r>
    </w:p>
    <w:p w:rsidR="00642FB4" w:rsidRDefault="00642FB4">
      <w:pPr>
        <w:spacing w:before="60" w:after="60" w:line="288" w:lineRule="auto"/>
        <w:ind w:firstLine="709"/>
        <w:jc w:val="both"/>
        <w:rPr>
          <w:lang w:val="uk-UA" w:eastAsia="uk-UA" w:bidi="uk-UA"/>
        </w:rPr>
      </w:pPr>
      <w:r>
        <w:rPr>
          <w:rFonts w:eastAsia="Calibri"/>
          <w:szCs w:val="22"/>
          <w:lang w:val="uk-UA" w:eastAsia="uk-UA" w:bidi="uk-UA"/>
        </w:rPr>
        <w:t>Відповідно до ст. 8 (3) Регламенту ЄС № 232/2014, який встановлює ENI, у програму були включені 2 основні громадські, економічні та культурні центри: Бухарест і Київ.</w:t>
      </w:r>
    </w:p>
    <w:p w:rsidR="00642FB4" w:rsidRDefault="00642FB4">
      <w:pPr>
        <w:spacing w:before="60" w:after="60" w:line="288" w:lineRule="auto"/>
        <w:ind w:firstLine="709"/>
        <w:jc w:val="both"/>
        <w:rPr>
          <w:lang w:val="uk-UA" w:eastAsia="uk-UA" w:bidi="uk-UA"/>
        </w:rPr>
      </w:pPr>
      <w:r>
        <w:rPr>
          <w:rFonts w:eastAsia="Calibri"/>
          <w:szCs w:val="22"/>
          <w:lang w:val="uk-UA" w:eastAsia="uk-UA" w:bidi="uk-UA"/>
        </w:rPr>
        <w:t>Відповідно до статті 39, п. 2 букви б і статті 45, п. 4 Регламенту 897 від 2014 року, країни-партнери вирішили дозволити правило гнучкості максимум 10% від розподілу Програми, яким будуть користуватися бенефіціари, розташовані за межами території Програми та/або для діяльності, яка проводиться за межами території Програми за певних специфічних умов, викладених у програмі.</w:t>
      </w:r>
    </w:p>
    <w:p w:rsidR="00642FB4" w:rsidRDefault="00642FB4">
      <w:pPr>
        <w:spacing w:before="60" w:after="60" w:line="288" w:lineRule="auto"/>
        <w:ind w:firstLine="709"/>
        <w:jc w:val="both"/>
        <w:rPr>
          <w:lang w:val="uk-UA" w:eastAsia="uk-UA" w:bidi="uk-UA"/>
        </w:rPr>
      </w:pPr>
      <w:r>
        <w:rPr>
          <w:rFonts w:eastAsia="Calibri"/>
          <w:szCs w:val="22"/>
          <w:lang w:val="uk-UA" w:eastAsia="uk-UA" w:bidi="uk-UA"/>
        </w:rPr>
        <w:t xml:space="preserve">Центр прийнятної території програми має декілька екологічних проблем в результаті агресивного процесу індустріалізації до 1989 року, але в межах допустимого на міжнародному рівні забруднення. Великі проблеми виникають від чотирьох основних джерел: </w:t>
      </w:r>
    </w:p>
    <w:p w:rsidR="00642FB4" w:rsidRDefault="00642FB4">
      <w:pPr>
        <w:numPr>
          <w:ilvl w:val="0"/>
          <w:numId w:val="30"/>
        </w:numPr>
        <w:spacing w:before="60" w:after="60" w:line="288" w:lineRule="auto"/>
        <w:ind w:left="993" w:hanging="284"/>
        <w:jc w:val="both"/>
        <w:rPr>
          <w:lang w:val="uk-UA" w:eastAsia="uk-UA" w:bidi="uk-UA"/>
        </w:rPr>
      </w:pPr>
      <w:r>
        <w:rPr>
          <w:rFonts w:eastAsia="Calibri"/>
          <w:szCs w:val="22"/>
          <w:lang w:val="uk-UA" w:eastAsia="uk-UA" w:bidi="uk-UA"/>
        </w:rPr>
        <w:t xml:space="preserve">промислові викиди і відходи, що утворюються при експлуатації та закритті промислових об'єктів, які мають негативний вплив на повітря, ґрунт та воду; </w:t>
      </w:r>
    </w:p>
    <w:p w:rsidR="00642FB4" w:rsidRDefault="00642FB4">
      <w:pPr>
        <w:numPr>
          <w:ilvl w:val="0"/>
          <w:numId w:val="30"/>
        </w:numPr>
        <w:spacing w:before="60" w:after="60" w:line="288" w:lineRule="auto"/>
        <w:ind w:left="993" w:hanging="284"/>
        <w:jc w:val="both"/>
        <w:rPr>
          <w:lang w:val="uk-UA" w:eastAsia="uk-UA" w:bidi="uk-UA"/>
        </w:rPr>
      </w:pPr>
      <w:r>
        <w:rPr>
          <w:rFonts w:eastAsia="Calibri"/>
          <w:szCs w:val="22"/>
          <w:lang w:val="uk-UA" w:eastAsia="uk-UA" w:bidi="uk-UA"/>
        </w:rPr>
        <w:t>низький рівень управління відходами, особливо в сільських районах, маючи прямий вплив на довкілля, особливо тому, що в цих районах не має адекватних засобів для їх обробки;</w:t>
      </w:r>
    </w:p>
    <w:p w:rsidR="00642FB4" w:rsidRDefault="00642FB4">
      <w:pPr>
        <w:numPr>
          <w:ilvl w:val="0"/>
          <w:numId w:val="30"/>
        </w:numPr>
        <w:spacing w:before="60" w:after="60" w:line="288" w:lineRule="auto"/>
        <w:ind w:left="993" w:hanging="284"/>
        <w:jc w:val="both"/>
        <w:rPr>
          <w:lang w:val="uk-UA" w:eastAsia="uk-UA" w:bidi="uk-UA"/>
        </w:rPr>
      </w:pPr>
      <w:r>
        <w:rPr>
          <w:rFonts w:eastAsia="Calibri"/>
          <w:szCs w:val="22"/>
          <w:lang w:val="uk-UA" w:eastAsia="uk-UA" w:bidi="uk-UA"/>
        </w:rPr>
        <w:t xml:space="preserve">використовування добрив та неправильне захоронення  сільськогосподарських відходів, які мають безпосередній вплив на ґрунт та якість води; </w:t>
      </w:r>
    </w:p>
    <w:p w:rsidR="00642FB4" w:rsidRDefault="00642FB4">
      <w:pPr>
        <w:numPr>
          <w:ilvl w:val="0"/>
          <w:numId w:val="30"/>
        </w:numPr>
        <w:spacing w:before="60" w:after="60" w:line="288" w:lineRule="auto"/>
        <w:ind w:left="993" w:hanging="284"/>
        <w:jc w:val="both"/>
        <w:rPr>
          <w:lang w:val="uk-UA" w:eastAsia="uk-UA" w:bidi="uk-UA"/>
        </w:rPr>
      </w:pPr>
      <w:r>
        <w:rPr>
          <w:rFonts w:eastAsia="Calibri"/>
          <w:szCs w:val="22"/>
          <w:lang w:val="uk-UA" w:eastAsia="uk-UA" w:bidi="uk-UA"/>
        </w:rPr>
        <w:t>міські центри є основними виробниками парникових газів (СО</w:t>
      </w:r>
      <w:r>
        <w:rPr>
          <w:rFonts w:eastAsia="Calibri"/>
          <w:szCs w:val="22"/>
          <w:vertAlign w:val="subscript"/>
          <w:lang w:val="uk-UA" w:eastAsia="uk-UA" w:bidi="uk-UA"/>
        </w:rPr>
        <w:t>2</w:t>
      </w:r>
      <w:r>
        <w:rPr>
          <w:rFonts w:eastAsia="Calibri"/>
          <w:szCs w:val="22"/>
          <w:lang w:val="uk-UA" w:eastAsia="uk-UA" w:bidi="uk-UA"/>
        </w:rPr>
        <w:t>) і мають значний вплив на якість повітря та довкілля в цілому.</w:t>
      </w:r>
    </w:p>
    <w:p w:rsidR="00642FB4" w:rsidRDefault="00642FB4">
      <w:pPr>
        <w:spacing w:before="60" w:after="60" w:line="288" w:lineRule="auto"/>
        <w:ind w:firstLine="709"/>
        <w:jc w:val="both"/>
        <w:rPr>
          <w:lang w:val="uk-UA" w:eastAsia="uk-UA" w:bidi="uk-UA"/>
        </w:rPr>
      </w:pPr>
      <w:r>
        <w:rPr>
          <w:rFonts w:eastAsia="Calibri"/>
          <w:szCs w:val="22"/>
          <w:lang w:val="uk-UA" w:eastAsia="uk-UA" w:bidi="uk-UA"/>
        </w:rPr>
        <w:t>На даний час на території Програми існує більше 1000 охоронюваних територій національного та міжнародного значення та багато історичних місць.</w:t>
      </w:r>
    </w:p>
    <w:p w:rsidR="00642FB4" w:rsidRDefault="00642FB4">
      <w:pPr>
        <w:spacing w:before="60" w:after="60" w:line="288" w:lineRule="auto"/>
        <w:ind w:firstLine="709"/>
        <w:jc w:val="both"/>
        <w:rPr>
          <w:lang w:val="uk-UA" w:eastAsia="uk-UA" w:bidi="uk-UA"/>
        </w:rPr>
      </w:pPr>
    </w:p>
    <w:p w:rsidR="00642FB4" w:rsidRDefault="00642FB4">
      <w:pPr>
        <w:spacing w:before="60" w:after="60" w:line="288" w:lineRule="auto"/>
        <w:ind w:firstLine="709"/>
        <w:jc w:val="both"/>
        <w:rPr>
          <w:lang w:val="uk-UA" w:eastAsia="uk-UA" w:bidi="uk-UA"/>
        </w:rPr>
      </w:pPr>
      <w:r>
        <w:rPr>
          <w:rFonts w:eastAsia="Calibri"/>
          <w:szCs w:val="22"/>
          <w:lang w:val="uk-UA" w:eastAsia="uk-UA" w:bidi="uk-UA"/>
        </w:rPr>
        <w:t>В цілому, на екологічний стан прийнятної території Програми, як в Румунії, так і в Україні не буде безпосередньо впливати невпровадження проектів, які будуть підтримуватися Програмою Ro-Ua.</w:t>
      </w:r>
    </w:p>
    <w:p w:rsidR="00642FB4" w:rsidRDefault="00642FB4">
      <w:pPr>
        <w:spacing w:before="60" w:after="60" w:line="288" w:lineRule="auto"/>
        <w:ind w:firstLine="709"/>
        <w:jc w:val="both"/>
        <w:rPr>
          <w:lang w:val="uk-UA" w:eastAsia="uk-UA" w:bidi="uk-UA"/>
        </w:rPr>
      </w:pPr>
      <w:r>
        <w:rPr>
          <w:rFonts w:eastAsia="Calibri"/>
          <w:szCs w:val="22"/>
          <w:lang w:val="uk-UA" w:eastAsia="uk-UA" w:bidi="uk-UA"/>
        </w:rPr>
        <w:t>Проекти, які будуть впроваджені в рамках тематичних цілей OT2 та ОТ3, є більш концептуальними проектами та обмін досвідом в галузі освіти, досліджень і розробок та інновацій або проектами відновлення та просування історичної спадщини, які можуть мати тільки непрямий вплив на навколишнє середовище.</w:t>
      </w:r>
    </w:p>
    <w:p w:rsidR="00642FB4" w:rsidRDefault="00642FB4">
      <w:pPr>
        <w:spacing w:before="60" w:after="60" w:line="288" w:lineRule="auto"/>
        <w:ind w:firstLine="709"/>
        <w:jc w:val="both"/>
        <w:rPr>
          <w:lang w:val="uk-UA" w:eastAsia="uk-UA" w:bidi="uk-UA"/>
        </w:rPr>
      </w:pPr>
      <w:r>
        <w:rPr>
          <w:rFonts w:eastAsia="Calibri"/>
          <w:szCs w:val="22"/>
          <w:lang w:val="uk-UA" w:eastAsia="uk-UA" w:bidi="uk-UA"/>
        </w:rPr>
        <w:t>Але проекти, які будуть впроваджені в рамках OT7 та OT8, матимуть благотворний вплив на навколишнє середовище за рахунок розвитку прикордонної інфраструктури з істотно позитивним впливом на теперішній стан, також шляхом запобігання зсувам та повеням.</w:t>
      </w:r>
    </w:p>
    <w:p w:rsidR="00642FB4" w:rsidRDefault="00642FB4">
      <w:pPr>
        <w:spacing w:before="60" w:after="60" w:line="288" w:lineRule="auto"/>
        <w:ind w:firstLine="709"/>
        <w:jc w:val="both"/>
        <w:rPr>
          <w:lang w:val="uk-UA" w:eastAsia="uk-UA" w:bidi="uk-UA"/>
        </w:rPr>
      </w:pPr>
      <w:r>
        <w:rPr>
          <w:rFonts w:eastAsia="Calibri"/>
          <w:szCs w:val="22"/>
          <w:lang w:val="uk-UA" w:eastAsia="uk-UA" w:bidi="uk-UA"/>
        </w:rPr>
        <w:t>У випадку невпровадження Програми Ro-Ua поточний стан довкілля на прийнятній території залишиться незмінним і буде погіршуватися негативно впливаючи майже на всі екологічні фактори: повітря, воду, ґрунт, біорізноманіття, управління відходами, архітектурно-археологічну спадщину та природний ландшафт.</w:t>
      </w:r>
    </w:p>
    <w:p w:rsidR="00642FB4" w:rsidRDefault="00642FB4">
      <w:pPr>
        <w:spacing w:before="60" w:after="60" w:line="288" w:lineRule="auto"/>
        <w:ind w:firstLine="709"/>
        <w:jc w:val="both"/>
        <w:rPr>
          <w:lang w:val="uk-UA" w:eastAsia="uk-UA" w:bidi="uk-UA"/>
        </w:rPr>
      </w:pPr>
    </w:p>
    <w:p w:rsidR="00642FB4" w:rsidRDefault="00642FB4">
      <w:pPr>
        <w:spacing w:before="60" w:after="60" w:line="288" w:lineRule="auto"/>
        <w:ind w:firstLine="709"/>
        <w:jc w:val="both"/>
        <w:rPr>
          <w:bCs/>
          <w:lang w:val="uk-UA" w:eastAsia="uk-UA" w:bidi="uk-UA"/>
        </w:rPr>
      </w:pPr>
      <w:r>
        <w:rPr>
          <w:rFonts w:eastAsia="Calibri"/>
          <w:szCs w:val="22"/>
          <w:lang w:val="uk-UA" w:eastAsia="uk-UA" w:bidi="uk-UA"/>
        </w:rPr>
        <w:t>Цілі охорони навколишнього середовища, встановлені на міжнародному рівні, на рівні спільноти чи на рівні держави-члена, які мають відношення до програми і які були прийняті до уваги в ході його підготовки, включені у наступні національні українські та європейські документи:</w:t>
      </w:r>
    </w:p>
    <w:p w:rsidR="00642FB4" w:rsidRDefault="00642FB4">
      <w:pPr>
        <w:tabs>
          <w:tab w:val="left" w:pos="284"/>
        </w:tabs>
        <w:spacing w:before="60" w:after="60" w:line="288" w:lineRule="auto"/>
        <w:ind w:left="284" w:hanging="284"/>
        <w:jc w:val="both"/>
        <w:rPr>
          <w:lang w:val="uk-UA" w:eastAsia="uk-UA" w:bidi="uk-UA"/>
        </w:rPr>
      </w:pPr>
      <w:r>
        <w:rPr>
          <w:rFonts w:eastAsia="Calibri"/>
          <w:b/>
          <w:szCs w:val="22"/>
          <w:lang w:val="uk-UA" w:eastAsia="uk-UA" w:bidi="uk-UA"/>
        </w:rPr>
        <w:t>РУМУНІЯ</w:t>
      </w:r>
    </w:p>
    <w:p w:rsidR="00642FB4" w:rsidRDefault="00642FB4">
      <w:pPr>
        <w:numPr>
          <w:ilvl w:val="1"/>
          <w:numId w:val="35"/>
        </w:numPr>
        <w:tabs>
          <w:tab w:val="left" w:pos="284"/>
        </w:tabs>
        <w:spacing w:before="60" w:after="60" w:line="288" w:lineRule="auto"/>
        <w:ind w:left="284" w:hanging="284"/>
        <w:jc w:val="both"/>
        <w:rPr>
          <w:lang w:val="uk-UA" w:eastAsia="uk-UA" w:bidi="uk-UA"/>
        </w:rPr>
      </w:pPr>
      <w:r>
        <w:rPr>
          <w:rFonts w:eastAsia="Calibri"/>
          <w:szCs w:val="22"/>
          <w:lang w:val="uk-UA" w:eastAsia="uk-UA" w:bidi="uk-UA"/>
        </w:rPr>
        <w:t>Угода про партнерство з Румунією</w:t>
      </w:r>
    </w:p>
    <w:p w:rsidR="00642FB4" w:rsidRDefault="00642FB4">
      <w:pPr>
        <w:numPr>
          <w:ilvl w:val="1"/>
          <w:numId w:val="35"/>
        </w:numPr>
        <w:tabs>
          <w:tab w:val="left" w:pos="284"/>
        </w:tabs>
        <w:spacing w:before="60" w:after="60" w:line="288" w:lineRule="auto"/>
        <w:ind w:left="284" w:hanging="284"/>
        <w:jc w:val="both"/>
        <w:rPr>
          <w:lang w:val="uk-UA" w:eastAsia="uk-UA" w:bidi="uk-UA"/>
        </w:rPr>
      </w:pPr>
      <w:r>
        <w:rPr>
          <w:rFonts w:eastAsia="Calibri"/>
          <w:szCs w:val="22"/>
          <w:lang w:val="uk-UA" w:eastAsia="uk-UA" w:bidi="uk-UA"/>
        </w:rPr>
        <w:t>Національна програма реформ в Румунії (PNR)</w:t>
      </w:r>
    </w:p>
    <w:p w:rsidR="00642FB4" w:rsidRDefault="00642FB4">
      <w:pPr>
        <w:numPr>
          <w:ilvl w:val="1"/>
          <w:numId w:val="35"/>
        </w:numPr>
        <w:tabs>
          <w:tab w:val="left" w:pos="284"/>
        </w:tabs>
        <w:spacing w:before="60" w:after="60" w:line="288" w:lineRule="auto"/>
        <w:ind w:left="284" w:hanging="284"/>
        <w:jc w:val="both"/>
        <w:rPr>
          <w:lang w:val="uk-UA" w:eastAsia="uk-UA" w:bidi="uk-UA"/>
        </w:rPr>
      </w:pPr>
      <w:r>
        <w:rPr>
          <w:rFonts w:eastAsia="Calibri"/>
          <w:szCs w:val="22"/>
          <w:lang w:val="uk-UA" w:eastAsia="uk-UA" w:bidi="uk-UA"/>
        </w:rPr>
        <w:t>Національна стратегія зі зміни клімату 2013 ÷ 2020 рр</w:t>
      </w:r>
    </w:p>
    <w:p w:rsidR="00642FB4" w:rsidRDefault="00642FB4">
      <w:pPr>
        <w:numPr>
          <w:ilvl w:val="1"/>
          <w:numId w:val="35"/>
        </w:numPr>
        <w:tabs>
          <w:tab w:val="left" w:pos="284"/>
        </w:tabs>
        <w:spacing w:before="60" w:after="60" w:line="288" w:lineRule="auto"/>
        <w:ind w:left="284" w:hanging="284"/>
        <w:jc w:val="both"/>
        <w:rPr>
          <w:lang w:val="uk-UA" w:eastAsia="uk-UA" w:bidi="uk-UA"/>
        </w:rPr>
      </w:pPr>
      <w:r>
        <w:rPr>
          <w:rFonts w:eastAsia="Calibri"/>
          <w:szCs w:val="22"/>
          <w:lang w:val="uk-UA" w:eastAsia="uk-UA" w:bidi="uk-UA"/>
        </w:rPr>
        <w:t>Національна стратегія з управління ризиками повеней на середньостроковий та довгостроковий термін (2010 ÷ 2035 рр.)</w:t>
      </w:r>
    </w:p>
    <w:p w:rsidR="00642FB4" w:rsidRDefault="00642FB4">
      <w:pPr>
        <w:numPr>
          <w:ilvl w:val="1"/>
          <w:numId w:val="35"/>
        </w:numPr>
        <w:tabs>
          <w:tab w:val="left" w:pos="284"/>
        </w:tabs>
        <w:spacing w:before="60" w:after="60" w:line="288" w:lineRule="auto"/>
        <w:ind w:left="284" w:hanging="284"/>
        <w:jc w:val="both"/>
        <w:rPr>
          <w:lang w:val="uk-UA" w:eastAsia="uk-UA" w:bidi="uk-UA"/>
        </w:rPr>
      </w:pPr>
      <w:r>
        <w:rPr>
          <w:rFonts w:eastAsia="Calibri"/>
          <w:szCs w:val="22"/>
          <w:lang w:val="uk-UA" w:eastAsia="uk-UA" w:bidi="uk-UA"/>
        </w:rPr>
        <w:t xml:space="preserve">Управління відходами (Національна стратегія, Національний / регіональний план управління) </w:t>
      </w:r>
    </w:p>
    <w:p w:rsidR="00642FB4" w:rsidRDefault="00642FB4">
      <w:pPr>
        <w:numPr>
          <w:ilvl w:val="1"/>
          <w:numId w:val="35"/>
        </w:numPr>
        <w:tabs>
          <w:tab w:val="left" w:pos="284"/>
        </w:tabs>
        <w:spacing w:before="60" w:after="60" w:line="288" w:lineRule="auto"/>
        <w:ind w:left="284" w:hanging="284"/>
        <w:jc w:val="both"/>
        <w:rPr>
          <w:lang w:val="uk-UA" w:eastAsia="uk-UA" w:bidi="uk-UA"/>
        </w:rPr>
      </w:pPr>
      <w:r>
        <w:rPr>
          <w:rFonts w:eastAsia="Calibri"/>
          <w:szCs w:val="22"/>
          <w:lang w:val="uk-UA" w:eastAsia="uk-UA" w:bidi="uk-UA"/>
        </w:rPr>
        <w:t>План Розвитку Північно-Східного Регіону 2014 ÷ 2020 рр.</w:t>
      </w:r>
    </w:p>
    <w:p w:rsidR="00642FB4" w:rsidRDefault="00642FB4">
      <w:pPr>
        <w:numPr>
          <w:ilvl w:val="1"/>
          <w:numId w:val="35"/>
        </w:numPr>
        <w:tabs>
          <w:tab w:val="left" w:pos="284"/>
        </w:tabs>
        <w:spacing w:before="60" w:after="60" w:line="288" w:lineRule="auto"/>
        <w:ind w:left="284" w:hanging="284"/>
        <w:jc w:val="both"/>
        <w:rPr>
          <w:lang w:val="uk-UA" w:eastAsia="uk-UA" w:bidi="uk-UA"/>
        </w:rPr>
      </w:pPr>
      <w:r>
        <w:rPr>
          <w:rFonts w:eastAsia="Calibri"/>
          <w:szCs w:val="22"/>
          <w:lang w:val="uk-UA" w:eastAsia="uk-UA" w:bidi="uk-UA"/>
        </w:rPr>
        <w:t>План Розвитку Південно-Східного Регіону 2014 ÷ 2020 рр.</w:t>
      </w:r>
    </w:p>
    <w:p w:rsidR="00642FB4" w:rsidRDefault="00642FB4">
      <w:pPr>
        <w:tabs>
          <w:tab w:val="left" w:pos="284"/>
        </w:tabs>
        <w:spacing w:before="60" w:after="60" w:line="288" w:lineRule="auto"/>
        <w:ind w:left="284" w:hanging="284"/>
        <w:jc w:val="both"/>
        <w:rPr>
          <w:b/>
          <w:bCs/>
          <w:lang w:val="uk-UA" w:eastAsia="uk-UA" w:bidi="uk-UA"/>
        </w:rPr>
      </w:pPr>
    </w:p>
    <w:p w:rsidR="00642FB4" w:rsidRDefault="00642FB4">
      <w:pPr>
        <w:tabs>
          <w:tab w:val="left" w:pos="284"/>
        </w:tabs>
        <w:spacing w:before="60" w:after="60" w:line="288" w:lineRule="auto"/>
        <w:ind w:left="284" w:hanging="284"/>
        <w:jc w:val="both"/>
        <w:rPr>
          <w:lang w:val="uk-UA" w:eastAsia="uk-UA" w:bidi="uk-UA"/>
        </w:rPr>
      </w:pPr>
      <w:r>
        <w:rPr>
          <w:rFonts w:eastAsia="Calibri"/>
          <w:b/>
          <w:szCs w:val="22"/>
          <w:lang w:val="uk-UA" w:eastAsia="uk-UA" w:bidi="uk-UA"/>
        </w:rPr>
        <w:t>УКРАЇНА</w:t>
      </w:r>
    </w:p>
    <w:p w:rsidR="00642FB4" w:rsidRDefault="00642FB4">
      <w:pPr>
        <w:numPr>
          <w:ilvl w:val="1"/>
          <w:numId w:val="36"/>
        </w:numPr>
        <w:tabs>
          <w:tab w:val="left" w:pos="284"/>
        </w:tabs>
        <w:spacing w:before="60" w:after="60" w:line="288" w:lineRule="auto"/>
        <w:ind w:left="284" w:hanging="284"/>
        <w:jc w:val="both"/>
        <w:rPr>
          <w:lang w:val="uk-UA" w:eastAsia="uk-UA" w:bidi="uk-UA"/>
        </w:rPr>
      </w:pPr>
      <w:r>
        <w:rPr>
          <w:rFonts w:eastAsia="Calibri"/>
          <w:szCs w:val="22"/>
          <w:lang w:val="uk-UA" w:eastAsia="uk-UA" w:bidi="uk-UA"/>
        </w:rPr>
        <w:t>Державна стратегія регіонального розвитку на період до 2020 року</w:t>
      </w:r>
    </w:p>
    <w:p w:rsidR="00642FB4" w:rsidRDefault="00642FB4">
      <w:pPr>
        <w:tabs>
          <w:tab w:val="left" w:pos="284"/>
        </w:tabs>
        <w:spacing w:before="60" w:after="60" w:line="288" w:lineRule="auto"/>
        <w:ind w:left="284" w:hanging="284"/>
        <w:jc w:val="both"/>
        <w:rPr>
          <w:lang w:val="uk-UA" w:eastAsia="uk-UA" w:bidi="uk-UA"/>
        </w:rPr>
      </w:pPr>
      <w:r>
        <w:rPr>
          <w:rFonts w:eastAsia="Calibri"/>
          <w:b/>
          <w:szCs w:val="22"/>
          <w:lang w:val="uk-UA" w:eastAsia="uk-UA" w:bidi="uk-UA"/>
        </w:rPr>
        <w:t>ЄВРОСОЮЗ</w:t>
      </w:r>
    </w:p>
    <w:p w:rsidR="00642FB4" w:rsidRDefault="00642FB4">
      <w:pPr>
        <w:numPr>
          <w:ilvl w:val="1"/>
          <w:numId w:val="37"/>
        </w:numPr>
        <w:tabs>
          <w:tab w:val="left" w:pos="284"/>
        </w:tabs>
        <w:spacing w:before="60" w:after="60" w:line="288" w:lineRule="auto"/>
        <w:ind w:left="284" w:hanging="284"/>
        <w:jc w:val="both"/>
        <w:rPr>
          <w:lang w:val="uk-UA" w:eastAsia="uk-UA" w:bidi="uk-UA"/>
        </w:rPr>
      </w:pPr>
      <w:r>
        <w:rPr>
          <w:rFonts w:eastAsia="Calibri"/>
          <w:szCs w:val="22"/>
          <w:lang w:val="uk-UA" w:eastAsia="uk-UA" w:bidi="uk-UA"/>
        </w:rPr>
        <w:t>Європа 2020</w:t>
      </w:r>
    </w:p>
    <w:p w:rsidR="00642FB4" w:rsidRDefault="00642FB4">
      <w:pPr>
        <w:numPr>
          <w:ilvl w:val="1"/>
          <w:numId w:val="37"/>
        </w:numPr>
        <w:tabs>
          <w:tab w:val="left" w:pos="284"/>
        </w:tabs>
        <w:spacing w:before="60" w:after="60" w:line="288" w:lineRule="auto"/>
        <w:ind w:left="284" w:hanging="284"/>
        <w:jc w:val="both"/>
        <w:rPr>
          <w:lang w:val="uk-UA" w:eastAsia="uk-UA" w:bidi="uk-UA"/>
        </w:rPr>
      </w:pPr>
      <w:r>
        <w:rPr>
          <w:rFonts w:eastAsia="Calibri"/>
          <w:szCs w:val="22"/>
          <w:lang w:val="uk-UA" w:eastAsia="uk-UA" w:bidi="uk-UA"/>
        </w:rPr>
        <w:t>Дунайська стратегія</w:t>
      </w:r>
    </w:p>
    <w:p w:rsidR="00642FB4" w:rsidRDefault="00642FB4">
      <w:pPr>
        <w:numPr>
          <w:ilvl w:val="1"/>
          <w:numId w:val="37"/>
        </w:numPr>
        <w:tabs>
          <w:tab w:val="left" w:pos="284"/>
        </w:tabs>
        <w:spacing w:before="60" w:after="60" w:line="288" w:lineRule="auto"/>
        <w:ind w:left="284" w:hanging="284"/>
        <w:jc w:val="both"/>
        <w:rPr>
          <w:lang w:val="uk-UA" w:eastAsia="uk-UA" w:bidi="uk-UA"/>
        </w:rPr>
      </w:pPr>
      <w:r>
        <w:rPr>
          <w:rFonts w:eastAsia="Calibri"/>
          <w:szCs w:val="22"/>
          <w:lang w:val="uk-UA" w:eastAsia="uk-UA" w:bidi="uk-UA"/>
        </w:rPr>
        <w:t>Східне партнерство</w:t>
      </w:r>
    </w:p>
    <w:p w:rsidR="00642FB4" w:rsidRDefault="00642FB4">
      <w:pPr>
        <w:tabs>
          <w:tab w:val="left" w:pos="0"/>
        </w:tabs>
        <w:spacing w:before="60" w:after="60" w:line="288" w:lineRule="auto"/>
        <w:ind w:firstLine="709"/>
        <w:jc w:val="both"/>
        <w:rPr>
          <w:lang w:val="uk-UA" w:eastAsia="uk-UA" w:bidi="uk-UA"/>
        </w:rPr>
      </w:pPr>
      <w:r>
        <w:rPr>
          <w:rFonts w:eastAsia="Calibri"/>
          <w:szCs w:val="22"/>
          <w:lang w:val="uk-UA" w:eastAsia="uk-UA" w:bidi="uk-UA"/>
        </w:rPr>
        <w:t>При впровадженні тематичних цілей Програми Ro-Ua буде взято до уваги положення Директив, Рішень та Регламентів ЄС про якість повітря, поверхневих та підземних вод, ґрунту та надр, зміни клімату, управління відходами, здоров'я людини, біорізноманіття, збереження культурної спадщини, ефективне використання ресурсів або національних законів (румунських, та відповідно українських), якщо вони є більш строгими.</w:t>
      </w:r>
    </w:p>
    <w:p w:rsidR="00642FB4" w:rsidRDefault="00642FB4">
      <w:pPr>
        <w:tabs>
          <w:tab w:val="left" w:pos="0"/>
        </w:tabs>
        <w:spacing w:before="60" w:after="60" w:line="288" w:lineRule="auto"/>
        <w:ind w:firstLine="709"/>
        <w:jc w:val="both"/>
        <w:rPr>
          <w:lang w:val="uk-UA" w:eastAsia="uk-UA" w:bidi="uk-UA"/>
        </w:rPr>
      </w:pPr>
      <w:r>
        <w:rPr>
          <w:rFonts w:eastAsia="Calibri"/>
          <w:szCs w:val="22"/>
          <w:lang w:val="uk-UA" w:eastAsia="uk-UA" w:bidi="uk-UA"/>
        </w:rPr>
        <w:t>Розвиток індикативних заходів програми буде враховувати заходи, необхідні для виконання вимог Рамкової конвенції Організації Об'єднаних Націй про зміну клімату та Кіотського протоколу. Також буде прийнято до уваги будь-яку іншу національну чи європейську політику або стратегію з адаптації та пом'якшення наслідків зміни клімату.</w:t>
      </w:r>
    </w:p>
    <w:p w:rsidR="00642FB4" w:rsidRDefault="00642FB4">
      <w:pPr>
        <w:tabs>
          <w:tab w:val="left" w:pos="0"/>
        </w:tabs>
        <w:spacing w:before="60" w:after="60" w:line="288" w:lineRule="auto"/>
        <w:ind w:firstLine="709"/>
        <w:jc w:val="both"/>
        <w:rPr>
          <w:lang w:val="uk-UA" w:eastAsia="uk-UA" w:bidi="uk-UA"/>
        </w:rPr>
      </w:pPr>
    </w:p>
    <w:p w:rsidR="00642FB4" w:rsidRDefault="00642FB4">
      <w:pPr>
        <w:tabs>
          <w:tab w:val="left" w:pos="0"/>
        </w:tabs>
        <w:spacing w:before="60" w:after="60" w:line="288" w:lineRule="auto"/>
        <w:ind w:firstLine="709"/>
        <w:jc w:val="both"/>
        <w:rPr>
          <w:lang w:val="uk-UA" w:eastAsia="uk-UA" w:bidi="uk-UA"/>
        </w:rPr>
      </w:pPr>
      <w:r>
        <w:rPr>
          <w:rFonts w:eastAsia="Calibri"/>
          <w:szCs w:val="22"/>
          <w:lang w:val="uk-UA" w:eastAsia="uk-UA" w:bidi="uk-UA"/>
        </w:rPr>
        <w:t>Потенційний внесок запропонованих для кожного пріоритету окремих видів діяльності, тематичних цілей в рамках Програми Ro-Ua, оцінюється за наслідками, що виникають, з урахуванням відповідних екологічних цілей і політики на національному, європейському або міжнародному рівні.</w:t>
      </w:r>
    </w:p>
    <w:p w:rsidR="00642FB4" w:rsidRDefault="00642FB4">
      <w:pPr>
        <w:ind w:firstLine="720"/>
        <w:jc w:val="both"/>
        <w:rPr>
          <w:lang w:val="uk-UA" w:eastAsia="uk-UA" w:bidi="uk-UA"/>
        </w:rPr>
      </w:pPr>
      <w:r>
        <w:rPr>
          <w:rFonts w:eastAsia="Calibri"/>
          <w:szCs w:val="22"/>
          <w:lang w:val="uk-UA" w:eastAsia="uk-UA" w:bidi="uk-UA"/>
        </w:rPr>
        <w:t>Вплив прийнятної діяльності, фінансованої за допомогою програми, аналізується для кожного з наступних факторів, необхідних для характеризування довкілля:</w:t>
      </w:r>
    </w:p>
    <w:p w:rsidR="00642FB4" w:rsidRDefault="00642FB4">
      <w:pPr>
        <w:numPr>
          <w:ilvl w:val="0"/>
          <w:numId w:val="12"/>
        </w:numPr>
        <w:spacing w:before="60" w:after="60" w:line="288" w:lineRule="auto"/>
        <w:ind w:left="1080"/>
        <w:jc w:val="both"/>
        <w:rPr>
          <w:rFonts w:cs="Arial"/>
          <w:lang w:val="uk-UA" w:eastAsia="uk-UA" w:bidi="uk-UA"/>
        </w:rPr>
      </w:pPr>
      <w:r>
        <w:rPr>
          <w:rFonts w:eastAsia="Calibri"/>
          <w:szCs w:val="22"/>
          <w:lang w:val="uk-UA" w:eastAsia="uk-UA" w:bidi="uk-UA"/>
        </w:rPr>
        <w:t>Повітря;</w:t>
      </w:r>
    </w:p>
    <w:p w:rsidR="00642FB4" w:rsidRDefault="00642FB4">
      <w:pPr>
        <w:numPr>
          <w:ilvl w:val="0"/>
          <w:numId w:val="12"/>
        </w:numPr>
        <w:spacing w:before="60" w:after="60" w:line="288" w:lineRule="auto"/>
        <w:ind w:left="1080"/>
        <w:jc w:val="both"/>
        <w:rPr>
          <w:rFonts w:cs="Arial"/>
          <w:lang w:val="uk-UA" w:eastAsia="uk-UA" w:bidi="uk-UA"/>
        </w:rPr>
      </w:pPr>
      <w:r>
        <w:rPr>
          <w:rFonts w:eastAsia="Calibri"/>
          <w:szCs w:val="22"/>
          <w:lang w:val="uk-UA" w:eastAsia="uk-UA" w:bidi="uk-UA"/>
        </w:rPr>
        <w:t>Поверхневі і підземні води;</w:t>
      </w:r>
    </w:p>
    <w:p w:rsidR="00642FB4" w:rsidRDefault="00642FB4">
      <w:pPr>
        <w:numPr>
          <w:ilvl w:val="0"/>
          <w:numId w:val="12"/>
        </w:numPr>
        <w:spacing w:before="60" w:after="60" w:line="288" w:lineRule="auto"/>
        <w:ind w:left="1080"/>
        <w:jc w:val="both"/>
        <w:rPr>
          <w:rFonts w:cs="Arial"/>
          <w:lang w:val="uk-UA" w:eastAsia="uk-UA" w:bidi="uk-UA"/>
        </w:rPr>
      </w:pPr>
      <w:r>
        <w:rPr>
          <w:rFonts w:eastAsia="Calibri"/>
          <w:szCs w:val="22"/>
          <w:lang w:val="uk-UA" w:eastAsia="uk-UA" w:bidi="uk-UA"/>
        </w:rPr>
        <w:t>Ґрунт, надра і ландшафт;</w:t>
      </w:r>
    </w:p>
    <w:p w:rsidR="00642FB4" w:rsidRDefault="00642FB4">
      <w:pPr>
        <w:numPr>
          <w:ilvl w:val="0"/>
          <w:numId w:val="12"/>
        </w:numPr>
        <w:spacing w:before="60" w:after="60" w:line="288" w:lineRule="auto"/>
        <w:ind w:left="1080"/>
        <w:jc w:val="both"/>
        <w:rPr>
          <w:rFonts w:cs="Arial"/>
          <w:lang w:val="uk-UA" w:eastAsia="uk-UA" w:bidi="uk-UA"/>
        </w:rPr>
      </w:pPr>
      <w:r>
        <w:rPr>
          <w:rFonts w:eastAsia="Calibri"/>
          <w:szCs w:val="22"/>
          <w:lang w:val="uk-UA" w:eastAsia="uk-UA" w:bidi="uk-UA"/>
        </w:rPr>
        <w:t>Зміна клімату;</w:t>
      </w:r>
    </w:p>
    <w:p w:rsidR="00642FB4" w:rsidRDefault="00642FB4">
      <w:pPr>
        <w:numPr>
          <w:ilvl w:val="0"/>
          <w:numId w:val="12"/>
        </w:numPr>
        <w:spacing w:before="60" w:after="60" w:line="288" w:lineRule="auto"/>
        <w:ind w:left="1080"/>
        <w:jc w:val="both"/>
        <w:rPr>
          <w:rFonts w:cs="Arial"/>
          <w:lang w:val="uk-UA" w:eastAsia="uk-UA" w:bidi="uk-UA"/>
        </w:rPr>
      </w:pPr>
      <w:r>
        <w:rPr>
          <w:rFonts w:eastAsia="Calibri"/>
          <w:szCs w:val="22"/>
          <w:lang w:val="uk-UA" w:eastAsia="uk-UA" w:bidi="uk-UA"/>
        </w:rPr>
        <w:t>Населення та громадське здоров'я;</w:t>
      </w:r>
    </w:p>
    <w:p w:rsidR="00642FB4" w:rsidRDefault="00642FB4">
      <w:pPr>
        <w:numPr>
          <w:ilvl w:val="0"/>
          <w:numId w:val="12"/>
        </w:numPr>
        <w:spacing w:before="60" w:after="60" w:line="288" w:lineRule="auto"/>
        <w:ind w:left="1080"/>
        <w:jc w:val="both"/>
        <w:rPr>
          <w:rFonts w:cs="Arial"/>
          <w:lang w:val="uk-UA" w:eastAsia="uk-UA" w:bidi="uk-UA"/>
        </w:rPr>
      </w:pPr>
      <w:r>
        <w:rPr>
          <w:rFonts w:eastAsia="Calibri"/>
          <w:szCs w:val="22"/>
          <w:lang w:val="uk-UA" w:eastAsia="uk-UA" w:bidi="uk-UA"/>
        </w:rPr>
        <w:t>Біорізноманіття, флора і фауна;</w:t>
      </w:r>
    </w:p>
    <w:p w:rsidR="00642FB4" w:rsidRDefault="00642FB4">
      <w:pPr>
        <w:numPr>
          <w:ilvl w:val="0"/>
          <w:numId w:val="12"/>
        </w:numPr>
        <w:spacing w:before="60" w:after="60" w:line="288" w:lineRule="auto"/>
        <w:ind w:left="1080"/>
        <w:jc w:val="both"/>
        <w:rPr>
          <w:rFonts w:cs="Arial"/>
          <w:lang w:val="uk-UA" w:eastAsia="uk-UA" w:bidi="uk-UA"/>
        </w:rPr>
      </w:pPr>
      <w:r>
        <w:rPr>
          <w:rFonts w:eastAsia="Calibri"/>
          <w:szCs w:val="22"/>
          <w:lang w:val="uk-UA" w:eastAsia="uk-UA" w:bidi="uk-UA"/>
        </w:rPr>
        <w:t>Управління відходами;</w:t>
      </w:r>
    </w:p>
    <w:p w:rsidR="00642FB4" w:rsidRDefault="00642FB4">
      <w:pPr>
        <w:numPr>
          <w:ilvl w:val="0"/>
          <w:numId w:val="12"/>
        </w:numPr>
        <w:spacing w:before="60" w:after="60" w:line="288" w:lineRule="auto"/>
        <w:ind w:left="1080"/>
        <w:jc w:val="both"/>
        <w:rPr>
          <w:rFonts w:cs="Arial"/>
          <w:lang w:val="uk-UA" w:eastAsia="uk-UA" w:bidi="uk-UA"/>
        </w:rPr>
      </w:pPr>
      <w:r>
        <w:rPr>
          <w:rFonts w:eastAsia="Calibri"/>
          <w:szCs w:val="22"/>
          <w:lang w:val="uk-UA" w:eastAsia="uk-UA" w:bidi="uk-UA"/>
        </w:rPr>
        <w:t>Культурна спадщина;</w:t>
      </w:r>
    </w:p>
    <w:p w:rsidR="00642FB4" w:rsidRDefault="00642FB4">
      <w:pPr>
        <w:numPr>
          <w:ilvl w:val="0"/>
          <w:numId w:val="12"/>
        </w:numPr>
        <w:spacing w:before="60" w:after="60" w:line="288" w:lineRule="auto"/>
        <w:ind w:left="1080"/>
        <w:jc w:val="both"/>
        <w:rPr>
          <w:rFonts w:cs="Arial"/>
          <w:lang w:val="uk-UA" w:eastAsia="uk-UA" w:bidi="uk-UA"/>
        </w:rPr>
      </w:pPr>
      <w:r>
        <w:rPr>
          <w:rFonts w:eastAsia="Calibri"/>
          <w:szCs w:val="22"/>
          <w:lang w:val="uk-UA" w:eastAsia="uk-UA" w:bidi="uk-UA"/>
        </w:rPr>
        <w:t>Ефективне використання ресурсів, у тому числі відновлюваних джерел.</w:t>
      </w:r>
    </w:p>
    <w:p w:rsidR="00642FB4" w:rsidRDefault="00642FB4">
      <w:pPr>
        <w:tabs>
          <w:tab w:val="left" w:pos="0"/>
        </w:tabs>
        <w:spacing w:before="60" w:after="60" w:line="288" w:lineRule="auto"/>
        <w:ind w:firstLine="709"/>
        <w:jc w:val="both"/>
        <w:rPr>
          <w:lang w:val="uk-UA" w:eastAsia="uk-UA" w:bidi="uk-UA"/>
        </w:rPr>
      </w:pPr>
    </w:p>
    <w:p w:rsidR="00642FB4" w:rsidRDefault="00642FB4">
      <w:pPr>
        <w:tabs>
          <w:tab w:val="left" w:pos="0"/>
        </w:tabs>
        <w:spacing w:before="60" w:after="60" w:line="288" w:lineRule="auto"/>
        <w:ind w:firstLine="709"/>
        <w:jc w:val="both"/>
        <w:rPr>
          <w:lang w:val="uk-UA" w:eastAsia="uk-UA" w:bidi="uk-UA"/>
        </w:rPr>
      </w:pPr>
      <w:r>
        <w:rPr>
          <w:rFonts w:eastAsia="Calibri"/>
          <w:szCs w:val="22"/>
          <w:lang w:val="uk-UA" w:eastAsia="uk-UA" w:bidi="uk-UA"/>
        </w:rPr>
        <w:t>Екологічна оцінка програми Ro-Ua здійснюється з використанням системи оцінки, наведеної в наступній таблиці.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2834"/>
        <w:gridCol w:w="5939"/>
      </w:tblGrid>
      <w:tr w:rsidR="00642FB4">
        <w:tc>
          <w:tcPr>
            <w:tcW w:w="950" w:type="dxa"/>
            <w:shd w:val="clear" w:color="auto" w:fill="auto"/>
            <w:vAlign w:val="center"/>
          </w:tcPr>
          <w:p w:rsidR="00642FB4" w:rsidRDefault="00642FB4">
            <w:pPr>
              <w:tabs>
                <w:tab w:val="left" w:pos="0"/>
              </w:tabs>
              <w:jc w:val="both"/>
              <w:rPr>
                <w:b/>
                <w:sz w:val="22"/>
                <w:szCs w:val="22"/>
                <w:lang w:val="uk-UA" w:eastAsia="uk-UA" w:bidi="uk-UA"/>
              </w:rPr>
            </w:pPr>
            <w:r>
              <w:rPr>
                <w:rFonts w:eastAsia="Calibri"/>
                <w:b/>
                <w:sz w:val="22"/>
                <w:szCs w:val="22"/>
                <w:lang w:val="uk-UA" w:eastAsia="uk-UA" w:bidi="uk-UA"/>
              </w:rPr>
              <w:t>Символ</w:t>
            </w:r>
          </w:p>
        </w:tc>
        <w:tc>
          <w:tcPr>
            <w:tcW w:w="2938" w:type="dxa"/>
            <w:shd w:val="clear" w:color="auto" w:fill="auto"/>
            <w:vAlign w:val="center"/>
          </w:tcPr>
          <w:p w:rsidR="00642FB4" w:rsidRDefault="00642FB4">
            <w:pPr>
              <w:tabs>
                <w:tab w:val="left" w:pos="0"/>
              </w:tabs>
              <w:jc w:val="both"/>
              <w:rPr>
                <w:b/>
                <w:sz w:val="22"/>
                <w:szCs w:val="22"/>
                <w:lang w:val="uk-UA" w:eastAsia="uk-UA" w:bidi="uk-UA"/>
              </w:rPr>
            </w:pPr>
            <w:r>
              <w:rPr>
                <w:rFonts w:eastAsia="Calibri"/>
                <w:b/>
                <w:sz w:val="22"/>
                <w:szCs w:val="22"/>
                <w:lang w:val="uk-UA" w:eastAsia="uk-UA" w:bidi="uk-UA"/>
              </w:rPr>
              <w:t>Значення</w:t>
            </w:r>
          </w:p>
        </w:tc>
        <w:tc>
          <w:tcPr>
            <w:tcW w:w="6354" w:type="dxa"/>
            <w:shd w:val="clear" w:color="auto" w:fill="auto"/>
            <w:vAlign w:val="center"/>
          </w:tcPr>
          <w:p w:rsidR="00642FB4" w:rsidRDefault="00642FB4">
            <w:pPr>
              <w:tabs>
                <w:tab w:val="left" w:pos="0"/>
              </w:tabs>
              <w:jc w:val="both"/>
              <w:rPr>
                <w:b/>
                <w:sz w:val="22"/>
                <w:szCs w:val="22"/>
                <w:lang w:val="uk-UA" w:eastAsia="uk-UA" w:bidi="uk-UA"/>
              </w:rPr>
            </w:pPr>
            <w:r>
              <w:rPr>
                <w:rFonts w:eastAsia="Calibri"/>
                <w:b/>
                <w:sz w:val="22"/>
                <w:szCs w:val="22"/>
                <w:lang w:val="uk-UA" w:eastAsia="uk-UA" w:bidi="uk-UA"/>
              </w:rPr>
              <w:t>Визначення</w:t>
            </w:r>
          </w:p>
        </w:tc>
      </w:tr>
      <w:tr w:rsidR="00642FB4">
        <w:tc>
          <w:tcPr>
            <w:tcW w:w="950" w:type="dxa"/>
            <w:shd w:val="clear" w:color="auto" w:fill="auto"/>
            <w:vAlign w:val="center"/>
          </w:tcPr>
          <w:p w:rsidR="00642FB4" w:rsidRDefault="00642FB4">
            <w:pPr>
              <w:tabs>
                <w:tab w:val="left" w:pos="0"/>
              </w:tabs>
              <w:jc w:val="both"/>
              <w:rPr>
                <w:b/>
                <w:sz w:val="22"/>
                <w:szCs w:val="22"/>
                <w:lang w:val="uk-UA" w:eastAsia="uk-UA" w:bidi="uk-UA"/>
              </w:rPr>
            </w:pPr>
            <w:r>
              <w:rPr>
                <w:rFonts w:eastAsia="Calibri"/>
                <w:b/>
                <w:sz w:val="22"/>
                <w:szCs w:val="22"/>
                <w:lang w:val="uk-UA" w:eastAsia="uk-UA" w:bidi="uk-UA"/>
              </w:rPr>
              <w:t>++</w:t>
            </w:r>
          </w:p>
        </w:tc>
        <w:tc>
          <w:tcPr>
            <w:tcW w:w="2938" w:type="dxa"/>
            <w:shd w:val="clear" w:color="auto" w:fill="auto"/>
            <w:vAlign w:val="center"/>
          </w:tcPr>
          <w:p w:rsidR="00642FB4" w:rsidRDefault="00642FB4">
            <w:pPr>
              <w:tabs>
                <w:tab w:val="left" w:pos="0"/>
              </w:tabs>
              <w:jc w:val="both"/>
              <w:rPr>
                <w:sz w:val="22"/>
                <w:szCs w:val="22"/>
                <w:lang w:val="uk-UA" w:eastAsia="uk-UA" w:bidi="uk-UA"/>
              </w:rPr>
            </w:pPr>
            <w:r>
              <w:rPr>
                <w:rFonts w:eastAsia="Calibri"/>
                <w:sz w:val="22"/>
                <w:szCs w:val="22"/>
                <w:lang w:val="uk-UA" w:eastAsia="uk-UA" w:bidi="uk-UA"/>
              </w:rPr>
              <w:t xml:space="preserve">Значний позитивний вплив </w:t>
            </w:r>
          </w:p>
        </w:tc>
        <w:tc>
          <w:tcPr>
            <w:tcW w:w="6354" w:type="dxa"/>
            <w:shd w:val="clear" w:color="auto" w:fill="auto"/>
            <w:vAlign w:val="center"/>
          </w:tcPr>
          <w:p w:rsidR="00642FB4" w:rsidRDefault="00642FB4">
            <w:pPr>
              <w:tabs>
                <w:tab w:val="left" w:pos="0"/>
              </w:tabs>
              <w:jc w:val="both"/>
              <w:rPr>
                <w:sz w:val="22"/>
                <w:szCs w:val="22"/>
                <w:lang w:val="uk-UA" w:eastAsia="uk-UA" w:bidi="uk-UA"/>
              </w:rPr>
            </w:pPr>
            <w:r>
              <w:rPr>
                <w:rFonts w:eastAsia="Calibri"/>
                <w:sz w:val="22"/>
                <w:szCs w:val="22"/>
                <w:lang w:val="uk-UA" w:eastAsia="uk-UA" w:bidi="uk-UA"/>
              </w:rPr>
              <w:t>Висока позитивна користь для довкілля, яка має велике значення у зв'язку з всіма наслідками політики</w:t>
            </w:r>
          </w:p>
        </w:tc>
      </w:tr>
      <w:tr w:rsidR="00642FB4">
        <w:tc>
          <w:tcPr>
            <w:tcW w:w="950" w:type="dxa"/>
            <w:shd w:val="clear" w:color="auto" w:fill="auto"/>
            <w:vAlign w:val="center"/>
          </w:tcPr>
          <w:p w:rsidR="00642FB4" w:rsidRDefault="00642FB4">
            <w:pPr>
              <w:tabs>
                <w:tab w:val="left" w:pos="0"/>
              </w:tabs>
              <w:jc w:val="both"/>
              <w:rPr>
                <w:b/>
                <w:sz w:val="22"/>
                <w:szCs w:val="22"/>
                <w:lang w:val="uk-UA" w:eastAsia="uk-UA" w:bidi="uk-UA"/>
              </w:rPr>
            </w:pPr>
            <w:r>
              <w:rPr>
                <w:rFonts w:eastAsia="Calibri"/>
                <w:b/>
                <w:sz w:val="22"/>
                <w:szCs w:val="22"/>
                <w:lang w:val="uk-UA" w:eastAsia="uk-UA" w:bidi="uk-UA"/>
              </w:rPr>
              <w:t>+</w:t>
            </w:r>
          </w:p>
        </w:tc>
        <w:tc>
          <w:tcPr>
            <w:tcW w:w="2938" w:type="dxa"/>
            <w:shd w:val="clear" w:color="auto" w:fill="auto"/>
            <w:vAlign w:val="center"/>
          </w:tcPr>
          <w:p w:rsidR="00642FB4" w:rsidRDefault="00642FB4">
            <w:pPr>
              <w:tabs>
                <w:tab w:val="left" w:pos="0"/>
              </w:tabs>
              <w:jc w:val="both"/>
              <w:rPr>
                <w:sz w:val="22"/>
                <w:szCs w:val="22"/>
                <w:lang w:val="uk-UA" w:eastAsia="uk-UA" w:bidi="uk-UA"/>
              </w:rPr>
            </w:pPr>
            <w:r>
              <w:rPr>
                <w:rFonts w:eastAsia="Calibri"/>
                <w:sz w:val="22"/>
                <w:szCs w:val="22"/>
                <w:lang w:val="uk-UA" w:eastAsia="uk-UA" w:bidi="uk-UA"/>
              </w:rPr>
              <w:t>Позитивний вплив</w:t>
            </w:r>
          </w:p>
        </w:tc>
        <w:tc>
          <w:tcPr>
            <w:tcW w:w="6354" w:type="dxa"/>
            <w:shd w:val="clear" w:color="auto" w:fill="auto"/>
            <w:vAlign w:val="center"/>
          </w:tcPr>
          <w:p w:rsidR="00642FB4" w:rsidRDefault="00642FB4">
            <w:pPr>
              <w:tabs>
                <w:tab w:val="left" w:pos="0"/>
              </w:tabs>
              <w:jc w:val="both"/>
              <w:rPr>
                <w:sz w:val="22"/>
                <w:szCs w:val="22"/>
                <w:lang w:val="uk-UA" w:eastAsia="uk-UA" w:bidi="uk-UA"/>
              </w:rPr>
            </w:pPr>
            <w:r>
              <w:rPr>
                <w:rFonts w:eastAsia="Calibri"/>
                <w:sz w:val="22"/>
                <w:szCs w:val="22"/>
                <w:lang w:val="uk-UA" w:eastAsia="uk-UA" w:bidi="uk-UA"/>
              </w:rPr>
              <w:t>Позитивний вплив на довкілля, але який не можливо вважати значним,</w:t>
            </w:r>
          </w:p>
        </w:tc>
      </w:tr>
      <w:tr w:rsidR="00642FB4">
        <w:tc>
          <w:tcPr>
            <w:tcW w:w="950" w:type="dxa"/>
            <w:shd w:val="clear" w:color="auto" w:fill="auto"/>
            <w:vAlign w:val="center"/>
          </w:tcPr>
          <w:p w:rsidR="00642FB4" w:rsidRDefault="00642FB4">
            <w:pPr>
              <w:tabs>
                <w:tab w:val="left" w:pos="0"/>
              </w:tabs>
              <w:jc w:val="both"/>
              <w:rPr>
                <w:b/>
                <w:sz w:val="22"/>
                <w:szCs w:val="22"/>
                <w:lang w:val="uk-UA" w:eastAsia="uk-UA" w:bidi="uk-UA"/>
              </w:rPr>
            </w:pPr>
            <w:r>
              <w:rPr>
                <w:rFonts w:eastAsia="Calibri"/>
                <w:b/>
                <w:sz w:val="22"/>
                <w:szCs w:val="22"/>
                <w:lang w:val="uk-UA" w:eastAsia="uk-UA" w:bidi="uk-UA"/>
              </w:rPr>
              <w:t>0</w:t>
            </w:r>
          </w:p>
        </w:tc>
        <w:tc>
          <w:tcPr>
            <w:tcW w:w="2938" w:type="dxa"/>
            <w:shd w:val="clear" w:color="auto" w:fill="auto"/>
            <w:vAlign w:val="center"/>
          </w:tcPr>
          <w:p w:rsidR="00642FB4" w:rsidRDefault="00642FB4">
            <w:pPr>
              <w:tabs>
                <w:tab w:val="left" w:pos="0"/>
              </w:tabs>
              <w:jc w:val="both"/>
              <w:rPr>
                <w:sz w:val="22"/>
                <w:szCs w:val="22"/>
                <w:lang w:val="uk-UA" w:eastAsia="uk-UA" w:bidi="uk-UA"/>
              </w:rPr>
            </w:pPr>
            <w:r>
              <w:rPr>
                <w:rFonts w:eastAsia="Calibri"/>
                <w:sz w:val="22"/>
                <w:szCs w:val="22"/>
                <w:lang w:val="uk-UA" w:eastAsia="uk-UA" w:bidi="uk-UA"/>
              </w:rPr>
              <w:t>Нейтральний</w:t>
            </w:r>
          </w:p>
        </w:tc>
        <w:tc>
          <w:tcPr>
            <w:tcW w:w="6354" w:type="dxa"/>
            <w:shd w:val="clear" w:color="auto" w:fill="auto"/>
            <w:vAlign w:val="center"/>
          </w:tcPr>
          <w:p w:rsidR="00642FB4" w:rsidRDefault="00642FB4">
            <w:pPr>
              <w:tabs>
                <w:tab w:val="left" w:pos="0"/>
              </w:tabs>
              <w:jc w:val="both"/>
              <w:rPr>
                <w:sz w:val="22"/>
                <w:szCs w:val="22"/>
                <w:lang w:val="uk-UA" w:eastAsia="uk-UA" w:bidi="uk-UA"/>
              </w:rPr>
            </w:pPr>
            <w:r>
              <w:rPr>
                <w:rFonts w:eastAsia="Calibri"/>
                <w:sz w:val="22"/>
                <w:szCs w:val="22"/>
                <w:lang w:val="uk-UA" w:eastAsia="uk-UA" w:bidi="uk-UA"/>
              </w:rPr>
              <w:t>Не передбачається жодного впливу</w:t>
            </w:r>
          </w:p>
        </w:tc>
      </w:tr>
      <w:tr w:rsidR="00642FB4">
        <w:tc>
          <w:tcPr>
            <w:tcW w:w="950" w:type="dxa"/>
            <w:shd w:val="clear" w:color="auto" w:fill="auto"/>
            <w:vAlign w:val="center"/>
          </w:tcPr>
          <w:p w:rsidR="00642FB4" w:rsidRDefault="00642FB4">
            <w:pPr>
              <w:tabs>
                <w:tab w:val="left" w:pos="0"/>
              </w:tabs>
              <w:jc w:val="both"/>
              <w:rPr>
                <w:b/>
                <w:sz w:val="22"/>
                <w:szCs w:val="22"/>
                <w:lang w:val="uk-UA" w:eastAsia="uk-UA" w:bidi="uk-UA"/>
              </w:rPr>
            </w:pPr>
            <w:r>
              <w:rPr>
                <w:rFonts w:eastAsia="Calibri"/>
                <w:b/>
                <w:sz w:val="22"/>
                <w:szCs w:val="22"/>
                <w:lang w:val="uk-UA" w:eastAsia="uk-UA" w:bidi="uk-UA"/>
              </w:rPr>
              <w:t>-</w:t>
            </w:r>
          </w:p>
        </w:tc>
        <w:tc>
          <w:tcPr>
            <w:tcW w:w="2938" w:type="dxa"/>
            <w:shd w:val="clear" w:color="auto" w:fill="auto"/>
            <w:vAlign w:val="center"/>
          </w:tcPr>
          <w:p w:rsidR="00642FB4" w:rsidRDefault="00642FB4">
            <w:pPr>
              <w:tabs>
                <w:tab w:val="left" w:pos="0"/>
              </w:tabs>
              <w:jc w:val="both"/>
              <w:rPr>
                <w:sz w:val="22"/>
                <w:szCs w:val="22"/>
                <w:lang w:val="uk-UA" w:eastAsia="uk-UA" w:bidi="uk-UA"/>
              </w:rPr>
            </w:pPr>
            <w:r>
              <w:rPr>
                <w:rFonts w:eastAsia="Calibri"/>
                <w:sz w:val="22"/>
                <w:szCs w:val="22"/>
                <w:lang w:val="uk-UA" w:eastAsia="uk-UA" w:bidi="uk-UA"/>
              </w:rPr>
              <w:t>Негативний вплив</w:t>
            </w:r>
          </w:p>
        </w:tc>
        <w:tc>
          <w:tcPr>
            <w:tcW w:w="6354" w:type="dxa"/>
            <w:shd w:val="clear" w:color="auto" w:fill="auto"/>
            <w:vAlign w:val="center"/>
          </w:tcPr>
          <w:p w:rsidR="00642FB4" w:rsidRDefault="00642FB4">
            <w:pPr>
              <w:tabs>
                <w:tab w:val="left" w:pos="0"/>
              </w:tabs>
              <w:jc w:val="both"/>
              <w:rPr>
                <w:sz w:val="22"/>
                <w:szCs w:val="22"/>
                <w:lang w:val="uk-UA" w:eastAsia="uk-UA" w:bidi="uk-UA"/>
              </w:rPr>
            </w:pPr>
            <w:r>
              <w:rPr>
                <w:rFonts w:eastAsia="Calibri"/>
                <w:sz w:val="22"/>
                <w:szCs w:val="22"/>
                <w:lang w:val="uk-UA" w:eastAsia="uk-UA" w:bidi="uk-UA"/>
              </w:rPr>
              <w:t>Негативний вплив, але якого не можливо вважати значним</w:t>
            </w:r>
          </w:p>
        </w:tc>
      </w:tr>
      <w:tr w:rsidR="00642FB4">
        <w:tc>
          <w:tcPr>
            <w:tcW w:w="950" w:type="dxa"/>
            <w:shd w:val="clear" w:color="auto" w:fill="auto"/>
            <w:vAlign w:val="center"/>
          </w:tcPr>
          <w:p w:rsidR="00642FB4" w:rsidRDefault="00642FB4">
            <w:pPr>
              <w:tabs>
                <w:tab w:val="left" w:pos="0"/>
              </w:tabs>
              <w:jc w:val="both"/>
              <w:rPr>
                <w:b/>
                <w:sz w:val="22"/>
                <w:szCs w:val="22"/>
                <w:lang w:val="uk-UA" w:eastAsia="uk-UA" w:bidi="uk-UA"/>
              </w:rPr>
            </w:pPr>
            <w:r>
              <w:rPr>
                <w:rFonts w:eastAsia="Calibri"/>
                <w:b/>
                <w:sz w:val="22"/>
                <w:szCs w:val="22"/>
                <w:lang w:val="uk-UA" w:eastAsia="uk-UA" w:bidi="uk-UA"/>
              </w:rPr>
              <w:t>--</w:t>
            </w:r>
          </w:p>
        </w:tc>
        <w:tc>
          <w:tcPr>
            <w:tcW w:w="2938" w:type="dxa"/>
            <w:shd w:val="clear" w:color="auto" w:fill="auto"/>
            <w:vAlign w:val="center"/>
          </w:tcPr>
          <w:p w:rsidR="00642FB4" w:rsidRDefault="00642FB4">
            <w:pPr>
              <w:tabs>
                <w:tab w:val="left" w:pos="0"/>
              </w:tabs>
              <w:jc w:val="both"/>
              <w:rPr>
                <w:sz w:val="22"/>
                <w:szCs w:val="22"/>
                <w:lang w:val="uk-UA" w:eastAsia="uk-UA" w:bidi="uk-UA"/>
              </w:rPr>
            </w:pPr>
            <w:r>
              <w:rPr>
                <w:rFonts w:eastAsia="Calibri"/>
                <w:sz w:val="22"/>
                <w:szCs w:val="22"/>
                <w:lang w:val="uk-UA" w:eastAsia="uk-UA" w:bidi="uk-UA"/>
              </w:rPr>
              <w:t>Значний негативний вплив</w:t>
            </w:r>
          </w:p>
        </w:tc>
        <w:tc>
          <w:tcPr>
            <w:tcW w:w="6354" w:type="dxa"/>
            <w:shd w:val="clear" w:color="auto" w:fill="auto"/>
            <w:vAlign w:val="center"/>
          </w:tcPr>
          <w:p w:rsidR="00642FB4" w:rsidRDefault="00642FB4">
            <w:pPr>
              <w:tabs>
                <w:tab w:val="left" w:pos="0"/>
              </w:tabs>
              <w:jc w:val="both"/>
              <w:rPr>
                <w:sz w:val="22"/>
                <w:szCs w:val="22"/>
                <w:lang w:val="uk-UA" w:eastAsia="uk-UA" w:bidi="uk-UA"/>
              </w:rPr>
            </w:pPr>
            <w:r>
              <w:rPr>
                <w:rFonts w:eastAsia="Calibri"/>
                <w:sz w:val="22"/>
                <w:szCs w:val="22"/>
                <w:lang w:val="uk-UA" w:eastAsia="uk-UA" w:bidi="uk-UA"/>
              </w:rPr>
              <w:t xml:space="preserve">Високий несприятливий вплив на екологічні аспекти, які вимагають перегляду поточної форми політики </w:t>
            </w:r>
          </w:p>
        </w:tc>
      </w:tr>
      <w:tr w:rsidR="00642FB4">
        <w:tc>
          <w:tcPr>
            <w:tcW w:w="950" w:type="dxa"/>
            <w:shd w:val="clear" w:color="auto" w:fill="auto"/>
            <w:vAlign w:val="center"/>
          </w:tcPr>
          <w:p w:rsidR="00642FB4" w:rsidRDefault="00642FB4">
            <w:pPr>
              <w:tabs>
                <w:tab w:val="left" w:pos="0"/>
              </w:tabs>
              <w:jc w:val="both"/>
              <w:rPr>
                <w:b/>
                <w:sz w:val="22"/>
                <w:szCs w:val="22"/>
                <w:lang w:val="uk-UA" w:eastAsia="uk-UA" w:bidi="uk-UA"/>
              </w:rPr>
            </w:pPr>
            <w:r>
              <w:rPr>
                <w:rFonts w:eastAsia="Calibri"/>
                <w:b/>
                <w:sz w:val="22"/>
                <w:szCs w:val="22"/>
                <w:lang w:val="uk-UA" w:eastAsia="uk-UA" w:bidi="uk-UA"/>
              </w:rPr>
              <w:t>?</w:t>
            </w:r>
          </w:p>
        </w:tc>
        <w:tc>
          <w:tcPr>
            <w:tcW w:w="2938" w:type="dxa"/>
            <w:shd w:val="clear" w:color="auto" w:fill="auto"/>
            <w:vAlign w:val="center"/>
          </w:tcPr>
          <w:p w:rsidR="00642FB4" w:rsidRDefault="00642FB4">
            <w:pPr>
              <w:tabs>
                <w:tab w:val="left" w:pos="0"/>
              </w:tabs>
              <w:jc w:val="both"/>
              <w:rPr>
                <w:sz w:val="22"/>
                <w:szCs w:val="22"/>
                <w:lang w:val="uk-UA" w:eastAsia="uk-UA" w:bidi="uk-UA"/>
              </w:rPr>
            </w:pPr>
            <w:r>
              <w:rPr>
                <w:rFonts w:eastAsia="Calibri"/>
                <w:sz w:val="22"/>
                <w:szCs w:val="22"/>
                <w:lang w:val="uk-UA" w:eastAsia="uk-UA" w:bidi="uk-UA"/>
              </w:rPr>
              <w:t>Невизначеність</w:t>
            </w:r>
          </w:p>
        </w:tc>
        <w:tc>
          <w:tcPr>
            <w:tcW w:w="6354" w:type="dxa"/>
            <w:shd w:val="clear" w:color="auto" w:fill="auto"/>
            <w:vAlign w:val="center"/>
          </w:tcPr>
          <w:p w:rsidR="00642FB4" w:rsidRDefault="00642FB4">
            <w:pPr>
              <w:tabs>
                <w:tab w:val="left" w:pos="0"/>
              </w:tabs>
              <w:jc w:val="both"/>
              <w:rPr>
                <w:sz w:val="22"/>
                <w:szCs w:val="22"/>
                <w:lang w:val="uk-UA" w:eastAsia="uk-UA" w:bidi="uk-UA"/>
              </w:rPr>
            </w:pPr>
            <w:r>
              <w:rPr>
                <w:rFonts w:eastAsia="Calibri"/>
                <w:sz w:val="22"/>
                <w:szCs w:val="22"/>
                <w:lang w:val="uk-UA" w:eastAsia="uk-UA" w:bidi="uk-UA"/>
              </w:rPr>
              <w:t>Ефект не може бути визначений, тому що на цьому рівні деталізації на існує достатніх даних та інформації</w:t>
            </w:r>
          </w:p>
        </w:tc>
      </w:tr>
    </w:tbl>
    <w:p w:rsidR="00642FB4" w:rsidRDefault="00642FB4">
      <w:pPr>
        <w:tabs>
          <w:tab w:val="left" w:pos="0"/>
        </w:tabs>
        <w:spacing w:before="60" w:after="60" w:line="288" w:lineRule="auto"/>
        <w:ind w:firstLine="709"/>
        <w:jc w:val="both"/>
        <w:rPr>
          <w:lang w:val="uk-UA" w:eastAsia="uk-UA" w:bidi="uk-UA"/>
        </w:rPr>
      </w:pPr>
    </w:p>
    <w:p w:rsidR="00642FB4" w:rsidRDefault="00642FB4">
      <w:pPr>
        <w:tabs>
          <w:tab w:val="left" w:pos="0"/>
        </w:tabs>
        <w:spacing w:before="60" w:after="60" w:line="288" w:lineRule="auto"/>
        <w:ind w:firstLine="709"/>
        <w:jc w:val="both"/>
        <w:rPr>
          <w:lang w:val="uk-UA" w:eastAsia="uk-UA" w:bidi="uk-UA"/>
        </w:rPr>
      </w:pPr>
      <w:r>
        <w:rPr>
          <w:rFonts w:eastAsia="Calibri"/>
          <w:szCs w:val="22"/>
          <w:lang w:val="uk-UA" w:eastAsia="uk-UA" w:bidi="uk-UA"/>
        </w:rPr>
        <w:t>Можливі суттєві екологічні наслідки, в тому числі з таких питань, як біорізноманіття, населення, здоров'я людини, фауни, флори, ґрунту, води, повітря, кліматичних факторів, матеріальних цінностей, культурної спадщини, включаючи архітектурна та археологічну спадщину, ландшафт та взаємозв'язок між цими факторами, оцінюються для кожного індикативного заходу, в рамках цих чотирьох тематичних цілей Програми Ro-Ua, так як це наведено нижче.</w:t>
      </w:r>
    </w:p>
    <w:p w:rsidR="00642FB4" w:rsidRDefault="00642FB4">
      <w:pPr>
        <w:tabs>
          <w:tab w:val="left" w:pos="0"/>
        </w:tabs>
        <w:spacing w:before="60" w:after="60" w:line="288" w:lineRule="auto"/>
        <w:ind w:firstLine="709"/>
        <w:jc w:val="both"/>
        <w:rPr>
          <w:snapToGrid w:val="0"/>
          <w:position w:val="-6"/>
          <w:lang w:val="uk-UA" w:eastAsia="uk-UA" w:bidi="uk-UA"/>
        </w:rPr>
      </w:pPr>
    </w:p>
    <w:p w:rsidR="00642FB4" w:rsidRDefault="00642FB4">
      <w:pPr>
        <w:jc w:val="both"/>
        <w:rPr>
          <w:b/>
          <w:lang w:val="uk-UA" w:eastAsia="uk-UA" w:bidi="uk-UA"/>
        </w:rPr>
      </w:pPr>
      <w:r>
        <w:rPr>
          <w:rFonts w:eastAsia="Calibri"/>
          <w:b/>
          <w:szCs w:val="22"/>
          <w:lang w:val="uk-UA" w:eastAsia="uk-UA" w:bidi="uk-UA"/>
        </w:rPr>
        <w:t xml:space="preserve">OT2 - ПІДТРИМКА ОСВІТИ, ДОСЛІДЖЕНЬ, ТЕХНОЛОГІЧНОГО РОЗВИТКУ ТА ІННОВАЦІЙ </w:t>
      </w:r>
    </w:p>
    <w:p w:rsidR="00642FB4" w:rsidRDefault="00642FB4">
      <w:pPr>
        <w:jc w:val="both"/>
        <w:rPr>
          <w:i/>
          <w:lang w:val="uk-UA" w:eastAsia="uk-UA" w:bidi="uk-UA"/>
        </w:rPr>
      </w:pPr>
      <w:r>
        <w:rPr>
          <w:rFonts w:eastAsia="Calibri"/>
          <w:b/>
          <w:i/>
          <w:szCs w:val="22"/>
          <w:lang w:val="uk-UA" w:eastAsia="uk-UA" w:bidi="uk-UA"/>
        </w:rPr>
        <w:t>Ціль 1:</w:t>
      </w:r>
      <w:r>
        <w:rPr>
          <w:rFonts w:eastAsia="Calibri"/>
          <w:i/>
          <w:szCs w:val="22"/>
          <w:lang w:val="uk-UA" w:eastAsia="uk-UA" w:bidi="uk-UA"/>
        </w:rPr>
        <w:t xml:space="preserve"> Розвиток навичок та підтримка досліджень та інновацій шляхом сприяння співробітництву на місцевому, регіональному та центральному рівні</w:t>
      </w:r>
    </w:p>
    <w:p w:rsidR="00642FB4" w:rsidRDefault="00642FB4">
      <w:pPr>
        <w:spacing w:before="60" w:after="60" w:line="288" w:lineRule="auto"/>
        <w:jc w:val="both"/>
        <w:rPr>
          <w:rFonts w:cs="Arial"/>
          <w:b/>
          <w:lang w:val="uk-UA" w:eastAsia="uk-UA" w:bidi="uk-UA"/>
        </w:rPr>
      </w:pPr>
      <w:r>
        <w:rPr>
          <w:rFonts w:eastAsia="Calibri"/>
          <w:b/>
          <w:szCs w:val="22"/>
          <w:lang w:val="uk-UA" w:eastAsia="uk-UA" w:bidi="uk-UA"/>
        </w:rPr>
        <w:t>Пріоритет 1.1 – Інституційна співпраця в галузі освіти з метою розширення доступу до освіти та якості освіти</w:t>
      </w:r>
    </w:p>
    <w:tbl>
      <w:tblPr>
        <w:tblW w:w="10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5"/>
        <w:gridCol w:w="5120"/>
        <w:gridCol w:w="1548"/>
        <w:gridCol w:w="1567"/>
        <w:gridCol w:w="1629"/>
      </w:tblGrid>
      <w:tr w:rsidR="00642FB4">
        <w:trPr>
          <w:tblHeader/>
          <w:jc w:val="center"/>
        </w:trPr>
        <w:tc>
          <w:tcPr>
            <w:tcW w:w="625"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Порядк. №</w:t>
            </w:r>
          </w:p>
        </w:tc>
        <w:tc>
          <w:tcPr>
            <w:tcW w:w="5120"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Індикативні заходи</w:t>
            </w:r>
          </w:p>
        </w:tc>
        <w:tc>
          <w:tcPr>
            <w:tcW w:w="1548"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Екологічні аспекти і цілі, які будуть розглянуті</w:t>
            </w:r>
          </w:p>
        </w:tc>
        <w:tc>
          <w:tcPr>
            <w:tcW w:w="1567"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Потенційний вплив</w:t>
            </w:r>
          </w:p>
        </w:tc>
        <w:tc>
          <w:tcPr>
            <w:tcW w:w="1629" w:type="dxa"/>
          </w:tcPr>
          <w:p w:rsidR="00642FB4" w:rsidRDefault="00642FB4">
            <w:pPr>
              <w:jc w:val="both"/>
              <w:rPr>
                <w:b/>
                <w:sz w:val="20"/>
                <w:szCs w:val="20"/>
                <w:lang w:val="uk-UA" w:eastAsia="uk-UA" w:bidi="uk-UA"/>
              </w:rPr>
            </w:pPr>
            <w:r>
              <w:rPr>
                <w:rFonts w:eastAsia="Calibri"/>
                <w:b/>
                <w:sz w:val="20"/>
                <w:szCs w:val="22"/>
                <w:lang w:val="uk-UA" w:eastAsia="uk-UA" w:bidi="uk-UA"/>
              </w:rPr>
              <w:t>Оцінка впливу на навколишнє середовище</w:t>
            </w:r>
          </w:p>
        </w:tc>
      </w:tr>
      <w:tr w:rsidR="00642FB4">
        <w:trPr>
          <w:jc w:val="center"/>
        </w:trPr>
        <w:tc>
          <w:tcPr>
            <w:tcW w:w="625"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1.</w:t>
            </w:r>
          </w:p>
        </w:tc>
        <w:tc>
          <w:tcPr>
            <w:tcW w:w="5120"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Спільне планування та розробка освітніх стратегій</w:t>
            </w:r>
          </w:p>
        </w:tc>
        <w:tc>
          <w:tcPr>
            <w:tcW w:w="1548"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567"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629" w:type="dxa"/>
            <w:vAlign w:val="center"/>
          </w:tcPr>
          <w:p w:rsidR="00642FB4" w:rsidRDefault="00642FB4">
            <w:pPr>
              <w:rPr>
                <w:sz w:val="22"/>
                <w:szCs w:val="22"/>
                <w:lang w:val="uk-UA" w:eastAsia="uk-UA" w:bidi="uk-UA"/>
              </w:rPr>
            </w:pPr>
            <w:r>
              <w:rPr>
                <w:rFonts w:eastAsia="Calibri"/>
                <w:sz w:val="22"/>
                <w:szCs w:val="22"/>
                <w:lang w:val="uk-UA" w:eastAsia="uk-UA" w:bidi="uk-UA"/>
              </w:rPr>
              <w:t>Нейтральний</w:t>
            </w:r>
          </w:p>
        </w:tc>
      </w:tr>
      <w:tr w:rsidR="00642FB4">
        <w:trPr>
          <w:jc w:val="center"/>
        </w:trPr>
        <w:tc>
          <w:tcPr>
            <w:tcW w:w="625" w:type="dxa"/>
            <w:vMerge w:val="restart"/>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2.</w:t>
            </w:r>
          </w:p>
        </w:tc>
        <w:tc>
          <w:tcPr>
            <w:tcW w:w="5120"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Обміни досвідом, обміни викладачами, передачі передового досвіду між установами по обидвох боках кордону з метою підвищення ефективності освіти шляхом диверсифікації навчальних програм для співробітників системи освіти:</w:t>
            </w:r>
          </w:p>
        </w:tc>
        <w:tc>
          <w:tcPr>
            <w:tcW w:w="1548" w:type="dxa"/>
            <w:shd w:val="clear" w:color="auto" w:fill="auto"/>
            <w:vAlign w:val="center"/>
          </w:tcPr>
          <w:p w:rsidR="00642FB4" w:rsidRDefault="00642FB4">
            <w:pPr>
              <w:jc w:val="both"/>
              <w:rPr>
                <w:sz w:val="20"/>
                <w:szCs w:val="20"/>
                <w:lang w:val="uk-UA" w:eastAsia="uk-UA" w:bidi="uk-UA"/>
              </w:rPr>
            </w:pPr>
          </w:p>
        </w:tc>
        <w:tc>
          <w:tcPr>
            <w:tcW w:w="1567" w:type="dxa"/>
            <w:shd w:val="clear" w:color="auto" w:fill="auto"/>
            <w:vAlign w:val="center"/>
          </w:tcPr>
          <w:p w:rsidR="00642FB4" w:rsidRDefault="00642FB4">
            <w:pPr>
              <w:jc w:val="both"/>
              <w:rPr>
                <w:sz w:val="20"/>
                <w:szCs w:val="20"/>
                <w:lang w:val="uk-UA" w:eastAsia="uk-UA" w:bidi="uk-UA"/>
              </w:rPr>
            </w:pPr>
          </w:p>
        </w:tc>
        <w:tc>
          <w:tcPr>
            <w:tcW w:w="1629" w:type="dxa"/>
            <w:vAlign w:val="center"/>
          </w:tcPr>
          <w:p w:rsidR="00642FB4" w:rsidRDefault="00642FB4">
            <w:pPr>
              <w:rPr>
                <w:sz w:val="22"/>
                <w:szCs w:val="22"/>
                <w:lang w:val="uk-UA" w:eastAsia="uk-UA" w:bidi="uk-UA"/>
              </w:rPr>
            </w:pPr>
          </w:p>
        </w:tc>
      </w:tr>
      <w:tr w:rsidR="00642FB4">
        <w:trPr>
          <w:jc w:val="center"/>
        </w:trPr>
        <w:tc>
          <w:tcPr>
            <w:tcW w:w="625" w:type="dxa"/>
            <w:vMerge/>
            <w:shd w:val="clear" w:color="auto" w:fill="auto"/>
            <w:vAlign w:val="center"/>
          </w:tcPr>
          <w:p w:rsidR="00642FB4" w:rsidRDefault="00642FB4">
            <w:pPr>
              <w:jc w:val="both"/>
              <w:rPr>
                <w:sz w:val="20"/>
                <w:szCs w:val="20"/>
                <w:lang w:val="uk-UA" w:eastAsia="uk-UA" w:bidi="uk-UA"/>
              </w:rPr>
            </w:pPr>
          </w:p>
        </w:tc>
        <w:tc>
          <w:tcPr>
            <w:tcW w:w="5120" w:type="dxa"/>
            <w:shd w:val="clear" w:color="auto" w:fill="auto"/>
            <w:vAlign w:val="center"/>
          </w:tcPr>
          <w:p w:rsidR="00642FB4" w:rsidRDefault="00642FB4">
            <w:pPr>
              <w:numPr>
                <w:ilvl w:val="0"/>
                <w:numId w:val="3"/>
              </w:numPr>
              <w:spacing w:after="200" w:line="276" w:lineRule="auto"/>
              <w:ind w:left="183" w:hanging="183"/>
              <w:jc w:val="both"/>
              <w:rPr>
                <w:sz w:val="20"/>
                <w:szCs w:val="20"/>
                <w:lang w:val="uk-UA" w:eastAsia="uk-UA" w:bidi="uk-UA"/>
              </w:rPr>
            </w:pPr>
            <w:r>
              <w:rPr>
                <w:rFonts w:eastAsia="Calibri"/>
                <w:sz w:val="20"/>
                <w:szCs w:val="22"/>
                <w:lang w:val="uk-UA" w:eastAsia="uk-UA" w:bidi="uk-UA"/>
              </w:rPr>
              <w:t>розвиток школи, шкільне управління, розвиток відносин між школою та суспільством</w:t>
            </w:r>
          </w:p>
        </w:tc>
        <w:tc>
          <w:tcPr>
            <w:tcW w:w="1548"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567"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629" w:type="dxa"/>
            <w:vAlign w:val="center"/>
          </w:tcPr>
          <w:p w:rsidR="00642FB4" w:rsidRDefault="00642FB4">
            <w:pPr>
              <w:rPr>
                <w:sz w:val="22"/>
                <w:szCs w:val="22"/>
                <w:lang w:val="uk-UA" w:eastAsia="uk-UA" w:bidi="uk-UA"/>
              </w:rPr>
            </w:pPr>
            <w:r>
              <w:rPr>
                <w:rFonts w:eastAsia="Calibri"/>
                <w:sz w:val="22"/>
                <w:szCs w:val="22"/>
                <w:lang w:val="uk-UA" w:eastAsia="uk-UA" w:bidi="uk-UA"/>
              </w:rPr>
              <w:t>Нейтральний</w:t>
            </w:r>
          </w:p>
        </w:tc>
      </w:tr>
      <w:tr w:rsidR="00642FB4">
        <w:trPr>
          <w:jc w:val="center"/>
        </w:trPr>
        <w:tc>
          <w:tcPr>
            <w:tcW w:w="625" w:type="dxa"/>
            <w:vMerge/>
            <w:shd w:val="clear" w:color="auto" w:fill="auto"/>
            <w:vAlign w:val="center"/>
          </w:tcPr>
          <w:p w:rsidR="00642FB4" w:rsidRDefault="00642FB4">
            <w:pPr>
              <w:jc w:val="both"/>
              <w:rPr>
                <w:sz w:val="20"/>
                <w:szCs w:val="20"/>
                <w:lang w:val="uk-UA" w:eastAsia="uk-UA" w:bidi="uk-UA"/>
              </w:rPr>
            </w:pPr>
          </w:p>
        </w:tc>
        <w:tc>
          <w:tcPr>
            <w:tcW w:w="5120" w:type="dxa"/>
            <w:shd w:val="clear" w:color="auto" w:fill="auto"/>
            <w:vAlign w:val="center"/>
          </w:tcPr>
          <w:p w:rsidR="00642FB4" w:rsidRDefault="00642FB4">
            <w:pPr>
              <w:ind w:left="41" w:hanging="41"/>
              <w:jc w:val="both"/>
              <w:rPr>
                <w:sz w:val="20"/>
                <w:szCs w:val="20"/>
                <w:lang w:val="uk-UA" w:eastAsia="uk-UA" w:bidi="uk-UA"/>
              </w:rPr>
            </w:pPr>
            <w:r>
              <w:rPr>
                <w:rFonts w:eastAsia="Calibri"/>
                <w:sz w:val="20"/>
                <w:szCs w:val="22"/>
                <w:lang w:val="uk-UA" w:eastAsia="uk-UA" w:bidi="uk-UA"/>
              </w:rPr>
              <w:t>- розробка та застосування інноваційних методів навчання для підвищення кваліфікації викладачів, з метою поліпшення процесу навчання та мотивування студентів</w:t>
            </w:r>
          </w:p>
        </w:tc>
        <w:tc>
          <w:tcPr>
            <w:tcW w:w="1548"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567"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629" w:type="dxa"/>
            <w:vAlign w:val="center"/>
          </w:tcPr>
          <w:p w:rsidR="00642FB4" w:rsidRDefault="00642FB4">
            <w:pPr>
              <w:rPr>
                <w:sz w:val="22"/>
                <w:szCs w:val="22"/>
                <w:lang w:val="uk-UA" w:eastAsia="uk-UA" w:bidi="uk-UA"/>
              </w:rPr>
            </w:pPr>
            <w:r>
              <w:rPr>
                <w:rFonts w:eastAsia="Calibri"/>
                <w:sz w:val="22"/>
                <w:szCs w:val="22"/>
                <w:lang w:val="uk-UA" w:eastAsia="uk-UA" w:bidi="uk-UA"/>
              </w:rPr>
              <w:t>Нейтральний</w:t>
            </w:r>
          </w:p>
        </w:tc>
      </w:tr>
      <w:tr w:rsidR="00642FB4">
        <w:trPr>
          <w:jc w:val="center"/>
        </w:trPr>
        <w:tc>
          <w:tcPr>
            <w:tcW w:w="625"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3.</w:t>
            </w:r>
          </w:p>
        </w:tc>
        <w:tc>
          <w:tcPr>
            <w:tcW w:w="5120"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Розробка спільних освітніх програм в сфері підприємництва, програм, які стимулюють творчість, інновацію та активне громадянство</w:t>
            </w:r>
          </w:p>
        </w:tc>
        <w:tc>
          <w:tcPr>
            <w:tcW w:w="1548"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567"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629" w:type="dxa"/>
            <w:vAlign w:val="center"/>
          </w:tcPr>
          <w:p w:rsidR="00642FB4" w:rsidRDefault="00642FB4">
            <w:pPr>
              <w:rPr>
                <w:sz w:val="22"/>
                <w:szCs w:val="22"/>
                <w:lang w:val="uk-UA" w:eastAsia="uk-UA" w:bidi="uk-UA"/>
              </w:rPr>
            </w:pPr>
            <w:r>
              <w:rPr>
                <w:rFonts w:eastAsia="Calibri"/>
                <w:sz w:val="22"/>
                <w:szCs w:val="22"/>
                <w:lang w:val="uk-UA" w:eastAsia="uk-UA" w:bidi="uk-UA"/>
              </w:rPr>
              <w:t>Нейтральний</w:t>
            </w:r>
          </w:p>
        </w:tc>
      </w:tr>
      <w:tr w:rsidR="00642FB4">
        <w:trPr>
          <w:jc w:val="center"/>
        </w:trPr>
        <w:tc>
          <w:tcPr>
            <w:tcW w:w="625"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4.</w:t>
            </w:r>
          </w:p>
        </w:tc>
        <w:tc>
          <w:tcPr>
            <w:tcW w:w="5120"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Відновлення/ модернізація / розширення / придбання обладнання для розвитку освітньої інфраструктури та забезпечення матеріальних передумов для процесу якісної освіти та підвищення участі в освітній діяльності</w:t>
            </w:r>
          </w:p>
        </w:tc>
        <w:tc>
          <w:tcPr>
            <w:tcW w:w="1548"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Ефективне використання ресурсів</w:t>
            </w:r>
          </w:p>
          <w:p w:rsidR="00642FB4" w:rsidRDefault="00642FB4">
            <w:pPr>
              <w:jc w:val="both"/>
              <w:rPr>
                <w:sz w:val="20"/>
                <w:szCs w:val="20"/>
                <w:lang w:val="uk-UA" w:eastAsia="uk-UA" w:bidi="uk-UA"/>
              </w:rPr>
            </w:pPr>
            <w:r>
              <w:rPr>
                <w:rFonts w:eastAsia="Calibri"/>
                <w:sz w:val="20"/>
                <w:szCs w:val="22"/>
                <w:lang w:val="uk-UA" w:eastAsia="uk-UA" w:bidi="uk-UA"/>
              </w:rPr>
              <w:t>Управління відходами</w:t>
            </w:r>
          </w:p>
        </w:tc>
        <w:tc>
          <w:tcPr>
            <w:tcW w:w="1567"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Позитивний</w:t>
            </w:r>
          </w:p>
          <w:p w:rsidR="00642FB4" w:rsidRDefault="00642FB4">
            <w:pPr>
              <w:jc w:val="both"/>
              <w:rPr>
                <w:sz w:val="20"/>
                <w:szCs w:val="20"/>
                <w:lang w:val="uk-UA" w:eastAsia="uk-UA" w:bidi="uk-UA"/>
              </w:rPr>
            </w:pPr>
            <w:r>
              <w:rPr>
                <w:rFonts w:eastAsia="Calibri"/>
                <w:sz w:val="20"/>
                <w:szCs w:val="22"/>
                <w:lang w:val="uk-UA" w:eastAsia="uk-UA" w:bidi="uk-UA"/>
              </w:rPr>
              <w:t>Низьке споживання енергії, сировини, небезпечних речовин</w:t>
            </w:r>
          </w:p>
          <w:p w:rsidR="00642FB4" w:rsidRDefault="00642FB4">
            <w:pPr>
              <w:jc w:val="both"/>
              <w:rPr>
                <w:sz w:val="20"/>
                <w:szCs w:val="20"/>
                <w:lang w:val="uk-UA" w:eastAsia="uk-UA" w:bidi="uk-UA"/>
              </w:rPr>
            </w:pPr>
            <w:r>
              <w:rPr>
                <w:rFonts w:eastAsia="Calibri"/>
                <w:sz w:val="20"/>
                <w:szCs w:val="22"/>
                <w:lang w:val="uk-UA" w:eastAsia="uk-UA" w:bidi="uk-UA"/>
              </w:rPr>
              <w:t>Утилізація/ видалення відходів</w:t>
            </w:r>
          </w:p>
        </w:tc>
        <w:tc>
          <w:tcPr>
            <w:tcW w:w="1629" w:type="dxa"/>
            <w:vAlign w:val="center"/>
          </w:tcPr>
          <w:p w:rsidR="00642FB4" w:rsidRDefault="00642FB4">
            <w:pPr>
              <w:rPr>
                <w:sz w:val="22"/>
                <w:szCs w:val="22"/>
                <w:lang w:val="uk-UA" w:eastAsia="uk-UA" w:bidi="uk-UA"/>
              </w:rPr>
            </w:pPr>
            <w:r>
              <w:rPr>
                <w:rFonts w:eastAsia="Calibri"/>
                <w:sz w:val="22"/>
                <w:szCs w:val="22"/>
                <w:lang w:val="uk-UA" w:eastAsia="uk-UA" w:bidi="uk-UA"/>
              </w:rPr>
              <w:t>Нейтральний</w:t>
            </w:r>
          </w:p>
        </w:tc>
      </w:tr>
      <w:tr w:rsidR="00642FB4">
        <w:trPr>
          <w:jc w:val="center"/>
        </w:trPr>
        <w:tc>
          <w:tcPr>
            <w:tcW w:w="625" w:type="dxa"/>
            <w:vMerge w:val="restart"/>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5.</w:t>
            </w:r>
          </w:p>
        </w:tc>
        <w:tc>
          <w:tcPr>
            <w:tcW w:w="5120"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Розробка та впровадження партнерських відносин між освітніми установами на обох сторонах кордону для:</w:t>
            </w:r>
          </w:p>
        </w:tc>
        <w:tc>
          <w:tcPr>
            <w:tcW w:w="1548" w:type="dxa"/>
            <w:shd w:val="clear" w:color="auto" w:fill="auto"/>
            <w:vAlign w:val="center"/>
          </w:tcPr>
          <w:p w:rsidR="00642FB4" w:rsidRDefault="00642FB4">
            <w:pPr>
              <w:jc w:val="both"/>
              <w:rPr>
                <w:sz w:val="20"/>
                <w:szCs w:val="20"/>
                <w:lang w:val="uk-UA" w:eastAsia="uk-UA" w:bidi="uk-UA"/>
              </w:rPr>
            </w:pPr>
          </w:p>
        </w:tc>
        <w:tc>
          <w:tcPr>
            <w:tcW w:w="1567" w:type="dxa"/>
            <w:shd w:val="clear" w:color="auto" w:fill="auto"/>
            <w:vAlign w:val="center"/>
          </w:tcPr>
          <w:p w:rsidR="00642FB4" w:rsidRDefault="00642FB4">
            <w:pPr>
              <w:jc w:val="both"/>
              <w:rPr>
                <w:sz w:val="20"/>
                <w:szCs w:val="20"/>
                <w:lang w:val="uk-UA" w:eastAsia="uk-UA" w:bidi="uk-UA"/>
              </w:rPr>
            </w:pPr>
          </w:p>
        </w:tc>
        <w:tc>
          <w:tcPr>
            <w:tcW w:w="1629" w:type="dxa"/>
            <w:vAlign w:val="center"/>
          </w:tcPr>
          <w:p w:rsidR="00642FB4" w:rsidRDefault="00642FB4">
            <w:pPr>
              <w:rPr>
                <w:sz w:val="22"/>
                <w:szCs w:val="22"/>
                <w:lang w:val="uk-UA" w:eastAsia="uk-UA" w:bidi="uk-UA"/>
              </w:rPr>
            </w:pPr>
          </w:p>
        </w:tc>
      </w:tr>
      <w:tr w:rsidR="00642FB4">
        <w:trPr>
          <w:jc w:val="center"/>
        </w:trPr>
        <w:tc>
          <w:tcPr>
            <w:tcW w:w="625" w:type="dxa"/>
            <w:vMerge/>
            <w:shd w:val="clear" w:color="auto" w:fill="auto"/>
            <w:vAlign w:val="center"/>
          </w:tcPr>
          <w:p w:rsidR="00642FB4" w:rsidRDefault="00642FB4">
            <w:pPr>
              <w:jc w:val="both"/>
              <w:rPr>
                <w:sz w:val="20"/>
                <w:szCs w:val="20"/>
                <w:lang w:val="uk-UA" w:eastAsia="uk-UA" w:bidi="uk-UA"/>
              </w:rPr>
            </w:pPr>
          </w:p>
        </w:tc>
        <w:tc>
          <w:tcPr>
            <w:tcW w:w="5120"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 xml:space="preserve">- запобігання та виправлення феномену припинення відвідування школи та раннього припинення відвідування школи шляхом інтегрованих програм (у тому числі кампаній усвідомлення), щоб запобігти припиненню відвідування школи та заохотити участь у шкільній діяльності та реінтеграції тих, що рано покинули систему освіти </w:t>
            </w:r>
          </w:p>
        </w:tc>
        <w:tc>
          <w:tcPr>
            <w:tcW w:w="1548"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567"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629" w:type="dxa"/>
            <w:vAlign w:val="center"/>
          </w:tcPr>
          <w:p w:rsidR="00642FB4" w:rsidRDefault="00642FB4">
            <w:pPr>
              <w:rPr>
                <w:sz w:val="22"/>
                <w:szCs w:val="22"/>
                <w:lang w:val="uk-UA" w:eastAsia="uk-UA" w:bidi="uk-UA"/>
              </w:rPr>
            </w:pPr>
            <w:r>
              <w:rPr>
                <w:rFonts w:eastAsia="Calibri"/>
                <w:sz w:val="22"/>
                <w:szCs w:val="22"/>
                <w:lang w:val="uk-UA" w:eastAsia="uk-UA" w:bidi="uk-UA"/>
              </w:rPr>
              <w:t>Нейтральний</w:t>
            </w:r>
          </w:p>
        </w:tc>
      </w:tr>
      <w:tr w:rsidR="00642FB4">
        <w:trPr>
          <w:jc w:val="center"/>
        </w:trPr>
        <w:tc>
          <w:tcPr>
            <w:tcW w:w="625" w:type="dxa"/>
            <w:vMerge/>
            <w:shd w:val="clear" w:color="auto" w:fill="auto"/>
            <w:vAlign w:val="center"/>
          </w:tcPr>
          <w:p w:rsidR="00642FB4" w:rsidRDefault="00642FB4">
            <w:pPr>
              <w:jc w:val="both"/>
              <w:rPr>
                <w:sz w:val="20"/>
                <w:szCs w:val="20"/>
                <w:lang w:val="uk-UA" w:eastAsia="uk-UA" w:bidi="uk-UA"/>
              </w:rPr>
            </w:pPr>
          </w:p>
        </w:tc>
        <w:tc>
          <w:tcPr>
            <w:tcW w:w="5120"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 розробка програм, таких як «групи продовженого дня» та позакласних заходів</w:t>
            </w:r>
          </w:p>
        </w:tc>
        <w:tc>
          <w:tcPr>
            <w:tcW w:w="1548"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567"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629"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jc w:val="center"/>
        </w:trPr>
        <w:tc>
          <w:tcPr>
            <w:tcW w:w="625" w:type="dxa"/>
            <w:vMerge w:val="restart"/>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6.</w:t>
            </w:r>
          </w:p>
        </w:tc>
        <w:tc>
          <w:tcPr>
            <w:tcW w:w="5120"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Розробка і впровадження спільних заходів на підтримку знедолених груп:</w:t>
            </w:r>
          </w:p>
        </w:tc>
        <w:tc>
          <w:tcPr>
            <w:tcW w:w="1548" w:type="dxa"/>
            <w:shd w:val="clear" w:color="auto" w:fill="auto"/>
            <w:vAlign w:val="center"/>
          </w:tcPr>
          <w:p w:rsidR="00642FB4" w:rsidRDefault="00642FB4">
            <w:pPr>
              <w:jc w:val="both"/>
              <w:rPr>
                <w:sz w:val="20"/>
                <w:szCs w:val="20"/>
                <w:lang w:val="uk-UA" w:eastAsia="uk-UA" w:bidi="uk-UA"/>
              </w:rPr>
            </w:pPr>
          </w:p>
        </w:tc>
        <w:tc>
          <w:tcPr>
            <w:tcW w:w="1567" w:type="dxa"/>
            <w:shd w:val="clear" w:color="auto" w:fill="auto"/>
            <w:vAlign w:val="center"/>
          </w:tcPr>
          <w:p w:rsidR="00642FB4" w:rsidRDefault="00642FB4">
            <w:pPr>
              <w:jc w:val="both"/>
              <w:rPr>
                <w:sz w:val="20"/>
                <w:szCs w:val="20"/>
                <w:lang w:val="uk-UA" w:eastAsia="uk-UA" w:bidi="uk-UA"/>
              </w:rPr>
            </w:pPr>
          </w:p>
        </w:tc>
        <w:tc>
          <w:tcPr>
            <w:tcW w:w="1629" w:type="dxa"/>
            <w:vAlign w:val="center"/>
          </w:tcPr>
          <w:p w:rsidR="00642FB4" w:rsidRDefault="00642FB4">
            <w:pPr>
              <w:rPr>
                <w:sz w:val="20"/>
                <w:szCs w:val="20"/>
                <w:lang w:val="uk-UA" w:eastAsia="uk-UA" w:bidi="uk-UA"/>
              </w:rPr>
            </w:pPr>
          </w:p>
        </w:tc>
      </w:tr>
      <w:tr w:rsidR="00642FB4">
        <w:trPr>
          <w:jc w:val="center"/>
        </w:trPr>
        <w:tc>
          <w:tcPr>
            <w:tcW w:w="625" w:type="dxa"/>
            <w:vMerge/>
            <w:shd w:val="clear" w:color="auto" w:fill="auto"/>
            <w:vAlign w:val="center"/>
          </w:tcPr>
          <w:p w:rsidR="00642FB4" w:rsidRDefault="00642FB4">
            <w:pPr>
              <w:jc w:val="both"/>
              <w:rPr>
                <w:sz w:val="20"/>
                <w:szCs w:val="20"/>
                <w:lang w:val="uk-UA" w:eastAsia="uk-UA" w:bidi="uk-UA"/>
              </w:rPr>
            </w:pPr>
          </w:p>
        </w:tc>
        <w:tc>
          <w:tcPr>
            <w:tcW w:w="5120"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 інтегровані дії, спрямовані на підтримку дітей та молодих людей з батьків, що проживають за кордоном (які можуть орієнтовно включати в себе консультації і керівництво, програми "груп продовженого дня" освітні та культурні заходи)</w:t>
            </w:r>
          </w:p>
          <w:p w:rsidR="00642FB4" w:rsidRDefault="00642FB4">
            <w:pPr>
              <w:jc w:val="both"/>
              <w:rPr>
                <w:sz w:val="20"/>
                <w:szCs w:val="20"/>
                <w:lang w:val="uk-UA" w:eastAsia="uk-UA" w:bidi="uk-UA"/>
              </w:rPr>
            </w:pPr>
          </w:p>
        </w:tc>
        <w:tc>
          <w:tcPr>
            <w:tcW w:w="1548"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567"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629"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jc w:val="center"/>
        </w:trPr>
        <w:tc>
          <w:tcPr>
            <w:tcW w:w="625" w:type="dxa"/>
            <w:vMerge/>
            <w:shd w:val="clear" w:color="auto" w:fill="auto"/>
            <w:vAlign w:val="center"/>
          </w:tcPr>
          <w:p w:rsidR="00642FB4" w:rsidRDefault="00642FB4">
            <w:pPr>
              <w:jc w:val="both"/>
              <w:rPr>
                <w:sz w:val="20"/>
                <w:szCs w:val="20"/>
                <w:lang w:val="uk-UA" w:eastAsia="uk-UA" w:bidi="uk-UA"/>
              </w:rPr>
            </w:pPr>
          </w:p>
        </w:tc>
        <w:tc>
          <w:tcPr>
            <w:tcW w:w="5120"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 xml:space="preserve">- дії з підтримки для полегшення соціальної та професійної інтеграції людей з обмеженими фізичними можливостями (дітей, молоді та дорослих) </w:t>
            </w:r>
          </w:p>
        </w:tc>
        <w:tc>
          <w:tcPr>
            <w:tcW w:w="1548"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567"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629"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jc w:val="center"/>
        </w:trPr>
        <w:tc>
          <w:tcPr>
            <w:tcW w:w="625"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7.</w:t>
            </w:r>
          </w:p>
        </w:tc>
        <w:tc>
          <w:tcPr>
            <w:tcW w:w="5120"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Підтримка молоді (в тому числі освітні кампанії), щоб запобігти зловживанню наркотиками, торгівлі людьми, зловживанню алкоголем і т.д.</w:t>
            </w:r>
          </w:p>
        </w:tc>
        <w:tc>
          <w:tcPr>
            <w:tcW w:w="1548"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567"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629"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trHeight w:val="457"/>
          <w:jc w:val="center"/>
        </w:trPr>
        <w:tc>
          <w:tcPr>
            <w:tcW w:w="625"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8.</w:t>
            </w:r>
          </w:p>
        </w:tc>
        <w:tc>
          <w:tcPr>
            <w:tcW w:w="5120"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Розробка та впровадження транскордонної діяльності щодо поліпшення / спрощення необхідних навичок на ринку праці</w:t>
            </w:r>
          </w:p>
        </w:tc>
        <w:tc>
          <w:tcPr>
            <w:tcW w:w="1548"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567"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629"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bl>
    <w:p w:rsidR="00642FB4" w:rsidRDefault="00642FB4">
      <w:pPr>
        <w:jc w:val="both"/>
        <w:rPr>
          <w:b/>
          <w:lang w:val="uk-UA" w:eastAsia="uk-UA" w:bidi="uk-UA"/>
        </w:rPr>
      </w:pPr>
    </w:p>
    <w:p w:rsidR="00642FB4" w:rsidRDefault="00642FB4">
      <w:pPr>
        <w:spacing w:before="60" w:after="60" w:line="288" w:lineRule="auto"/>
        <w:jc w:val="both"/>
        <w:rPr>
          <w:rFonts w:cs="Arial"/>
          <w:b/>
          <w:lang w:val="uk-UA" w:eastAsia="uk-UA" w:bidi="uk-UA"/>
        </w:rPr>
      </w:pPr>
    </w:p>
    <w:p w:rsidR="00642FB4" w:rsidRDefault="00642FB4">
      <w:pPr>
        <w:spacing w:before="60" w:after="60" w:line="288" w:lineRule="auto"/>
        <w:jc w:val="both"/>
        <w:rPr>
          <w:rFonts w:cs="Arial"/>
          <w:b/>
          <w:lang w:val="uk-UA" w:eastAsia="uk-UA" w:bidi="uk-UA"/>
        </w:rPr>
      </w:pPr>
      <w:r>
        <w:rPr>
          <w:rFonts w:eastAsia="Calibri"/>
          <w:b/>
          <w:szCs w:val="22"/>
          <w:lang w:val="uk-UA" w:eastAsia="uk-UA" w:bidi="uk-UA"/>
        </w:rPr>
        <w:t>Пріоритет  1.2  – Просування та підтримка досліджень та інновацій</w:t>
      </w:r>
    </w:p>
    <w:tbl>
      <w:tblPr>
        <w:tblW w:w="10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4"/>
        <w:gridCol w:w="4440"/>
        <w:gridCol w:w="1646"/>
        <w:gridCol w:w="1630"/>
        <w:gridCol w:w="1522"/>
      </w:tblGrid>
      <w:tr w:rsidR="00642FB4">
        <w:trPr>
          <w:jc w:val="center"/>
        </w:trPr>
        <w:tc>
          <w:tcPr>
            <w:tcW w:w="548"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Порядк. №</w:t>
            </w:r>
          </w:p>
        </w:tc>
        <w:tc>
          <w:tcPr>
            <w:tcW w:w="4892"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Індикативні заходи</w:t>
            </w:r>
          </w:p>
        </w:tc>
        <w:tc>
          <w:tcPr>
            <w:tcW w:w="1614"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Екологічні аспекти і цілі, які будуть розглянуті</w:t>
            </w:r>
          </w:p>
        </w:tc>
        <w:tc>
          <w:tcPr>
            <w:tcW w:w="1655"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Потенційний вплив</w:t>
            </w:r>
          </w:p>
        </w:tc>
        <w:tc>
          <w:tcPr>
            <w:tcW w:w="1533" w:type="dxa"/>
          </w:tcPr>
          <w:p w:rsidR="00642FB4" w:rsidRDefault="00642FB4">
            <w:pPr>
              <w:jc w:val="both"/>
              <w:rPr>
                <w:b/>
                <w:sz w:val="20"/>
                <w:szCs w:val="20"/>
                <w:lang w:val="uk-UA" w:eastAsia="uk-UA" w:bidi="uk-UA"/>
              </w:rPr>
            </w:pPr>
            <w:r>
              <w:rPr>
                <w:rFonts w:eastAsia="Calibri"/>
                <w:b/>
                <w:sz w:val="20"/>
                <w:szCs w:val="22"/>
                <w:lang w:val="uk-UA" w:eastAsia="uk-UA" w:bidi="uk-UA"/>
              </w:rPr>
              <w:t>Оцінка впливу на навколишнє середовище</w:t>
            </w:r>
          </w:p>
        </w:tc>
      </w:tr>
      <w:tr w:rsidR="00642FB4">
        <w:trPr>
          <w:jc w:val="center"/>
        </w:trPr>
        <w:tc>
          <w:tcPr>
            <w:tcW w:w="548" w:type="dxa"/>
            <w:shd w:val="clear" w:color="auto" w:fill="auto"/>
          </w:tcPr>
          <w:p w:rsidR="00642FB4" w:rsidRDefault="00642FB4">
            <w:pPr>
              <w:jc w:val="center"/>
              <w:rPr>
                <w:sz w:val="20"/>
                <w:szCs w:val="20"/>
                <w:lang w:val="uk-UA" w:eastAsia="uk-UA" w:bidi="uk-UA"/>
              </w:rPr>
            </w:pPr>
            <w:r>
              <w:rPr>
                <w:rFonts w:eastAsia="Calibri"/>
                <w:sz w:val="20"/>
                <w:szCs w:val="22"/>
                <w:lang w:val="uk-UA" w:eastAsia="uk-UA" w:bidi="uk-UA"/>
              </w:rPr>
              <w:t>1.</w:t>
            </w:r>
          </w:p>
        </w:tc>
        <w:tc>
          <w:tcPr>
            <w:tcW w:w="4892"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 xml:space="preserve">Розвиток партнерств / мереж між університетами для спільної теоретичної науково-дослідної діяльності </w:t>
            </w:r>
          </w:p>
        </w:tc>
        <w:tc>
          <w:tcPr>
            <w:tcW w:w="1614"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655"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533"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jc w:val="center"/>
        </w:trPr>
        <w:tc>
          <w:tcPr>
            <w:tcW w:w="548" w:type="dxa"/>
            <w:shd w:val="clear" w:color="auto" w:fill="auto"/>
          </w:tcPr>
          <w:p w:rsidR="00642FB4" w:rsidRDefault="00642FB4">
            <w:pPr>
              <w:jc w:val="center"/>
              <w:rPr>
                <w:sz w:val="20"/>
                <w:szCs w:val="20"/>
                <w:lang w:val="uk-UA" w:eastAsia="uk-UA" w:bidi="uk-UA"/>
              </w:rPr>
            </w:pPr>
            <w:r>
              <w:rPr>
                <w:rFonts w:eastAsia="Calibri"/>
                <w:sz w:val="20"/>
                <w:szCs w:val="22"/>
                <w:lang w:val="uk-UA" w:eastAsia="uk-UA" w:bidi="uk-UA"/>
              </w:rPr>
              <w:t>2.</w:t>
            </w:r>
          </w:p>
        </w:tc>
        <w:tc>
          <w:tcPr>
            <w:tcW w:w="4892"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Дослідження і навчання (у тому числі придбання обладнання) у сфері охорони довкілля (зміни клімату, захисту біорізноманіття, відновлюваних джерел енергії та ефективності ресурсів і т.д.). </w:t>
            </w:r>
          </w:p>
        </w:tc>
        <w:tc>
          <w:tcPr>
            <w:tcW w:w="1614"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655"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533"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jc w:val="center"/>
        </w:trPr>
        <w:tc>
          <w:tcPr>
            <w:tcW w:w="548" w:type="dxa"/>
            <w:shd w:val="clear" w:color="auto" w:fill="auto"/>
          </w:tcPr>
          <w:p w:rsidR="00642FB4" w:rsidRDefault="00642FB4">
            <w:pPr>
              <w:jc w:val="center"/>
              <w:rPr>
                <w:sz w:val="20"/>
                <w:szCs w:val="20"/>
                <w:lang w:val="uk-UA" w:eastAsia="uk-UA" w:bidi="uk-UA"/>
              </w:rPr>
            </w:pPr>
            <w:r>
              <w:rPr>
                <w:rFonts w:eastAsia="Calibri"/>
                <w:sz w:val="20"/>
                <w:szCs w:val="22"/>
                <w:lang w:val="uk-UA" w:eastAsia="uk-UA" w:bidi="uk-UA"/>
              </w:rPr>
              <w:t>3.</w:t>
            </w:r>
          </w:p>
        </w:tc>
        <w:tc>
          <w:tcPr>
            <w:tcW w:w="4892"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Просування та підтримка досліджень та інновацій шляхом відновлення/ модернізації / розширення специфічної інфраструктури, в тому числі, придбання спеціального обладнання</w:t>
            </w:r>
          </w:p>
        </w:tc>
        <w:tc>
          <w:tcPr>
            <w:tcW w:w="1614" w:type="dxa"/>
            <w:shd w:val="clear" w:color="auto" w:fill="auto"/>
          </w:tcPr>
          <w:p w:rsidR="00642FB4" w:rsidRDefault="00642FB4">
            <w:pPr>
              <w:rPr>
                <w:sz w:val="20"/>
                <w:szCs w:val="20"/>
                <w:lang w:val="uk-UA" w:eastAsia="uk-UA" w:bidi="uk-UA"/>
              </w:rPr>
            </w:pPr>
            <w:r>
              <w:rPr>
                <w:rFonts w:eastAsia="Calibri"/>
                <w:sz w:val="20"/>
                <w:szCs w:val="22"/>
                <w:lang w:val="uk-UA" w:eastAsia="uk-UA" w:bidi="uk-UA"/>
              </w:rPr>
              <w:t>Ефективне використання ресурсів</w:t>
            </w:r>
          </w:p>
          <w:p w:rsidR="00642FB4" w:rsidRDefault="00642FB4">
            <w:pPr>
              <w:jc w:val="both"/>
              <w:rPr>
                <w:sz w:val="20"/>
                <w:szCs w:val="20"/>
                <w:lang w:val="uk-UA" w:eastAsia="uk-UA" w:bidi="uk-UA"/>
              </w:rPr>
            </w:pPr>
          </w:p>
        </w:tc>
        <w:tc>
          <w:tcPr>
            <w:tcW w:w="1655"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Позитивний</w:t>
            </w:r>
          </w:p>
          <w:p w:rsidR="00642FB4" w:rsidRDefault="00642FB4">
            <w:pPr>
              <w:jc w:val="both"/>
              <w:rPr>
                <w:sz w:val="20"/>
                <w:szCs w:val="20"/>
                <w:lang w:val="uk-UA" w:eastAsia="uk-UA" w:bidi="uk-UA"/>
              </w:rPr>
            </w:pPr>
            <w:r>
              <w:rPr>
                <w:rFonts w:eastAsia="Calibri"/>
                <w:sz w:val="20"/>
                <w:szCs w:val="22"/>
                <w:lang w:val="uk-UA" w:eastAsia="uk-UA" w:bidi="uk-UA"/>
              </w:rPr>
              <w:t>Низьке споживання енергії, сировини, небезпечних речовин</w:t>
            </w:r>
          </w:p>
        </w:tc>
        <w:tc>
          <w:tcPr>
            <w:tcW w:w="1533" w:type="dxa"/>
            <w:vAlign w:val="center"/>
          </w:tcPr>
          <w:p w:rsidR="00642FB4" w:rsidRDefault="00642FB4">
            <w:pPr>
              <w:rPr>
                <w:sz w:val="20"/>
                <w:szCs w:val="20"/>
                <w:lang w:val="uk-UA" w:eastAsia="uk-UA" w:bidi="uk-UA"/>
              </w:rPr>
            </w:pPr>
            <w:r>
              <w:rPr>
                <w:rFonts w:eastAsia="Calibri"/>
                <w:sz w:val="20"/>
                <w:szCs w:val="22"/>
                <w:lang w:val="uk-UA" w:eastAsia="uk-UA" w:bidi="uk-UA"/>
              </w:rPr>
              <w:t>Позитивний вплив</w:t>
            </w:r>
          </w:p>
        </w:tc>
      </w:tr>
    </w:tbl>
    <w:p w:rsidR="00642FB4" w:rsidRDefault="00642FB4">
      <w:pPr>
        <w:jc w:val="both"/>
        <w:rPr>
          <w:rFonts w:eastAsia="EUAlbertina-Regular-Identity-H"/>
          <w:iCs/>
          <w:lang w:val="uk-UA" w:eastAsia="uk-UA" w:bidi="uk-UA"/>
        </w:rPr>
      </w:pPr>
    </w:p>
    <w:p w:rsidR="00642FB4" w:rsidRDefault="00642FB4">
      <w:pPr>
        <w:jc w:val="both"/>
        <w:rPr>
          <w:rFonts w:eastAsia="EUAlbertina-Regular-Identity-H"/>
          <w:iCs/>
          <w:lang w:val="uk-UA" w:eastAsia="uk-UA" w:bidi="uk-UA"/>
        </w:rPr>
      </w:pPr>
    </w:p>
    <w:p w:rsidR="00642FB4" w:rsidRDefault="00642FB4">
      <w:pPr>
        <w:spacing w:before="60" w:after="60" w:line="288" w:lineRule="auto"/>
        <w:jc w:val="both"/>
        <w:rPr>
          <w:rFonts w:cs="Arial"/>
          <w:b/>
          <w:lang w:val="uk-UA" w:eastAsia="uk-UA" w:bidi="uk-UA"/>
        </w:rPr>
      </w:pPr>
      <w:r>
        <w:rPr>
          <w:rFonts w:eastAsia="Calibri"/>
          <w:b/>
          <w:szCs w:val="22"/>
          <w:lang w:val="uk-UA" w:eastAsia="uk-UA" w:bidi="uk-UA"/>
        </w:rPr>
        <w:t>OT3 - ПРОСУВАННЯ МІСЦЕВОЇ КУЛЬТУРИ ТА ЗБЕРЕЖЕННЯ ІСТОРИЧНОЇ СПАДЩИНИ</w:t>
      </w:r>
    </w:p>
    <w:p w:rsidR="00642FB4" w:rsidRDefault="00642FB4">
      <w:pPr>
        <w:spacing w:before="60" w:after="60" w:line="288" w:lineRule="auto"/>
        <w:jc w:val="both"/>
        <w:rPr>
          <w:rFonts w:cs="Arial"/>
          <w:i/>
          <w:lang w:val="uk-UA" w:eastAsia="uk-UA" w:bidi="uk-UA"/>
        </w:rPr>
      </w:pPr>
      <w:r>
        <w:rPr>
          <w:rFonts w:eastAsia="Calibri"/>
          <w:b/>
          <w:i/>
          <w:szCs w:val="22"/>
          <w:lang w:val="uk-UA" w:eastAsia="uk-UA" w:bidi="uk-UA"/>
        </w:rPr>
        <w:t>Ціль 2:</w:t>
      </w:r>
      <w:r>
        <w:rPr>
          <w:rFonts w:eastAsia="Calibri"/>
          <w:i/>
          <w:szCs w:val="22"/>
          <w:lang w:val="uk-UA" w:eastAsia="uk-UA" w:bidi="uk-UA"/>
        </w:rPr>
        <w:t xml:space="preserve">  Збереження культурної та історичної спадщини на прийнятній території, підтримка розвитку місцевої культури, специфічної культурної самобутності та культурного діалогу сприяють підвищенню привабливості прийнятної території</w:t>
      </w:r>
    </w:p>
    <w:p w:rsidR="00642FB4" w:rsidRDefault="00642FB4">
      <w:pPr>
        <w:spacing w:before="60" w:after="60" w:line="288" w:lineRule="auto"/>
        <w:jc w:val="both"/>
        <w:rPr>
          <w:rFonts w:cs="Arial"/>
          <w:lang w:val="uk-UA" w:eastAsia="uk-UA" w:bidi="uk-UA"/>
        </w:rPr>
      </w:pPr>
    </w:p>
    <w:p w:rsidR="00642FB4" w:rsidRDefault="00642FB4">
      <w:pPr>
        <w:spacing w:before="60" w:after="60" w:line="288" w:lineRule="auto"/>
        <w:jc w:val="both"/>
        <w:rPr>
          <w:rFonts w:cs="Arial"/>
          <w:b/>
          <w:lang w:val="uk-UA" w:eastAsia="uk-UA" w:bidi="uk-UA"/>
        </w:rPr>
      </w:pPr>
      <w:r>
        <w:rPr>
          <w:rFonts w:eastAsia="Calibri"/>
          <w:b/>
          <w:szCs w:val="22"/>
          <w:lang w:val="uk-UA" w:eastAsia="uk-UA" w:bidi="uk-UA"/>
        </w:rPr>
        <w:t>Пріоритет 2.1 – Збереження і просування культурної та історичної спадщини</w:t>
      </w:r>
    </w:p>
    <w:tbl>
      <w:tblPr>
        <w:tblW w:w="10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4"/>
        <w:gridCol w:w="4477"/>
        <w:gridCol w:w="1668"/>
        <w:gridCol w:w="1481"/>
        <w:gridCol w:w="1612"/>
      </w:tblGrid>
      <w:tr w:rsidR="00642FB4">
        <w:trPr>
          <w:tblHeader/>
          <w:jc w:val="center"/>
        </w:trPr>
        <w:tc>
          <w:tcPr>
            <w:tcW w:w="551"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Порядк. №</w:t>
            </w:r>
          </w:p>
        </w:tc>
        <w:tc>
          <w:tcPr>
            <w:tcW w:w="5086"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Індикативні заходи</w:t>
            </w:r>
          </w:p>
        </w:tc>
        <w:tc>
          <w:tcPr>
            <w:tcW w:w="1559"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Екологічні аспекти і цілі, які будуть розглянуті</w:t>
            </w:r>
          </w:p>
        </w:tc>
        <w:tc>
          <w:tcPr>
            <w:tcW w:w="1399"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Потенційний вплив</w:t>
            </w:r>
          </w:p>
        </w:tc>
        <w:tc>
          <w:tcPr>
            <w:tcW w:w="1647" w:type="dxa"/>
          </w:tcPr>
          <w:p w:rsidR="00642FB4" w:rsidRDefault="00642FB4">
            <w:pPr>
              <w:rPr>
                <w:lang w:val="uk-UA" w:eastAsia="uk-UA" w:bidi="uk-UA"/>
              </w:rPr>
            </w:pPr>
            <w:r>
              <w:rPr>
                <w:rFonts w:eastAsia="Calibri"/>
                <w:b/>
                <w:sz w:val="20"/>
                <w:szCs w:val="22"/>
                <w:lang w:val="uk-UA" w:eastAsia="uk-UA" w:bidi="uk-UA"/>
              </w:rPr>
              <w:t>Оцінка впливу на навколишнє середовище</w:t>
            </w:r>
          </w:p>
        </w:tc>
      </w:tr>
      <w:tr w:rsidR="00642FB4">
        <w:trPr>
          <w:jc w:val="center"/>
        </w:trPr>
        <w:tc>
          <w:tcPr>
            <w:tcW w:w="551" w:type="dxa"/>
            <w:shd w:val="clear" w:color="auto" w:fill="auto"/>
          </w:tcPr>
          <w:p w:rsidR="00642FB4" w:rsidRDefault="00642FB4">
            <w:pPr>
              <w:jc w:val="center"/>
              <w:rPr>
                <w:sz w:val="20"/>
                <w:szCs w:val="20"/>
                <w:lang w:val="uk-UA" w:eastAsia="uk-UA" w:bidi="uk-UA"/>
              </w:rPr>
            </w:pPr>
            <w:r>
              <w:rPr>
                <w:rFonts w:eastAsia="Calibri"/>
                <w:sz w:val="20"/>
                <w:szCs w:val="22"/>
                <w:lang w:val="uk-UA" w:eastAsia="uk-UA" w:bidi="uk-UA"/>
              </w:rPr>
              <w:t>1.</w:t>
            </w:r>
          </w:p>
        </w:tc>
        <w:tc>
          <w:tcPr>
            <w:tcW w:w="5086"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 xml:space="preserve">Відновлення, збереження, зміцнення захист і безпека культурних та історичних пам'ятників (у тому числі їх під'їзних доріг), музеїв, художніх колекцій та виробів та їх спільне просування на основі відповідних транскордонних стратегій/ концептів </w:t>
            </w:r>
          </w:p>
        </w:tc>
        <w:tc>
          <w:tcPr>
            <w:tcW w:w="1559" w:type="dxa"/>
            <w:shd w:val="clear" w:color="auto" w:fill="auto"/>
          </w:tcPr>
          <w:p w:rsidR="00642FB4" w:rsidRDefault="00642FB4">
            <w:pPr>
              <w:rPr>
                <w:sz w:val="20"/>
                <w:szCs w:val="20"/>
                <w:lang w:val="uk-UA" w:eastAsia="uk-UA" w:bidi="uk-UA"/>
              </w:rPr>
            </w:pPr>
            <w:r>
              <w:rPr>
                <w:rFonts w:eastAsia="Calibri"/>
                <w:sz w:val="20"/>
                <w:szCs w:val="22"/>
                <w:lang w:val="uk-UA" w:eastAsia="uk-UA" w:bidi="uk-UA"/>
              </w:rPr>
              <w:t>Спадщина Біорізноманіття</w:t>
            </w:r>
          </w:p>
          <w:p w:rsidR="00642FB4" w:rsidRDefault="00642FB4">
            <w:pPr>
              <w:rPr>
                <w:sz w:val="20"/>
                <w:szCs w:val="20"/>
                <w:lang w:val="uk-UA" w:eastAsia="uk-UA" w:bidi="uk-UA"/>
              </w:rPr>
            </w:pPr>
          </w:p>
        </w:tc>
        <w:tc>
          <w:tcPr>
            <w:tcW w:w="1399" w:type="dxa"/>
            <w:shd w:val="clear" w:color="auto" w:fill="auto"/>
          </w:tcPr>
          <w:p w:rsidR="00642FB4" w:rsidRDefault="00642FB4">
            <w:pPr>
              <w:rPr>
                <w:sz w:val="20"/>
                <w:szCs w:val="20"/>
                <w:lang w:val="uk-UA" w:eastAsia="uk-UA" w:bidi="uk-UA"/>
              </w:rPr>
            </w:pPr>
            <w:r>
              <w:rPr>
                <w:rFonts w:eastAsia="Calibri"/>
                <w:sz w:val="20"/>
                <w:szCs w:val="22"/>
                <w:lang w:val="uk-UA" w:eastAsia="uk-UA" w:bidi="uk-UA"/>
              </w:rPr>
              <w:t>Позитивний</w:t>
            </w:r>
          </w:p>
          <w:p w:rsidR="00642FB4" w:rsidRDefault="00642FB4">
            <w:pPr>
              <w:rPr>
                <w:sz w:val="20"/>
                <w:szCs w:val="20"/>
                <w:lang w:val="uk-UA" w:eastAsia="uk-UA" w:bidi="uk-UA"/>
              </w:rPr>
            </w:pPr>
            <w:r>
              <w:rPr>
                <w:rFonts w:eastAsia="Calibri"/>
                <w:sz w:val="20"/>
                <w:szCs w:val="22"/>
                <w:lang w:val="uk-UA" w:eastAsia="uk-UA" w:bidi="uk-UA"/>
              </w:rPr>
              <w:t>Технології обрані таким чином, що вплив був мінімальним</w:t>
            </w:r>
          </w:p>
        </w:tc>
        <w:tc>
          <w:tcPr>
            <w:tcW w:w="1647" w:type="dxa"/>
            <w:vAlign w:val="center"/>
          </w:tcPr>
          <w:p w:rsidR="00642FB4" w:rsidRDefault="00642FB4">
            <w:pPr>
              <w:rPr>
                <w:sz w:val="20"/>
                <w:szCs w:val="20"/>
                <w:lang w:val="uk-UA" w:eastAsia="uk-UA" w:bidi="uk-UA"/>
              </w:rPr>
            </w:pPr>
            <w:r>
              <w:rPr>
                <w:rFonts w:eastAsia="Calibri"/>
                <w:sz w:val="20"/>
                <w:szCs w:val="22"/>
                <w:lang w:val="uk-UA" w:eastAsia="uk-UA" w:bidi="uk-UA"/>
              </w:rPr>
              <w:t>Позитивний вплив</w:t>
            </w:r>
          </w:p>
        </w:tc>
      </w:tr>
      <w:tr w:rsidR="00642FB4">
        <w:trPr>
          <w:trHeight w:val="1126"/>
          <w:jc w:val="center"/>
        </w:trPr>
        <w:tc>
          <w:tcPr>
            <w:tcW w:w="551" w:type="dxa"/>
            <w:shd w:val="clear" w:color="auto" w:fill="auto"/>
          </w:tcPr>
          <w:p w:rsidR="00642FB4" w:rsidRDefault="00642FB4">
            <w:pPr>
              <w:jc w:val="center"/>
              <w:rPr>
                <w:sz w:val="20"/>
                <w:szCs w:val="20"/>
                <w:lang w:val="uk-UA" w:eastAsia="uk-UA" w:bidi="uk-UA"/>
              </w:rPr>
            </w:pPr>
            <w:r>
              <w:rPr>
                <w:rFonts w:eastAsia="Calibri"/>
                <w:sz w:val="20"/>
                <w:szCs w:val="22"/>
                <w:lang w:val="uk-UA" w:eastAsia="uk-UA" w:bidi="uk-UA"/>
              </w:rPr>
              <w:t>2.</w:t>
            </w:r>
          </w:p>
        </w:tc>
        <w:tc>
          <w:tcPr>
            <w:tcW w:w="5086"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Збереження, охорона та спільне використання пам'ятників та історичних і культурних цінностей</w:t>
            </w:r>
          </w:p>
        </w:tc>
        <w:tc>
          <w:tcPr>
            <w:tcW w:w="1559" w:type="dxa"/>
            <w:shd w:val="clear" w:color="auto" w:fill="auto"/>
          </w:tcPr>
          <w:p w:rsidR="00642FB4" w:rsidRDefault="00642FB4">
            <w:pPr>
              <w:rPr>
                <w:sz w:val="20"/>
                <w:szCs w:val="20"/>
                <w:lang w:val="uk-UA" w:eastAsia="uk-UA" w:bidi="uk-UA"/>
              </w:rPr>
            </w:pPr>
            <w:r>
              <w:rPr>
                <w:rFonts w:eastAsia="Calibri"/>
                <w:sz w:val="20"/>
                <w:szCs w:val="22"/>
                <w:lang w:val="uk-UA" w:eastAsia="uk-UA" w:bidi="uk-UA"/>
              </w:rPr>
              <w:t>Спадщина Біорізноманіття</w:t>
            </w:r>
          </w:p>
          <w:p w:rsidR="00642FB4" w:rsidRDefault="00642FB4">
            <w:pPr>
              <w:rPr>
                <w:sz w:val="20"/>
                <w:szCs w:val="20"/>
                <w:lang w:val="uk-UA" w:eastAsia="uk-UA" w:bidi="uk-UA"/>
              </w:rPr>
            </w:pPr>
          </w:p>
        </w:tc>
        <w:tc>
          <w:tcPr>
            <w:tcW w:w="1399" w:type="dxa"/>
            <w:shd w:val="clear" w:color="auto" w:fill="auto"/>
          </w:tcPr>
          <w:p w:rsidR="00642FB4" w:rsidRDefault="00642FB4">
            <w:pPr>
              <w:rPr>
                <w:sz w:val="20"/>
                <w:szCs w:val="20"/>
                <w:lang w:val="uk-UA" w:eastAsia="uk-UA" w:bidi="uk-UA"/>
              </w:rPr>
            </w:pPr>
            <w:r>
              <w:rPr>
                <w:rFonts w:eastAsia="Calibri"/>
                <w:sz w:val="20"/>
                <w:szCs w:val="22"/>
                <w:lang w:val="uk-UA" w:eastAsia="uk-UA" w:bidi="uk-UA"/>
              </w:rPr>
              <w:t>Позитивний</w:t>
            </w:r>
          </w:p>
          <w:p w:rsidR="00642FB4" w:rsidRDefault="00642FB4">
            <w:pPr>
              <w:rPr>
                <w:sz w:val="20"/>
                <w:szCs w:val="20"/>
                <w:lang w:val="uk-UA" w:eastAsia="uk-UA" w:bidi="uk-UA"/>
              </w:rPr>
            </w:pPr>
            <w:r>
              <w:rPr>
                <w:rFonts w:eastAsia="Calibri"/>
                <w:sz w:val="20"/>
                <w:szCs w:val="22"/>
                <w:lang w:val="uk-UA" w:eastAsia="uk-UA" w:bidi="uk-UA"/>
              </w:rPr>
              <w:t>Низьке споживання енергії, сировини, небезпечних речовин</w:t>
            </w:r>
          </w:p>
        </w:tc>
        <w:tc>
          <w:tcPr>
            <w:tcW w:w="1647"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jc w:val="center"/>
        </w:trPr>
        <w:tc>
          <w:tcPr>
            <w:tcW w:w="551" w:type="dxa"/>
            <w:shd w:val="clear" w:color="auto" w:fill="auto"/>
          </w:tcPr>
          <w:p w:rsidR="00642FB4" w:rsidRDefault="00642FB4">
            <w:pPr>
              <w:jc w:val="center"/>
              <w:rPr>
                <w:sz w:val="20"/>
                <w:szCs w:val="20"/>
                <w:lang w:val="uk-UA" w:eastAsia="uk-UA" w:bidi="uk-UA"/>
              </w:rPr>
            </w:pPr>
            <w:r>
              <w:rPr>
                <w:rFonts w:eastAsia="Calibri"/>
                <w:sz w:val="20"/>
                <w:szCs w:val="22"/>
                <w:lang w:val="uk-UA" w:eastAsia="uk-UA" w:bidi="uk-UA"/>
              </w:rPr>
              <w:t>3.</w:t>
            </w:r>
          </w:p>
        </w:tc>
        <w:tc>
          <w:tcPr>
            <w:tcW w:w="5086"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Підтримка партнерських відносин між культурними установами з метою просування культурної та історичної спадщини</w:t>
            </w:r>
          </w:p>
        </w:tc>
        <w:tc>
          <w:tcPr>
            <w:tcW w:w="155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39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647"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jc w:val="center"/>
        </w:trPr>
        <w:tc>
          <w:tcPr>
            <w:tcW w:w="551" w:type="dxa"/>
            <w:shd w:val="clear" w:color="auto" w:fill="auto"/>
          </w:tcPr>
          <w:p w:rsidR="00642FB4" w:rsidRDefault="00642FB4">
            <w:pPr>
              <w:jc w:val="center"/>
              <w:rPr>
                <w:sz w:val="20"/>
                <w:szCs w:val="20"/>
                <w:lang w:val="uk-UA" w:eastAsia="uk-UA" w:bidi="uk-UA"/>
              </w:rPr>
            </w:pPr>
            <w:r>
              <w:rPr>
                <w:rFonts w:eastAsia="Calibri"/>
                <w:sz w:val="20"/>
                <w:szCs w:val="22"/>
                <w:lang w:val="uk-UA" w:eastAsia="uk-UA" w:bidi="uk-UA"/>
              </w:rPr>
              <w:t>4.</w:t>
            </w:r>
          </w:p>
        </w:tc>
        <w:tc>
          <w:tcPr>
            <w:tcW w:w="5086"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Підтримка специфічних традиційних ремесел, важливих для збереження місцевої культури та ідентичності</w:t>
            </w:r>
          </w:p>
        </w:tc>
        <w:tc>
          <w:tcPr>
            <w:tcW w:w="155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39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647"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jc w:val="center"/>
        </w:trPr>
        <w:tc>
          <w:tcPr>
            <w:tcW w:w="551" w:type="dxa"/>
            <w:shd w:val="clear" w:color="auto" w:fill="auto"/>
          </w:tcPr>
          <w:p w:rsidR="00642FB4" w:rsidRDefault="00642FB4">
            <w:pPr>
              <w:jc w:val="center"/>
              <w:rPr>
                <w:sz w:val="20"/>
                <w:szCs w:val="20"/>
                <w:lang w:val="uk-UA" w:eastAsia="uk-UA" w:bidi="uk-UA"/>
              </w:rPr>
            </w:pPr>
            <w:r>
              <w:rPr>
                <w:rFonts w:eastAsia="Calibri"/>
                <w:sz w:val="20"/>
                <w:szCs w:val="22"/>
                <w:lang w:val="uk-UA" w:eastAsia="uk-UA" w:bidi="uk-UA"/>
              </w:rPr>
              <w:t>5.</w:t>
            </w:r>
          </w:p>
        </w:tc>
        <w:tc>
          <w:tcPr>
            <w:tcW w:w="5086"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Просування традиційних видів діяльності, специфічних на прийнятній території (у тому числі транскордонних культурних заходів місцевого значення)</w:t>
            </w:r>
          </w:p>
        </w:tc>
        <w:tc>
          <w:tcPr>
            <w:tcW w:w="155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39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647"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trHeight w:val="547"/>
          <w:jc w:val="center"/>
        </w:trPr>
        <w:tc>
          <w:tcPr>
            <w:tcW w:w="551" w:type="dxa"/>
            <w:shd w:val="clear" w:color="auto" w:fill="auto"/>
          </w:tcPr>
          <w:p w:rsidR="00642FB4" w:rsidRDefault="00642FB4">
            <w:pPr>
              <w:jc w:val="center"/>
              <w:rPr>
                <w:sz w:val="20"/>
                <w:szCs w:val="20"/>
                <w:lang w:val="uk-UA" w:eastAsia="uk-UA" w:bidi="uk-UA"/>
              </w:rPr>
            </w:pPr>
            <w:r>
              <w:rPr>
                <w:rFonts w:eastAsia="Calibri"/>
                <w:sz w:val="20"/>
                <w:szCs w:val="22"/>
                <w:lang w:val="uk-UA" w:eastAsia="uk-UA" w:bidi="uk-UA"/>
              </w:rPr>
              <w:t>6.</w:t>
            </w:r>
          </w:p>
        </w:tc>
        <w:tc>
          <w:tcPr>
            <w:tcW w:w="5086"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 xml:space="preserve">Збереження, просування і розвиток культурної та історичної спадщини, зокрема за допомогою транскордонних культурних подій </w:t>
            </w:r>
          </w:p>
        </w:tc>
        <w:tc>
          <w:tcPr>
            <w:tcW w:w="155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39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647"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jc w:val="center"/>
        </w:trPr>
        <w:tc>
          <w:tcPr>
            <w:tcW w:w="551" w:type="dxa"/>
            <w:shd w:val="clear" w:color="auto" w:fill="auto"/>
          </w:tcPr>
          <w:p w:rsidR="00642FB4" w:rsidRDefault="00642FB4">
            <w:pPr>
              <w:jc w:val="center"/>
              <w:rPr>
                <w:sz w:val="20"/>
                <w:szCs w:val="20"/>
                <w:lang w:val="uk-UA" w:eastAsia="uk-UA" w:bidi="uk-UA"/>
              </w:rPr>
            </w:pPr>
            <w:r>
              <w:rPr>
                <w:rFonts w:eastAsia="Calibri"/>
                <w:sz w:val="20"/>
                <w:szCs w:val="22"/>
                <w:lang w:val="uk-UA" w:eastAsia="uk-UA" w:bidi="uk-UA"/>
              </w:rPr>
              <w:t>7.</w:t>
            </w:r>
          </w:p>
        </w:tc>
        <w:tc>
          <w:tcPr>
            <w:tcW w:w="5086"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 xml:space="preserve">Використання культурної та історичної спадщини шляхом розробки спільних стратегій просування спільної продукції та послуг </w:t>
            </w:r>
          </w:p>
        </w:tc>
        <w:tc>
          <w:tcPr>
            <w:tcW w:w="155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39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647"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bl>
    <w:p w:rsidR="00642FB4" w:rsidRDefault="00642FB4">
      <w:pPr>
        <w:spacing w:before="60" w:after="60" w:line="288" w:lineRule="auto"/>
        <w:ind w:left="720"/>
        <w:jc w:val="both"/>
        <w:rPr>
          <w:rFonts w:eastAsia="EUAlbertina-Regular-Identity-H"/>
          <w:bCs/>
          <w:lang w:val="uk-UA" w:eastAsia="uk-UA" w:bidi="uk-UA"/>
        </w:rPr>
      </w:pPr>
    </w:p>
    <w:p w:rsidR="00642FB4" w:rsidRDefault="00642FB4">
      <w:pPr>
        <w:spacing w:before="60" w:after="60" w:line="288" w:lineRule="auto"/>
        <w:ind w:left="720"/>
        <w:jc w:val="both"/>
        <w:rPr>
          <w:rFonts w:eastAsia="EUAlbertina-Regular-Identity-H"/>
          <w:bCs/>
          <w:lang w:val="uk-UA" w:eastAsia="uk-UA" w:bidi="uk-UA"/>
        </w:rPr>
      </w:pPr>
    </w:p>
    <w:p w:rsidR="00642FB4" w:rsidRDefault="00642FB4">
      <w:pPr>
        <w:spacing w:before="60" w:after="60" w:line="288" w:lineRule="auto"/>
        <w:jc w:val="both"/>
        <w:rPr>
          <w:rFonts w:cs="Arial"/>
          <w:b/>
          <w:lang w:val="uk-UA" w:eastAsia="uk-UA" w:bidi="uk-UA"/>
        </w:rPr>
      </w:pPr>
      <w:r>
        <w:rPr>
          <w:rFonts w:eastAsia="Calibri"/>
          <w:b/>
          <w:szCs w:val="22"/>
          <w:lang w:val="uk-UA" w:eastAsia="uk-UA" w:bidi="uk-UA"/>
        </w:rPr>
        <w:t xml:space="preserve">OT7 – ПОЛІПШЕННЯ ДОСТУПНОСТІ В РЕГІОНАХ, РОЗВИТОК МЕРЕЖ ТА СИСТЕМ ТРАНСПОРТУ І ЗВ'ЯЗКУ </w:t>
      </w:r>
    </w:p>
    <w:p w:rsidR="00642FB4" w:rsidRDefault="00642FB4">
      <w:pPr>
        <w:spacing w:before="60" w:after="60" w:line="288" w:lineRule="auto"/>
        <w:jc w:val="both"/>
        <w:rPr>
          <w:rFonts w:cs="Arial"/>
          <w:i/>
          <w:lang w:val="uk-UA" w:eastAsia="uk-UA" w:bidi="uk-UA"/>
        </w:rPr>
      </w:pPr>
      <w:r>
        <w:rPr>
          <w:rFonts w:eastAsia="Calibri"/>
          <w:b/>
          <w:i/>
          <w:szCs w:val="22"/>
          <w:lang w:val="uk-UA" w:eastAsia="uk-UA" w:bidi="uk-UA"/>
        </w:rPr>
        <w:t>Ціль 3</w:t>
      </w:r>
      <w:r>
        <w:rPr>
          <w:rFonts w:eastAsia="Calibri"/>
          <w:i/>
          <w:szCs w:val="22"/>
          <w:lang w:val="uk-UA" w:eastAsia="uk-UA" w:bidi="uk-UA"/>
        </w:rPr>
        <w:t>:  Поліпшення послуг громадського транспорту, інфраструктури і співпраці, а також ІКТ networking</w:t>
      </w:r>
    </w:p>
    <w:p w:rsidR="00642FB4" w:rsidRDefault="00642FB4">
      <w:pPr>
        <w:spacing w:before="60" w:after="60" w:line="288" w:lineRule="auto"/>
        <w:jc w:val="both"/>
        <w:rPr>
          <w:rFonts w:cs="Arial"/>
          <w:i/>
          <w:lang w:val="uk-UA" w:eastAsia="uk-UA" w:bidi="uk-UA"/>
        </w:rPr>
      </w:pPr>
    </w:p>
    <w:p w:rsidR="00642FB4" w:rsidRDefault="00642FB4">
      <w:pPr>
        <w:spacing w:before="60" w:after="60" w:line="288" w:lineRule="auto"/>
        <w:jc w:val="both"/>
        <w:rPr>
          <w:rFonts w:cs="Arial"/>
          <w:b/>
          <w:lang w:val="uk-UA" w:eastAsia="uk-UA" w:bidi="uk-UA"/>
        </w:rPr>
      </w:pPr>
      <w:r>
        <w:rPr>
          <w:rFonts w:eastAsia="Calibri"/>
          <w:b/>
          <w:szCs w:val="22"/>
          <w:lang w:val="uk-UA" w:eastAsia="uk-UA" w:bidi="uk-UA"/>
        </w:rPr>
        <w:t>Пріоритет 3.1 – Розвиток транскордонної транспортної інфраструктури та ІКТ інструментів</w:t>
      </w:r>
    </w:p>
    <w:tbl>
      <w:tblPr>
        <w:tblW w:w="10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4"/>
        <w:gridCol w:w="4483"/>
        <w:gridCol w:w="1713"/>
        <w:gridCol w:w="1589"/>
        <w:gridCol w:w="1453"/>
      </w:tblGrid>
      <w:tr w:rsidR="00642FB4">
        <w:trPr>
          <w:tblHeader/>
          <w:jc w:val="center"/>
        </w:trPr>
        <w:tc>
          <w:tcPr>
            <w:tcW w:w="583"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Порядк. №</w:t>
            </w:r>
          </w:p>
        </w:tc>
        <w:tc>
          <w:tcPr>
            <w:tcW w:w="4960"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Індикативні заходи</w:t>
            </w:r>
          </w:p>
        </w:tc>
        <w:tc>
          <w:tcPr>
            <w:tcW w:w="1721"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Екологічні аспекти і цілі, які будуть розглянуті</w:t>
            </w:r>
          </w:p>
        </w:tc>
        <w:tc>
          <w:tcPr>
            <w:tcW w:w="1608"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Потенційний вплив</w:t>
            </w:r>
          </w:p>
        </w:tc>
        <w:tc>
          <w:tcPr>
            <w:tcW w:w="1370" w:type="dxa"/>
          </w:tcPr>
          <w:p w:rsidR="00642FB4" w:rsidRDefault="00642FB4">
            <w:pPr>
              <w:jc w:val="both"/>
              <w:rPr>
                <w:b/>
                <w:sz w:val="20"/>
                <w:szCs w:val="20"/>
                <w:lang w:val="uk-UA" w:eastAsia="uk-UA" w:bidi="uk-UA"/>
              </w:rPr>
            </w:pPr>
            <w:r>
              <w:rPr>
                <w:rFonts w:eastAsia="Calibri"/>
                <w:b/>
                <w:sz w:val="20"/>
                <w:szCs w:val="22"/>
                <w:lang w:val="uk-UA" w:eastAsia="uk-UA" w:bidi="uk-UA"/>
              </w:rPr>
              <w:t>Оцінка впливу на навколишнє середовище</w:t>
            </w:r>
          </w:p>
        </w:tc>
      </w:tr>
      <w:tr w:rsidR="00642FB4">
        <w:trPr>
          <w:jc w:val="center"/>
        </w:trPr>
        <w:tc>
          <w:tcPr>
            <w:tcW w:w="583"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1.</w:t>
            </w:r>
          </w:p>
        </w:tc>
        <w:tc>
          <w:tcPr>
            <w:tcW w:w="4960"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Реконструкція, відновлення, модернізація транскордонних систем транспорту</w:t>
            </w:r>
          </w:p>
        </w:tc>
        <w:tc>
          <w:tcPr>
            <w:tcW w:w="1721"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Повітря</w:t>
            </w:r>
          </w:p>
          <w:p w:rsidR="00642FB4" w:rsidRDefault="00642FB4">
            <w:pPr>
              <w:jc w:val="both"/>
              <w:rPr>
                <w:sz w:val="20"/>
                <w:szCs w:val="20"/>
                <w:lang w:val="uk-UA" w:eastAsia="uk-UA" w:bidi="uk-UA"/>
              </w:rPr>
            </w:pPr>
            <w:r>
              <w:rPr>
                <w:rFonts w:eastAsia="Calibri"/>
                <w:sz w:val="20"/>
                <w:szCs w:val="22"/>
                <w:lang w:val="uk-UA" w:eastAsia="uk-UA" w:bidi="uk-UA"/>
              </w:rPr>
              <w:t>Вода</w:t>
            </w:r>
          </w:p>
          <w:p w:rsidR="00642FB4" w:rsidRDefault="00642FB4">
            <w:pPr>
              <w:jc w:val="both"/>
              <w:rPr>
                <w:sz w:val="20"/>
                <w:szCs w:val="20"/>
                <w:lang w:val="uk-UA" w:eastAsia="uk-UA" w:bidi="uk-UA"/>
              </w:rPr>
            </w:pPr>
            <w:r>
              <w:rPr>
                <w:rFonts w:eastAsia="Calibri"/>
                <w:sz w:val="20"/>
                <w:szCs w:val="22"/>
                <w:lang w:val="uk-UA" w:eastAsia="uk-UA" w:bidi="uk-UA"/>
              </w:rPr>
              <w:t>Ґрунт</w:t>
            </w:r>
          </w:p>
          <w:p w:rsidR="00642FB4" w:rsidRDefault="00642FB4">
            <w:pPr>
              <w:jc w:val="both"/>
              <w:rPr>
                <w:sz w:val="20"/>
                <w:szCs w:val="20"/>
                <w:lang w:val="uk-UA" w:eastAsia="uk-UA" w:bidi="uk-UA"/>
              </w:rPr>
            </w:pPr>
            <w:r>
              <w:rPr>
                <w:rFonts w:eastAsia="Calibri"/>
                <w:sz w:val="20"/>
                <w:szCs w:val="22"/>
                <w:lang w:val="uk-UA" w:eastAsia="uk-UA" w:bidi="uk-UA"/>
              </w:rPr>
              <w:t>Зміна клімату</w:t>
            </w:r>
          </w:p>
          <w:p w:rsidR="00642FB4" w:rsidRDefault="00642FB4">
            <w:pPr>
              <w:jc w:val="both"/>
              <w:rPr>
                <w:sz w:val="20"/>
                <w:szCs w:val="20"/>
                <w:lang w:val="uk-UA" w:eastAsia="uk-UA" w:bidi="uk-UA"/>
              </w:rPr>
            </w:pPr>
            <w:r>
              <w:rPr>
                <w:rFonts w:eastAsia="Calibri"/>
                <w:sz w:val="20"/>
                <w:szCs w:val="22"/>
                <w:lang w:val="uk-UA" w:eastAsia="uk-UA" w:bidi="uk-UA"/>
              </w:rPr>
              <w:t>Біорізноманіття</w:t>
            </w:r>
          </w:p>
        </w:tc>
        <w:tc>
          <w:tcPr>
            <w:tcW w:w="1608"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Позитивний</w:t>
            </w:r>
          </w:p>
        </w:tc>
        <w:tc>
          <w:tcPr>
            <w:tcW w:w="1370" w:type="dxa"/>
            <w:vAlign w:val="center"/>
          </w:tcPr>
          <w:p w:rsidR="00642FB4" w:rsidRDefault="00642FB4">
            <w:pPr>
              <w:rPr>
                <w:sz w:val="20"/>
                <w:szCs w:val="20"/>
                <w:lang w:val="uk-UA" w:eastAsia="uk-UA" w:bidi="uk-UA"/>
              </w:rPr>
            </w:pPr>
            <w:r>
              <w:rPr>
                <w:rFonts w:eastAsia="Calibri"/>
                <w:sz w:val="20"/>
                <w:szCs w:val="22"/>
                <w:lang w:val="uk-UA" w:eastAsia="uk-UA" w:bidi="uk-UA"/>
              </w:rPr>
              <w:t>Позитивний вплив</w:t>
            </w:r>
          </w:p>
        </w:tc>
      </w:tr>
      <w:tr w:rsidR="00642FB4">
        <w:trPr>
          <w:jc w:val="center"/>
        </w:trPr>
        <w:tc>
          <w:tcPr>
            <w:tcW w:w="583"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2.</w:t>
            </w:r>
          </w:p>
        </w:tc>
        <w:tc>
          <w:tcPr>
            <w:tcW w:w="4960"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Розробка екологічно чистих ініціатив щодо перевезень та інноваційних рішень</w:t>
            </w:r>
          </w:p>
        </w:tc>
        <w:tc>
          <w:tcPr>
            <w:tcW w:w="1721"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Повітря</w:t>
            </w:r>
          </w:p>
          <w:p w:rsidR="00642FB4" w:rsidRDefault="00642FB4">
            <w:pPr>
              <w:jc w:val="both"/>
              <w:rPr>
                <w:sz w:val="20"/>
                <w:szCs w:val="20"/>
                <w:lang w:val="uk-UA" w:eastAsia="uk-UA" w:bidi="uk-UA"/>
              </w:rPr>
            </w:pPr>
            <w:r>
              <w:rPr>
                <w:rFonts w:eastAsia="Calibri"/>
                <w:sz w:val="20"/>
                <w:szCs w:val="22"/>
                <w:lang w:val="uk-UA" w:eastAsia="uk-UA" w:bidi="uk-UA"/>
              </w:rPr>
              <w:t>Ґрунт</w:t>
            </w:r>
          </w:p>
          <w:p w:rsidR="00642FB4" w:rsidRDefault="00642FB4">
            <w:pPr>
              <w:jc w:val="both"/>
              <w:rPr>
                <w:sz w:val="20"/>
                <w:szCs w:val="20"/>
                <w:lang w:val="uk-UA" w:eastAsia="uk-UA" w:bidi="uk-UA"/>
              </w:rPr>
            </w:pPr>
            <w:r>
              <w:rPr>
                <w:rFonts w:eastAsia="Calibri"/>
                <w:sz w:val="20"/>
                <w:szCs w:val="22"/>
                <w:lang w:val="uk-UA" w:eastAsia="uk-UA" w:bidi="uk-UA"/>
              </w:rPr>
              <w:t>Зміна клімату</w:t>
            </w:r>
          </w:p>
          <w:p w:rsidR="00642FB4" w:rsidRDefault="00642FB4">
            <w:pPr>
              <w:jc w:val="both"/>
              <w:rPr>
                <w:sz w:val="20"/>
                <w:szCs w:val="20"/>
                <w:lang w:val="uk-UA" w:eastAsia="uk-UA" w:bidi="uk-UA"/>
              </w:rPr>
            </w:pPr>
            <w:r>
              <w:rPr>
                <w:rFonts w:eastAsia="Calibri"/>
                <w:sz w:val="20"/>
                <w:szCs w:val="22"/>
                <w:lang w:val="uk-UA" w:eastAsia="uk-UA" w:bidi="uk-UA"/>
              </w:rPr>
              <w:t>Біорізноманіття</w:t>
            </w:r>
          </w:p>
        </w:tc>
        <w:tc>
          <w:tcPr>
            <w:tcW w:w="1608"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Позитивний</w:t>
            </w:r>
          </w:p>
        </w:tc>
        <w:tc>
          <w:tcPr>
            <w:tcW w:w="1370" w:type="dxa"/>
            <w:vAlign w:val="center"/>
          </w:tcPr>
          <w:p w:rsidR="00642FB4" w:rsidRDefault="00642FB4">
            <w:pPr>
              <w:rPr>
                <w:sz w:val="20"/>
                <w:szCs w:val="20"/>
                <w:lang w:val="uk-UA" w:eastAsia="uk-UA" w:bidi="uk-UA"/>
              </w:rPr>
            </w:pPr>
            <w:r>
              <w:rPr>
                <w:rFonts w:eastAsia="Calibri"/>
                <w:sz w:val="20"/>
                <w:szCs w:val="22"/>
                <w:lang w:val="uk-UA" w:eastAsia="uk-UA" w:bidi="uk-UA"/>
              </w:rPr>
              <w:t>Значний позитивний вплив</w:t>
            </w:r>
          </w:p>
        </w:tc>
      </w:tr>
      <w:tr w:rsidR="00642FB4">
        <w:trPr>
          <w:jc w:val="center"/>
        </w:trPr>
        <w:tc>
          <w:tcPr>
            <w:tcW w:w="583"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3.</w:t>
            </w:r>
          </w:p>
        </w:tc>
        <w:tc>
          <w:tcPr>
            <w:tcW w:w="4960"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Удосконалення засобів змішаного транспорту (дорожнього / річкового) з транскордонним значенням</w:t>
            </w:r>
          </w:p>
        </w:tc>
        <w:tc>
          <w:tcPr>
            <w:tcW w:w="1721"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Повітря</w:t>
            </w:r>
          </w:p>
          <w:p w:rsidR="00642FB4" w:rsidRDefault="00642FB4">
            <w:pPr>
              <w:jc w:val="both"/>
              <w:rPr>
                <w:sz w:val="20"/>
                <w:szCs w:val="20"/>
                <w:lang w:val="uk-UA" w:eastAsia="uk-UA" w:bidi="uk-UA"/>
              </w:rPr>
            </w:pPr>
            <w:r>
              <w:rPr>
                <w:rFonts w:eastAsia="Calibri"/>
                <w:sz w:val="20"/>
                <w:szCs w:val="22"/>
                <w:lang w:val="uk-UA" w:eastAsia="uk-UA" w:bidi="uk-UA"/>
              </w:rPr>
              <w:t>Вода</w:t>
            </w:r>
          </w:p>
          <w:p w:rsidR="00642FB4" w:rsidRDefault="00642FB4">
            <w:pPr>
              <w:jc w:val="both"/>
              <w:rPr>
                <w:sz w:val="20"/>
                <w:szCs w:val="20"/>
                <w:lang w:val="uk-UA" w:eastAsia="uk-UA" w:bidi="uk-UA"/>
              </w:rPr>
            </w:pPr>
            <w:r>
              <w:rPr>
                <w:rFonts w:eastAsia="Calibri"/>
                <w:sz w:val="20"/>
                <w:szCs w:val="22"/>
                <w:lang w:val="uk-UA" w:eastAsia="uk-UA" w:bidi="uk-UA"/>
              </w:rPr>
              <w:t>Ґрунт</w:t>
            </w:r>
          </w:p>
          <w:p w:rsidR="00642FB4" w:rsidRDefault="00642FB4">
            <w:pPr>
              <w:jc w:val="both"/>
              <w:rPr>
                <w:sz w:val="20"/>
                <w:szCs w:val="20"/>
                <w:lang w:val="uk-UA" w:eastAsia="uk-UA" w:bidi="uk-UA"/>
              </w:rPr>
            </w:pPr>
            <w:r>
              <w:rPr>
                <w:rFonts w:eastAsia="Calibri"/>
                <w:sz w:val="20"/>
                <w:szCs w:val="22"/>
                <w:lang w:val="uk-UA" w:eastAsia="uk-UA" w:bidi="uk-UA"/>
              </w:rPr>
              <w:t>Зміна клімату</w:t>
            </w:r>
          </w:p>
          <w:p w:rsidR="00642FB4" w:rsidRDefault="00642FB4">
            <w:pPr>
              <w:jc w:val="both"/>
              <w:rPr>
                <w:sz w:val="20"/>
                <w:szCs w:val="20"/>
                <w:lang w:val="uk-UA" w:eastAsia="uk-UA" w:bidi="uk-UA"/>
              </w:rPr>
            </w:pPr>
            <w:r>
              <w:rPr>
                <w:rFonts w:eastAsia="Calibri"/>
                <w:sz w:val="20"/>
                <w:szCs w:val="22"/>
                <w:lang w:val="uk-UA" w:eastAsia="uk-UA" w:bidi="uk-UA"/>
              </w:rPr>
              <w:t>Біорізноманіття</w:t>
            </w:r>
          </w:p>
        </w:tc>
        <w:tc>
          <w:tcPr>
            <w:tcW w:w="1608"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Позитивний</w:t>
            </w:r>
          </w:p>
        </w:tc>
        <w:tc>
          <w:tcPr>
            <w:tcW w:w="1370" w:type="dxa"/>
            <w:vAlign w:val="center"/>
          </w:tcPr>
          <w:p w:rsidR="00642FB4" w:rsidRDefault="00642FB4">
            <w:pPr>
              <w:rPr>
                <w:sz w:val="20"/>
                <w:szCs w:val="20"/>
                <w:lang w:val="uk-UA" w:eastAsia="uk-UA" w:bidi="uk-UA"/>
              </w:rPr>
            </w:pPr>
            <w:r>
              <w:rPr>
                <w:rFonts w:eastAsia="Calibri"/>
                <w:sz w:val="20"/>
                <w:szCs w:val="22"/>
                <w:lang w:val="uk-UA" w:eastAsia="uk-UA" w:bidi="uk-UA"/>
              </w:rPr>
              <w:t>Позитивний вплив</w:t>
            </w:r>
          </w:p>
        </w:tc>
      </w:tr>
      <w:tr w:rsidR="00642FB4">
        <w:trPr>
          <w:jc w:val="center"/>
        </w:trPr>
        <w:tc>
          <w:tcPr>
            <w:tcW w:w="583"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4.</w:t>
            </w:r>
          </w:p>
        </w:tc>
        <w:tc>
          <w:tcPr>
            <w:tcW w:w="4960"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Реконструкція, відновлення, розширення прикордонних доріг або певних відрізків дороги, які з'єднують населені пункти вздовж головної дороги, що веде до кордону</w:t>
            </w:r>
          </w:p>
        </w:tc>
        <w:tc>
          <w:tcPr>
            <w:tcW w:w="1721"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Повітря</w:t>
            </w:r>
          </w:p>
          <w:p w:rsidR="00642FB4" w:rsidRDefault="00642FB4">
            <w:pPr>
              <w:jc w:val="both"/>
              <w:rPr>
                <w:sz w:val="20"/>
                <w:szCs w:val="20"/>
                <w:lang w:val="uk-UA" w:eastAsia="uk-UA" w:bidi="uk-UA"/>
              </w:rPr>
            </w:pPr>
            <w:r>
              <w:rPr>
                <w:rFonts w:eastAsia="Calibri"/>
                <w:sz w:val="20"/>
                <w:szCs w:val="22"/>
                <w:lang w:val="uk-UA" w:eastAsia="uk-UA" w:bidi="uk-UA"/>
              </w:rPr>
              <w:t>Вода</w:t>
            </w:r>
          </w:p>
          <w:p w:rsidR="00642FB4" w:rsidRDefault="00642FB4">
            <w:pPr>
              <w:jc w:val="both"/>
              <w:rPr>
                <w:sz w:val="20"/>
                <w:szCs w:val="20"/>
                <w:lang w:val="uk-UA" w:eastAsia="uk-UA" w:bidi="uk-UA"/>
              </w:rPr>
            </w:pPr>
            <w:r>
              <w:rPr>
                <w:rFonts w:eastAsia="Calibri"/>
                <w:sz w:val="20"/>
                <w:szCs w:val="22"/>
                <w:lang w:val="uk-UA" w:eastAsia="uk-UA" w:bidi="uk-UA"/>
              </w:rPr>
              <w:t>Ґрунт</w:t>
            </w:r>
          </w:p>
          <w:p w:rsidR="00642FB4" w:rsidRDefault="00642FB4">
            <w:pPr>
              <w:jc w:val="both"/>
              <w:rPr>
                <w:sz w:val="20"/>
                <w:szCs w:val="20"/>
                <w:lang w:val="uk-UA" w:eastAsia="uk-UA" w:bidi="uk-UA"/>
              </w:rPr>
            </w:pPr>
            <w:r>
              <w:rPr>
                <w:rFonts w:eastAsia="Calibri"/>
                <w:sz w:val="20"/>
                <w:szCs w:val="22"/>
                <w:lang w:val="uk-UA" w:eastAsia="uk-UA" w:bidi="uk-UA"/>
              </w:rPr>
              <w:t>Зміна клімату</w:t>
            </w:r>
          </w:p>
          <w:p w:rsidR="00642FB4" w:rsidRDefault="00642FB4">
            <w:pPr>
              <w:jc w:val="both"/>
              <w:rPr>
                <w:sz w:val="20"/>
                <w:szCs w:val="20"/>
                <w:lang w:val="uk-UA" w:eastAsia="uk-UA" w:bidi="uk-UA"/>
              </w:rPr>
            </w:pPr>
            <w:r>
              <w:rPr>
                <w:rFonts w:eastAsia="Calibri"/>
                <w:sz w:val="20"/>
                <w:szCs w:val="22"/>
                <w:lang w:val="uk-UA" w:eastAsia="uk-UA" w:bidi="uk-UA"/>
              </w:rPr>
              <w:t xml:space="preserve">Біорізноманіття </w:t>
            </w:r>
          </w:p>
        </w:tc>
        <w:tc>
          <w:tcPr>
            <w:tcW w:w="1608"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Позитивний</w:t>
            </w:r>
          </w:p>
        </w:tc>
        <w:tc>
          <w:tcPr>
            <w:tcW w:w="1370" w:type="dxa"/>
            <w:vAlign w:val="center"/>
          </w:tcPr>
          <w:p w:rsidR="00642FB4" w:rsidRDefault="00642FB4">
            <w:pPr>
              <w:rPr>
                <w:sz w:val="20"/>
                <w:szCs w:val="20"/>
                <w:lang w:val="uk-UA" w:eastAsia="uk-UA" w:bidi="uk-UA"/>
              </w:rPr>
            </w:pPr>
            <w:r>
              <w:rPr>
                <w:rFonts w:eastAsia="Calibri"/>
                <w:sz w:val="20"/>
                <w:szCs w:val="22"/>
                <w:lang w:val="uk-UA" w:eastAsia="uk-UA" w:bidi="uk-UA"/>
              </w:rPr>
              <w:t>Позитивний вплив</w:t>
            </w:r>
          </w:p>
        </w:tc>
      </w:tr>
      <w:tr w:rsidR="00642FB4">
        <w:trPr>
          <w:jc w:val="center"/>
        </w:trPr>
        <w:tc>
          <w:tcPr>
            <w:tcW w:w="583"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5.</w:t>
            </w:r>
          </w:p>
        </w:tc>
        <w:tc>
          <w:tcPr>
            <w:tcW w:w="4960" w:type="dxa"/>
            <w:shd w:val="clear" w:color="auto" w:fill="auto"/>
          </w:tcPr>
          <w:p w:rsidR="00642FB4" w:rsidRDefault="00642FB4">
            <w:pPr>
              <w:rPr>
                <w:sz w:val="20"/>
                <w:szCs w:val="20"/>
                <w:lang w:val="uk-UA" w:eastAsia="uk-UA" w:bidi="uk-UA"/>
              </w:rPr>
            </w:pPr>
            <w:r>
              <w:rPr>
                <w:rFonts w:eastAsia="Calibri"/>
                <w:sz w:val="20"/>
                <w:szCs w:val="22"/>
                <w:lang w:val="uk-UA" w:eastAsia="uk-UA" w:bidi="uk-UA"/>
              </w:rPr>
              <w:t xml:space="preserve">Поліпшення / відновлення / будівництво доріг або відрізків дороги для забезпечення доступу до центрів транскордонного значення   </w:t>
            </w:r>
          </w:p>
        </w:tc>
        <w:tc>
          <w:tcPr>
            <w:tcW w:w="1721"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Повітря</w:t>
            </w:r>
          </w:p>
          <w:p w:rsidR="00642FB4" w:rsidRDefault="00642FB4">
            <w:pPr>
              <w:jc w:val="both"/>
              <w:rPr>
                <w:sz w:val="20"/>
                <w:szCs w:val="20"/>
                <w:lang w:val="uk-UA" w:eastAsia="uk-UA" w:bidi="uk-UA"/>
              </w:rPr>
            </w:pPr>
            <w:r>
              <w:rPr>
                <w:rFonts w:eastAsia="Calibri"/>
                <w:sz w:val="20"/>
                <w:szCs w:val="22"/>
                <w:lang w:val="uk-UA" w:eastAsia="uk-UA" w:bidi="uk-UA"/>
              </w:rPr>
              <w:t>Вода</w:t>
            </w:r>
          </w:p>
          <w:p w:rsidR="00642FB4" w:rsidRDefault="00642FB4">
            <w:pPr>
              <w:jc w:val="both"/>
              <w:rPr>
                <w:sz w:val="20"/>
                <w:szCs w:val="20"/>
                <w:lang w:val="uk-UA" w:eastAsia="uk-UA" w:bidi="uk-UA"/>
              </w:rPr>
            </w:pPr>
            <w:r>
              <w:rPr>
                <w:rFonts w:eastAsia="Calibri"/>
                <w:sz w:val="20"/>
                <w:szCs w:val="22"/>
                <w:lang w:val="uk-UA" w:eastAsia="uk-UA" w:bidi="uk-UA"/>
              </w:rPr>
              <w:t>Ґрунт</w:t>
            </w:r>
          </w:p>
          <w:p w:rsidR="00642FB4" w:rsidRDefault="00642FB4">
            <w:pPr>
              <w:jc w:val="both"/>
              <w:rPr>
                <w:sz w:val="20"/>
                <w:szCs w:val="20"/>
                <w:lang w:val="uk-UA" w:eastAsia="uk-UA" w:bidi="uk-UA"/>
              </w:rPr>
            </w:pPr>
            <w:r>
              <w:rPr>
                <w:rFonts w:eastAsia="Calibri"/>
                <w:sz w:val="20"/>
                <w:szCs w:val="22"/>
                <w:lang w:val="uk-UA" w:eastAsia="uk-UA" w:bidi="uk-UA"/>
              </w:rPr>
              <w:t>Зміна клімату</w:t>
            </w:r>
          </w:p>
          <w:p w:rsidR="00642FB4" w:rsidRDefault="00642FB4">
            <w:pPr>
              <w:jc w:val="both"/>
              <w:rPr>
                <w:sz w:val="20"/>
                <w:szCs w:val="20"/>
                <w:lang w:val="uk-UA" w:eastAsia="uk-UA" w:bidi="uk-UA"/>
              </w:rPr>
            </w:pPr>
            <w:r>
              <w:rPr>
                <w:rFonts w:eastAsia="Calibri"/>
                <w:sz w:val="20"/>
                <w:szCs w:val="22"/>
                <w:lang w:val="uk-UA" w:eastAsia="uk-UA" w:bidi="uk-UA"/>
              </w:rPr>
              <w:t>Біорізноманіття</w:t>
            </w:r>
          </w:p>
        </w:tc>
        <w:tc>
          <w:tcPr>
            <w:tcW w:w="1608"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Позитивний</w:t>
            </w:r>
          </w:p>
        </w:tc>
        <w:tc>
          <w:tcPr>
            <w:tcW w:w="1370" w:type="dxa"/>
            <w:vAlign w:val="center"/>
          </w:tcPr>
          <w:p w:rsidR="00642FB4" w:rsidRDefault="00642FB4">
            <w:pPr>
              <w:rPr>
                <w:sz w:val="20"/>
                <w:szCs w:val="20"/>
                <w:lang w:val="uk-UA" w:eastAsia="uk-UA" w:bidi="uk-UA"/>
              </w:rPr>
            </w:pPr>
            <w:r>
              <w:rPr>
                <w:rFonts w:eastAsia="Calibri"/>
                <w:sz w:val="20"/>
                <w:szCs w:val="22"/>
                <w:lang w:val="uk-UA" w:eastAsia="uk-UA" w:bidi="uk-UA"/>
              </w:rPr>
              <w:t>Позитивний вплив</w:t>
            </w:r>
          </w:p>
        </w:tc>
      </w:tr>
      <w:tr w:rsidR="00642FB4">
        <w:trPr>
          <w:jc w:val="center"/>
        </w:trPr>
        <w:tc>
          <w:tcPr>
            <w:tcW w:w="583"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6.</w:t>
            </w:r>
          </w:p>
        </w:tc>
        <w:tc>
          <w:tcPr>
            <w:tcW w:w="4960"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Розробка спільних стратегій / політики / планів з метою поліпшення транскордонної транспортної інфраструктури</w:t>
            </w:r>
          </w:p>
        </w:tc>
        <w:tc>
          <w:tcPr>
            <w:tcW w:w="1721"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608"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370"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jc w:val="center"/>
        </w:trPr>
        <w:tc>
          <w:tcPr>
            <w:tcW w:w="583"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7.</w:t>
            </w:r>
          </w:p>
        </w:tc>
        <w:tc>
          <w:tcPr>
            <w:tcW w:w="4960"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Розвиток транскордонних зв'язків, інформації та інтегрованих комунікаційних мереж та послуг</w:t>
            </w:r>
          </w:p>
        </w:tc>
        <w:tc>
          <w:tcPr>
            <w:tcW w:w="1721"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608"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370"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jc w:val="center"/>
        </w:trPr>
        <w:tc>
          <w:tcPr>
            <w:tcW w:w="583"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8.</w:t>
            </w:r>
          </w:p>
        </w:tc>
        <w:tc>
          <w:tcPr>
            <w:tcW w:w="4960"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Модернізація існуючих об'єктів які би надали можливість налагодити зв'язки між громадами та громадськими послугами, які сприяють співпраці на більш широкій транскордонній та міжнародній основі</w:t>
            </w:r>
          </w:p>
        </w:tc>
        <w:tc>
          <w:tcPr>
            <w:tcW w:w="1721"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608"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370" w:type="dxa"/>
            <w:vAlign w:val="center"/>
          </w:tcPr>
          <w:p w:rsidR="00642FB4" w:rsidRDefault="00642FB4">
            <w:pPr>
              <w:rPr>
                <w:sz w:val="20"/>
                <w:szCs w:val="20"/>
                <w:lang w:val="uk-UA" w:eastAsia="uk-UA" w:bidi="uk-UA"/>
              </w:rPr>
            </w:pPr>
            <w:r>
              <w:rPr>
                <w:rFonts w:eastAsia="Calibri"/>
                <w:sz w:val="20"/>
                <w:szCs w:val="22"/>
                <w:lang w:val="uk-UA" w:eastAsia="uk-UA" w:bidi="uk-UA"/>
              </w:rPr>
              <w:t>Позитивний вплив</w:t>
            </w:r>
          </w:p>
        </w:tc>
      </w:tr>
    </w:tbl>
    <w:p w:rsidR="00642FB4" w:rsidRDefault="00642FB4">
      <w:pPr>
        <w:spacing w:before="60" w:after="60" w:line="288" w:lineRule="auto"/>
        <w:ind w:left="720"/>
        <w:jc w:val="both"/>
        <w:rPr>
          <w:rFonts w:eastAsia="EUAlbertina-Regular-Identity-H"/>
          <w:bCs/>
          <w:lang w:val="uk-UA" w:eastAsia="uk-UA" w:bidi="uk-UA"/>
        </w:rPr>
      </w:pPr>
    </w:p>
    <w:p w:rsidR="00642FB4" w:rsidRDefault="00642FB4">
      <w:pPr>
        <w:spacing w:before="60" w:after="60" w:line="288" w:lineRule="auto"/>
        <w:jc w:val="both"/>
        <w:rPr>
          <w:rFonts w:cs="Arial"/>
          <w:b/>
          <w:lang w:val="uk-UA" w:eastAsia="uk-UA" w:bidi="uk-UA"/>
        </w:rPr>
      </w:pPr>
      <w:r>
        <w:rPr>
          <w:rFonts w:eastAsia="Calibri"/>
          <w:b/>
          <w:szCs w:val="22"/>
          <w:lang w:val="uk-UA" w:eastAsia="uk-UA" w:bidi="uk-UA"/>
        </w:rPr>
        <w:t>OT8 - СПІЛЬНІ ПРОБЛЕМИ У ГАЛУЗІ БЕЗПЕКИ</w:t>
      </w:r>
    </w:p>
    <w:p w:rsidR="00642FB4" w:rsidRDefault="00642FB4">
      <w:pPr>
        <w:spacing w:before="60" w:after="60" w:line="288" w:lineRule="auto"/>
        <w:jc w:val="both"/>
        <w:rPr>
          <w:rFonts w:cs="Arial"/>
          <w:i/>
          <w:lang w:val="uk-UA" w:eastAsia="uk-UA" w:bidi="uk-UA"/>
        </w:rPr>
      </w:pPr>
      <w:r>
        <w:rPr>
          <w:rFonts w:eastAsia="Calibri"/>
          <w:b/>
          <w:i/>
          <w:szCs w:val="22"/>
          <w:lang w:val="uk-UA" w:eastAsia="uk-UA" w:bidi="uk-UA"/>
        </w:rPr>
        <w:t xml:space="preserve">Ціль 4: </w:t>
      </w:r>
      <w:r>
        <w:rPr>
          <w:rFonts w:eastAsia="Calibri"/>
          <w:i/>
          <w:szCs w:val="22"/>
          <w:lang w:val="uk-UA" w:eastAsia="uk-UA" w:bidi="uk-UA"/>
        </w:rPr>
        <w:t>Спільні проблеми у галузі транскордонної безпеки,  доступу до охорони здоров'я, управління природними та антропогенними ризиками та надзвичайними ситуаціями у спільних проектах</w:t>
      </w:r>
    </w:p>
    <w:p w:rsidR="00642FB4" w:rsidRDefault="00642FB4">
      <w:pPr>
        <w:spacing w:before="60" w:after="60" w:line="288" w:lineRule="auto"/>
        <w:jc w:val="both"/>
        <w:rPr>
          <w:rFonts w:cs="Arial"/>
          <w:i/>
          <w:lang w:val="uk-UA" w:eastAsia="uk-UA" w:bidi="uk-UA"/>
        </w:rPr>
      </w:pPr>
    </w:p>
    <w:p w:rsidR="00642FB4" w:rsidRDefault="00642FB4">
      <w:pPr>
        <w:spacing w:before="60" w:after="60" w:line="288" w:lineRule="auto"/>
        <w:jc w:val="both"/>
        <w:rPr>
          <w:rFonts w:cs="Arial"/>
          <w:b/>
          <w:lang w:val="uk-UA" w:eastAsia="uk-UA" w:bidi="uk-UA"/>
        </w:rPr>
      </w:pPr>
      <w:r>
        <w:rPr>
          <w:rFonts w:eastAsia="Calibri"/>
          <w:b/>
          <w:szCs w:val="22"/>
          <w:lang w:val="uk-UA" w:eastAsia="uk-UA" w:bidi="uk-UA"/>
        </w:rPr>
        <w:t>Пріоритет 4.1 – Підтримка розвитку медичних послуг та доступ до охорони здоров'я</w:t>
      </w:r>
    </w:p>
    <w:tbl>
      <w:tblPr>
        <w:tblW w:w="10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4"/>
        <w:gridCol w:w="4606"/>
        <w:gridCol w:w="1646"/>
        <w:gridCol w:w="1533"/>
        <w:gridCol w:w="1453"/>
      </w:tblGrid>
      <w:tr w:rsidR="00642FB4">
        <w:trPr>
          <w:tblHeader/>
          <w:jc w:val="center"/>
        </w:trPr>
        <w:tc>
          <w:tcPr>
            <w:tcW w:w="555"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Порядк. №</w:t>
            </w:r>
          </w:p>
        </w:tc>
        <w:tc>
          <w:tcPr>
            <w:tcW w:w="5298"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Індикативні заходи</w:t>
            </w:r>
          </w:p>
        </w:tc>
        <w:tc>
          <w:tcPr>
            <w:tcW w:w="1553"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Екологічні аспекти і цілі, які будуть розглянуті</w:t>
            </w:r>
          </w:p>
        </w:tc>
        <w:tc>
          <w:tcPr>
            <w:tcW w:w="1546"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Потенційний вплив</w:t>
            </w:r>
          </w:p>
        </w:tc>
        <w:tc>
          <w:tcPr>
            <w:tcW w:w="1290" w:type="dxa"/>
          </w:tcPr>
          <w:p w:rsidR="00642FB4" w:rsidRDefault="00642FB4">
            <w:pPr>
              <w:jc w:val="both"/>
              <w:rPr>
                <w:b/>
                <w:sz w:val="20"/>
                <w:szCs w:val="20"/>
                <w:lang w:val="uk-UA" w:eastAsia="uk-UA" w:bidi="uk-UA"/>
              </w:rPr>
            </w:pPr>
            <w:r>
              <w:rPr>
                <w:rFonts w:eastAsia="Calibri"/>
                <w:b/>
                <w:sz w:val="20"/>
                <w:szCs w:val="22"/>
                <w:lang w:val="uk-UA" w:eastAsia="uk-UA" w:bidi="uk-UA"/>
              </w:rPr>
              <w:t>Оцінка впливу на навколишнє середовище</w:t>
            </w:r>
          </w:p>
        </w:tc>
      </w:tr>
      <w:tr w:rsidR="00642FB4">
        <w:trPr>
          <w:jc w:val="center"/>
        </w:trPr>
        <w:tc>
          <w:tcPr>
            <w:tcW w:w="555"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1.</w:t>
            </w:r>
          </w:p>
        </w:tc>
        <w:tc>
          <w:tcPr>
            <w:tcW w:w="5298"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Спільні заходи, спрямовані на розширення доступу до охорони здоров'я в прикордонній зоні за допомогою будівництва / відновлення / модернізації інфраструктури служб охорони здоров'я (у тому числі шляхом використання відновлюваних джерел енергії тощо)</w:t>
            </w:r>
          </w:p>
        </w:tc>
        <w:tc>
          <w:tcPr>
            <w:tcW w:w="1553" w:type="dxa"/>
            <w:shd w:val="clear" w:color="auto" w:fill="auto"/>
          </w:tcPr>
          <w:p w:rsidR="00642FB4" w:rsidRDefault="00642FB4">
            <w:pPr>
              <w:rPr>
                <w:sz w:val="20"/>
                <w:szCs w:val="20"/>
                <w:lang w:val="uk-UA" w:eastAsia="uk-UA" w:bidi="uk-UA"/>
              </w:rPr>
            </w:pPr>
            <w:r>
              <w:rPr>
                <w:rFonts w:eastAsia="Calibri"/>
                <w:sz w:val="20"/>
                <w:szCs w:val="22"/>
                <w:lang w:val="uk-UA" w:eastAsia="uk-UA" w:bidi="uk-UA"/>
              </w:rPr>
              <w:t>Повітря</w:t>
            </w:r>
          </w:p>
          <w:p w:rsidR="00642FB4" w:rsidRDefault="00642FB4">
            <w:pPr>
              <w:rPr>
                <w:sz w:val="20"/>
                <w:szCs w:val="20"/>
                <w:lang w:val="uk-UA" w:eastAsia="uk-UA" w:bidi="uk-UA"/>
              </w:rPr>
            </w:pPr>
            <w:r>
              <w:rPr>
                <w:rFonts w:eastAsia="Calibri"/>
                <w:sz w:val="20"/>
                <w:szCs w:val="22"/>
                <w:lang w:val="uk-UA" w:eastAsia="uk-UA" w:bidi="uk-UA"/>
              </w:rPr>
              <w:t>Вода</w:t>
            </w:r>
          </w:p>
          <w:p w:rsidR="00642FB4" w:rsidRDefault="00642FB4">
            <w:pPr>
              <w:rPr>
                <w:sz w:val="20"/>
                <w:szCs w:val="20"/>
                <w:lang w:val="uk-UA" w:eastAsia="uk-UA" w:bidi="uk-UA"/>
              </w:rPr>
            </w:pPr>
            <w:r>
              <w:rPr>
                <w:rFonts w:eastAsia="Calibri"/>
                <w:sz w:val="20"/>
                <w:szCs w:val="22"/>
                <w:lang w:val="uk-UA" w:eastAsia="uk-UA" w:bidi="uk-UA"/>
              </w:rPr>
              <w:t>Ґрунт</w:t>
            </w:r>
          </w:p>
          <w:p w:rsidR="00642FB4" w:rsidRDefault="00642FB4">
            <w:pPr>
              <w:rPr>
                <w:sz w:val="20"/>
                <w:szCs w:val="20"/>
                <w:lang w:val="uk-UA" w:eastAsia="uk-UA" w:bidi="uk-UA"/>
              </w:rPr>
            </w:pPr>
            <w:r>
              <w:rPr>
                <w:rFonts w:eastAsia="Calibri"/>
                <w:sz w:val="20"/>
                <w:szCs w:val="22"/>
                <w:lang w:val="uk-UA" w:eastAsia="uk-UA" w:bidi="uk-UA"/>
              </w:rPr>
              <w:t>Зміна клімату</w:t>
            </w:r>
          </w:p>
          <w:p w:rsidR="00642FB4" w:rsidRDefault="00642FB4">
            <w:pPr>
              <w:rPr>
                <w:sz w:val="20"/>
                <w:szCs w:val="20"/>
                <w:lang w:val="uk-UA" w:eastAsia="uk-UA" w:bidi="uk-UA"/>
              </w:rPr>
            </w:pPr>
            <w:r>
              <w:rPr>
                <w:rFonts w:eastAsia="Calibri"/>
                <w:sz w:val="20"/>
                <w:szCs w:val="22"/>
                <w:lang w:val="uk-UA" w:eastAsia="uk-UA" w:bidi="uk-UA"/>
              </w:rPr>
              <w:t>Управління відходами</w:t>
            </w:r>
          </w:p>
          <w:p w:rsidR="00642FB4" w:rsidRDefault="00642FB4">
            <w:pPr>
              <w:rPr>
                <w:sz w:val="20"/>
                <w:szCs w:val="20"/>
                <w:lang w:val="uk-UA" w:eastAsia="uk-UA" w:bidi="uk-UA"/>
              </w:rPr>
            </w:pPr>
            <w:r>
              <w:rPr>
                <w:rFonts w:eastAsia="Calibri"/>
                <w:sz w:val="20"/>
                <w:szCs w:val="22"/>
                <w:lang w:val="uk-UA" w:eastAsia="uk-UA" w:bidi="uk-UA"/>
              </w:rPr>
              <w:t>Населення та громадське здоров'я</w:t>
            </w:r>
          </w:p>
        </w:tc>
        <w:tc>
          <w:tcPr>
            <w:tcW w:w="1546" w:type="dxa"/>
            <w:shd w:val="clear" w:color="auto" w:fill="auto"/>
          </w:tcPr>
          <w:p w:rsidR="00642FB4" w:rsidRDefault="00642FB4">
            <w:pPr>
              <w:rPr>
                <w:sz w:val="20"/>
                <w:szCs w:val="20"/>
                <w:lang w:val="uk-UA" w:eastAsia="uk-UA" w:bidi="uk-UA"/>
              </w:rPr>
            </w:pPr>
            <w:r>
              <w:rPr>
                <w:rFonts w:eastAsia="Calibri"/>
                <w:sz w:val="20"/>
                <w:szCs w:val="22"/>
                <w:lang w:val="uk-UA" w:eastAsia="uk-UA" w:bidi="uk-UA"/>
              </w:rPr>
              <w:t>Позитивний</w:t>
            </w:r>
          </w:p>
        </w:tc>
        <w:tc>
          <w:tcPr>
            <w:tcW w:w="1290" w:type="dxa"/>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jc w:val="center"/>
        </w:trPr>
        <w:tc>
          <w:tcPr>
            <w:tcW w:w="555"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2.</w:t>
            </w:r>
          </w:p>
        </w:tc>
        <w:tc>
          <w:tcPr>
            <w:tcW w:w="5298"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 xml:space="preserve">Розробка стаціонарних та мобільних лабораторій для виявлення / клінічного моніторингу хвороб та запобігання транскордонним епідеміям </w:t>
            </w:r>
          </w:p>
        </w:tc>
        <w:tc>
          <w:tcPr>
            <w:tcW w:w="1553" w:type="dxa"/>
            <w:shd w:val="clear" w:color="auto" w:fill="auto"/>
            <w:vAlign w:val="center"/>
          </w:tcPr>
          <w:p w:rsidR="00642FB4" w:rsidRDefault="00642FB4">
            <w:pPr>
              <w:rPr>
                <w:sz w:val="20"/>
                <w:szCs w:val="20"/>
                <w:lang w:val="uk-UA" w:eastAsia="uk-UA" w:bidi="uk-UA"/>
              </w:rPr>
            </w:pPr>
            <w:r>
              <w:rPr>
                <w:rFonts w:eastAsia="Calibri"/>
                <w:sz w:val="20"/>
                <w:szCs w:val="22"/>
                <w:lang w:val="uk-UA" w:eastAsia="uk-UA" w:bidi="uk-UA"/>
              </w:rPr>
              <w:t>Населення та громадське здоров'я</w:t>
            </w:r>
          </w:p>
        </w:tc>
        <w:tc>
          <w:tcPr>
            <w:tcW w:w="1546"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Позитивний</w:t>
            </w:r>
          </w:p>
        </w:tc>
        <w:tc>
          <w:tcPr>
            <w:tcW w:w="1290" w:type="dxa"/>
            <w:vAlign w:val="center"/>
          </w:tcPr>
          <w:p w:rsidR="00642FB4" w:rsidRDefault="00642FB4">
            <w:pPr>
              <w:rPr>
                <w:sz w:val="20"/>
                <w:szCs w:val="20"/>
                <w:lang w:val="uk-UA" w:eastAsia="uk-UA" w:bidi="uk-UA"/>
              </w:rPr>
            </w:pPr>
            <w:r>
              <w:rPr>
                <w:rFonts w:eastAsia="Calibri"/>
                <w:sz w:val="20"/>
                <w:szCs w:val="22"/>
                <w:lang w:val="uk-UA" w:eastAsia="uk-UA" w:bidi="uk-UA"/>
              </w:rPr>
              <w:t xml:space="preserve">Позитивний </w:t>
            </w:r>
          </w:p>
          <w:p w:rsidR="00642FB4" w:rsidRDefault="00642FB4">
            <w:pPr>
              <w:rPr>
                <w:sz w:val="20"/>
                <w:szCs w:val="20"/>
                <w:lang w:val="uk-UA" w:eastAsia="uk-UA" w:bidi="uk-UA"/>
              </w:rPr>
            </w:pPr>
            <w:r>
              <w:rPr>
                <w:rFonts w:eastAsia="Calibri"/>
                <w:sz w:val="20"/>
                <w:szCs w:val="22"/>
                <w:lang w:val="uk-UA" w:eastAsia="uk-UA" w:bidi="uk-UA"/>
              </w:rPr>
              <w:t>вплив</w:t>
            </w:r>
          </w:p>
        </w:tc>
      </w:tr>
      <w:tr w:rsidR="00642FB4">
        <w:trPr>
          <w:jc w:val="center"/>
        </w:trPr>
        <w:tc>
          <w:tcPr>
            <w:tcW w:w="555"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3.</w:t>
            </w:r>
          </w:p>
        </w:tc>
        <w:tc>
          <w:tcPr>
            <w:tcW w:w="5298"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Оснащення специфічної інфраструктури охорони громадського здоров'я (амбулаторії, об'єкти підрозділів швидкої медичної допомоги, медичні центри, інтегроване соціальне втручання і т.д.)</w:t>
            </w:r>
          </w:p>
        </w:tc>
        <w:tc>
          <w:tcPr>
            <w:tcW w:w="1553" w:type="dxa"/>
            <w:shd w:val="clear" w:color="auto" w:fill="auto"/>
            <w:vAlign w:val="center"/>
          </w:tcPr>
          <w:p w:rsidR="00642FB4" w:rsidRDefault="00642FB4">
            <w:pPr>
              <w:rPr>
                <w:sz w:val="20"/>
                <w:szCs w:val="20"/>
                <w:lang w:val="uk-UA" w:eastAsia="uk-UA" w:bidi="uk-UA"/>
              </w:rPr>
            </w:pPr>
            <w:r>
              <w:rPr>
                <w:rFonts w:eastAsia="Calibri"/>
                <w:sz w:val="20"/>
                <w:szCs w:val="22"/>
                <w:lang w:val="uk-UA" w:eastAsia="uk-UA" w:bidi="uk-UA"/>
              </w:rPr>
              <w:t>Населення та громадське здоров'я</w:t>
            </w:r>
          </w:p>
        </w:tc>
        <w:tc>
          <w:tcPr>
            <w:tcW w:w="1546"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290"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jc w:val="center"/>
        </w:trPr>
        <w:tc>
          <w:tcPr>
            <w:tcW w:w="555"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4.</w:t>
            </w:r>
          </w:p>
        </w:tc>
        <w:tc>
          <w:tcPr>
            <w:tcW w:w="5298"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Спільні навчальні програми та обміни досвідом, мережі підтримки роботи специфічних послуг охорони здоров'я, телемедицини</w:t>
            </w:r>
          </w:p>
        </w:tc>
        <w:tc>
          <w:tcPr>
            <w:tcW w:w="1553"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546"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290"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jc w:val="center"/>
        </w:trPr>
        <w:tc>
          <w:tcPr>
            <w:tcW w:w="555"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5.</w:t>
            </w:r>
          </w:p>
        </w:tc>
        <w:tc>
          <w:tcPr>
            <w:tcW w:w="5298"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Обмін досвідом, спільна діяльність з метою забезпечення сумісності медичних довідників, спільних діагностичних програм</w:t>
            </w:r>
          </w:p>
        </w:tc>
        <w:tc>
          <w:tcPr>
            <w:tcW w:w="1553"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546"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290"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jc w:val="center"/>
        </w:trPr>
        <w:tc>
          <w:tcPr>
            <w:tcW w:w="555"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6.</w:t>
            </w:r>
          </w:p>
        </w:tc>
        <w:tc>
          <w:tcPr>
            <w:tcW w:w="5298"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Кампанії усвідомлення щодо громадської освіти для охорони здоров'я, хвороби та запобігання епідеміям</w:t>
            </w:r>
          </w:p>
        </w:tc>
        <w:tc>
          <w:tcPr>
            <w:tcW w:w="1553"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546"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290"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bl>
    <w:p w:rsidR="00642FB4" w:rsidRDefault="00642FB4">
      <w:pPr>
        <w:spacing w:before="60" w:after="60" w:line="288" w:lineRule="auto"/>
        <w:ind w:left="720"/>
        <w:jc w:val="both"/>
        <w:rPr>
          <w:rFonts w:eastAsia="EUAlbertina-Regular-Identity-H"/>
          <w:bCs/>
          <w:lang w:val="uk-UA" w:eastAsia="uk-UA" w:bidi="uk-UA"/>
        </w:rPr>
      </w:pPr>
    </w:p>
    <w:p w:rsidR="00642FB4" w:rsidRDefault="00642FB4">
      <w:pPr>
        <w:spacing w:before="60" w:after="60" w:line="288" w:lineRule="auto"/>
        <w:jc w:val="both"/>
        <w:rPr>
          <w:rFonts w:cs="Arial"/>
          <w:b/>
          <w:lang w:val="uk-UA" w:eastAsia="uk-UA" w:bidi="uk-UA"/>
        </w:rPr>
      </w:pPr>
      <w:r>
        <w:rPr>
          <w:rFonts w:eastAsia="Calibri"/>
          <w:b/>
          <w:szCs w:val="22"/>
          <w:lang w:val="uk-UA" w:eastAsia="uk-UA" w:bidi="uk-UA"/>
        </w:rPr>
        <w:t>Пріоритет 4.2 – Підтримка спільних заходів щодо запобігання стихійним лихам та лихам викликаним діяльністю людини, а також підтримка спільних заходів в надзвичайних ситуаціях</w:t>
      </w:r>
    </w:p>
    <w:tbl>
      <w:tblPr>
        <w:tblW w:w="10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4"/>
        <w:gridCol w:w="4636"/>
        <w:gridCol w:w="1668"/>
        <w:gridCol w:w="1481"/>
        <w:gridCol w:w="1453"/>
      </w:tblGrid>
      <w:tr w:rsidR="00642FB4">
        <w:trPr>
          <w:jc w:val="center"/>
        </w:trPr>
        <w:tc>
          <w:tcPr>
            <w:tcW w:w="528"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Порядк. №</w:t>
            </w:r>
          </w:p>
        </w:tc>
        <w:tc>
          <w:tcPr>
            <w:tcW w:w="5392"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Індикативні заходи</w:t>
            </w:r>
          </w:p>
        </w:tc>
        <w:tc>
          <w:tcPr>
            <w:tcW w:w="1559"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Екологічні аспекти і цілі, які будуть розглянуті</w:t>
            </w:r>
          </w:p>
        </w:tc>
        <w:tc>
          <w:tcPr>
            <w:tcW w:w="1322"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Потенційний вплив</w:t>
            </w:r>
          </w:p>
        </w:tc>
        <w:tc>
          <w:tcPr>
            <w:tcW w:w="1441" w:type="dxa"/>
          </w:tcPr>
          <w:p w:rsidR="00642FB4" w:rsidRDefault="00642FB4">
            <w:pPr>
              <w:jc w:val="both"/>
              <w:rPr>
                <w:b/>
                <w:sz w:val="20"/>
                <w:szCs w:val="20"/>
                <w:lang w:val="uk-UA" w:eastAsia="uk-UA" w:bidi="uk-UA"/>
              </w:rPr>
            </w:pPr>
            <w:r>
              <w:rPr>
                <w:rFonts w:eastAsia="Calibri"/>
                <w:b/>
                <w:sz w:val="20"/>
                <w:szCs w:val="22"/>
                <w:lang w:val="uk-UA" w:eastAsia="uk-UA" w:bidi="uk-UA"/>
              </w:rPr>
              <w:t>Оцінка впливу на навколишнє середовище</w:t>
            </w:r>
          </w:p>
        </w:tc>
      </w:tr>
      <w:tr w:rsidR="00642FB4">
        <w:trPr>
          <w:jc w:val="center"/>
        </w:trPr>
        <w:tc>
          <w:tcPr>
            <w:tcW w:w="528"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1.</w:t>
            </w:r>
          </w:p>
        </w:tc>
        <w:tc>
          <w:tcPr>
            <w:tcW w:w="5392"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Спільні заходи щодо запобігання зсувам і повеням в транскордонних районах</w:t>
            </w:r>
          </w:p>
        </w:tc>
        <w:tc>
          <w:tcPr>
            <w:tcW w:w="155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 xml:space="preserve">Ґрунт </w:t>
            </w:r>
          </w:p>
          <w:p w:rsidR="00642FB4" w:rsidRDefault="00642FB4">
            <w:pPr>
              <w:jc w:val="both"/>
              <w:rPr>
                <w:sz w:val="20"/>
                <w:szCs w:val="20"/>
                <w:lang w:val="uk-UA" w:eastAsia="uk-UA" w:bidi="uk-UA"/>
              </w:rPr>
            </w:pPr>
            <w:r>
              <w:rPr>
                <w:rFonts w:eastAsia="Calibri"/>
                <w:sz w:val="20"/>
                <w:szCs w:val="22"/>
                <w:lang w:val="uk-UA" w:eastAsia="uk-UA" w:bidi="uk-UA"/>
              </w:rPr>
              <w:t>Вода</w:t>
            </w:r>
          </w:p>
          <w:p w:rsidR="00642FB4" w:rsidRDefault="00642FB4">
            <w:pPr>
              <w:jc w:val="both"/>
              <w:rPr>
                <w:sz w:val="20"/>
                <w:szCs w:val="20"/>
                <w:lang w:val="uk-UA" w:eastAsia="uk-UA" w:bidi="uk-UA"/>
              </w:rPr>
            </w:pPr>
            <w:r>
              <w:rPr>
                <w:rFonts w:eastAsia="Calibri"/>
                <w:sz w:val="20"/>
                <w:szCs w:val="22"/>
                <w:lang w:val="uk-UA" w:eastAsia="uk-UA" w:bidi="uk-UA"/>
              </w:rPr>
              <w:t>Управління відходами</w:t>
            </w:r>
          </w:p>
          <w:p w:rsidR="00642FB4" w:rsidRDefault="00642FB4">
            <w:pPr>
              <w:jc w:val="both"/>
              <w:rPr>
                <w:sz w:val="20"/>
                <w:szCs w:val="20"/>
                <w:lang w:val="uk-UA" w:eastAsia="uk-UA" w:bidi="uk-UA"/>
              </w:rPr>
            </w:pPr>
            <w:r>
              <w:rPr>
                <w:rFonts w:eastAsia="Calibri"/>
                <w:sz w:val="20"/>
                <w:szCs w:val="22"/>
                <w:lang w:val="uk-UA" w:eastAsia="uk-UA" w:bidi="uk-UA"/>
              </w:rPr>
              <w:t>Біорізноманіття</w:t>
            </w:r>
          </w:p>
        </w:tc>
        <w:tc>
          <w:tcPr>
            <w:tcW w:w="1322"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Позитивний</w:t>
            </w:r>
          </w:p>
        </w:tc>
        <w:tc>
          <w:tcPr>
            <w:tcW w:w="1441" w:type="dxa"/>
            <w:vAlign w:val="center"/>
          </w:tcPr>
          <w:p w:rsidR="00642FB4" w:rsidRDefault="00642FB4">
            <w:pPr>
              <w:ind w:left="-18" w:firstLine="18"/>
              <w:rPr>
                <w:sz w:val="20"/>
                <w:szCs w:val="20"/>
                <w:lang w:val="uk-UA" w:eastAsia="uk-UA" w:bidi="uk-UA"/>
              </w:rPr>
            </w:pPr>
            <w:r>
              <w:rPr>
                <w:rFonts w:eastAsia="Calibri"/>
                <w:sz w:val="20"/>
                <w:szCs w:val="22"/>
                <w:lang w:val="uk-UA" w:eastAsia="uk-UA" w:bidi="uk-UA"/>
              </w:rPr>
              <w:t>Позитивний вплив</w:t>
            </w:r>
          </w:p>
        </w:tc>
      </w:tr>
      <w:tr w:rsidR="00642FB4">
        <w:trPr>
          <w:jc w:val="center"/>
        </w:trPr>
        <w:tc>
          <w:tcPr>
            <w:tcW w:w="528"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2.</w:t>
            </w:r>
          </w:p>
        </w:tc>
        <w:tc>
          <w:tcPr>
            <w:tcW w:w="5392"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Спільні інтегровані системи ефективного моніторингу та запобігання стихійним лихам і пом'якшення їх наслідків</w:t>
            </w:r>
          </w:p>
        </w:tc>
        <w:tc>
          <w:tcPr>
            <w:tcW w:w="155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 xml:space="preserve">Ґрунт </w:t>
            </w:r>
          </w:p>
          <w:p w:rsidR="00642FB4" w:rsidRDefault="00642FB4">
            <w:pPr>
              <w:jc w:val="both"/>
              <w:rPr>
                <w:sz w:val="20"/>
                <w:szCs w:val="20"/>
                <w:lang w:val="uk-UA" w:eastAsia="uk-UA" w:bidi="uk-UA"/>
              </w:rPr>
            </w:pPr>
            <w:r>
              <w:rPr>
                <w:rFonts w:eastAsia="Calibri"/>
                <w:sz w:val="20"/>
                <w:szCs w:val="22"/>
                <w:lang w:val="uk-UA" w:eastAsia="uk-UA" w:bidi="uk-UA"/>
              </w:rPr>
              <w:t>Вода</w:t>
            </w:r>
          </w:p>
          <w:p w:rsidR="00642FB4" w:rsidRDefault="00642FB4">
            <w:pPr>
              <w:jc w:val="both"/>
              <w:rPr>
                <w:sz w:val="20"/>
                <w:szCs w:val="20"/>
                <w:lang w:val="uk-UA" w:eastAsia="uk-UA" w:bidi="uk-UA"/>
              </w:rPr>
            </w:pPr>
            <w:r>
              <w:rPr>
                <w:rFonts w:eastAsia="Calibri"/>
                <w:sz w:val="20"/>
                <w:szCs w:val="22"/>
                <w:lang w:val="uk-UA" w:eastAsia="uk-UA" w:bidi="uk-UA"/>
              </w:rPr>
              <w:t>Управління відходами</w:t>
            </w:r>
          </w:p>
          <w:p w:rsidR="00642FB4" w:rsidRDefault="00642FB4">
            <w:pPr>
              <w:jc w:val="both"/>
              <w:rPr>
                <w:sz w:val="20"/>
                <w:szCs w:val="20"/>
                <w:lang w:val="uk-UA" w:eastAsia="uk-UA" w:bidi="uk-UA"/>
              </w:rPr>
            </w:pPr>
            <w:r>
              <w:rPr>
                <w:rFonts w:eastAsia="Calibri"/>
                <w:sz w:val="20"/>
                <w:szCs w:val="22"/>
                <w:lang w:val="uk-UA" w:eastAsia="uk-UA" w:bidi="uk-UA"/>
              </w:rPr>
              <w:t>Біорізноманіття</w:t>
            </w:r>
          </w:p>
        </w:tc>
        <w:tc>
          <w:tcPr>
            <w:tcW w:w="1322"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Позитивний</w:t>
            </w:r>
          </w:p>
        </w:tc>
        <w:tc>
          <w:tcPr>
            <w:tcW w:w="1441" w:type="dxa"/>
            <w:vAlign w:val="center"/>
          </w:tcPr>
          <w:p w:rsidR="00642FB4" w:rsidRDefault="00642FB4">
            <w:pPr>
              <w:ind w:left="-18" w:firstLine="18"/>
              <w:rPr>
                <w:sz w:val="20"/>
                <w:szCs w:val="20"/>
                <w:lang w:val="uk-UA" w:eastAsia="uk-UA" w:bidi="uk-UA"/>
              </w:rPr>
            </w:pPr>
            <w:r>
              <w:rPr>
                <w:rFonts w:eastAsia="Calibri"/>
                <w:sz w:val="20"/>
                <w:szCs w:val="22"/>
                <w:lang w:val="uk-UA" w:eastAsia="uk-UA" w:bidi="uk-UA"/>
              </w:rPr>
              <w:t>Позитивний вплив</w:t>
            </w:r>
          </w:p>
        </w:tc>
      </w:tr>
      <w:tr w:rsidR="00642FB4">
        <w:trPr>
          <w:jc w:val="center"/>
        </w:trPr>
        <w:tc>
          <w:tcPr>
            <w:tcW w:w="528"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3.</w:t>
            </w:r>
          </w:p>
        </w:tc>
        <w:tc>
          <w:tcPr>
            <w:tcW w:w="5392"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Спільні стратегії та інструменти для управління та запобігання ризикам, у тому числі планів спільних дій</w:t>
            </w:r>
          </w:p>
        </w:tc>
        <w:tc>
          <w:tcPr>
            <w:tcW w:w="155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322"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441"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jc w:val="center"/>
        </w:trPr>
        <w:tc>
          <w:tcPr>
            <w:tcW w:w="528"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4.</w:t>
            </w:r>
          </w:p>
        </w:tc>
        <w:tc>
          <w:tcPr>
            <w:tcW w:w="5392"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Розробка спільних карт та детальних баз даних (із зазначенням природних і технологічних ризиків та землекористування для органів регіонального планування, природоохоронних відомств та екстрених служб)</w:t>
            </w:r>
          </w:p>
        </w:tc>
        <w:tc>
          <w:tcPr>
            <w:tcW w:w="155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 xml:space="preserve">Ґрунт </w:t>
            </w:r>
          </w:p>
          <w:p w:rsidR="00642FB4" w:rsidRDefault="00642FB4">
            <w:pPr>
              <w:jc w:val="both"/>
              <w:rPr>
                <w:sz w:val="20"/>
                <w:szCs w:val="20"/>
                <w:lang w:val="uk-UA" w:eastAsia="uk-UA" w:bidi="uk-UA"/>
              </w:rPr>
            </w:pPr>
            <w:r>
              <w:rPr>
                <w:rFonts w:eastAsia="Calibri"/>
                <w:sz w:val="20"/>
                <w:szCs w:val="22"/>
                <w:lang w:val="uk-UA" w:eastAsia="uk-UA" w:bidi="uk-UA"/>
              </w:rPr>
              <w:t>Вода</w:t>
            </w:r>
          </w:p>
          <w:p w:rsidR="00642FB4" w:rsidRDefault="00642FB4">
            <w:pPr>
              <w:jc w:val="both"/>
              <w:rPr>
                <w:sz w:val="20"/>
                <w:szCs w:val="20"/>
                <w:lang w:val="uk-UA" w:eastAsia="uk-UA" w:bidi="uk-UA"/>
              </w:rPr>
            </w:pPr>
            <w:r>
              <w:rPr>
                <w:rFonts w:eastAsia="Calibri"/>
                <w:sz w:val="20"/>
                <w:szCs w:val="22"/>
                <w:lang w:val="uk-UA" w:eastAsia="uk-UA" w:bidi="uk-UA"/>
              </w:rPr>
              <w:t>Біорізноманіття</w:t>
            </w:r>
          </w:p>
          <w:p w:rsidR="00642FB4" w:rsidRDefault="00642FB4">
            <w:pPr>
              <w:jc w:val="both"/>
              <w:rPr>
                <w:sz w:val="20"/>
                <w:szCs w:val="20"/>
                <w:lang w:val="uk-UA" w:eastAsia="uk-UA" w:bidi="uk-UA"/>
              </w:rPr>
            </w:pPr>
          </w:p>
        </w:tc>
        <w:tc>
          <w:tcPr>
            <w:tcW w:w="1322"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Позитивний</w:t>
            </w:r>
          </w:p>
        </w:tc>
        <w:tc>
          <w:tcPr>
            <w:tcW w:w="1441" w:type="dxa"/>
            <w:vAlign w:val="center"/>
          </w:tcPr>
          <w:p w:rsidR="00642FB4" w:rsidRDefault="00642FB4">
            <w:pPr>
              <w:ind w:left="-18" w:firstLine="18"/>
              <w:rPr>
                <w:sz w:val="20"/>
                <w:szCs w:val="20"/>
                <w:lang w:val="uk-UA" w:eastAsia="uk-UA" w:bidi="uk-UA"/>
              </w:rPr>
            </w:pPr>
            <w:r>
              <w:rPr>
                <w:rFonts w:eastAsia="Calibri"/>
                <w:sz w:val="20"/>
                <w:szCs w:val="22"/>
                <w:lang w:val="uk-UA" w:eastAsia="uk-UA" w:bidi="uk-UA"/>
              </w:rPr>
              <w:t>Позитивний вплив</w:t>
            </w:r>
          </w:p>
        </w:tc>
      </w:tr>
      <w:tr w:rsidR="00642FB4">
        <w:trPr>
          <w:jc w:val="center"/>
        </w:trPr>
        <w:tc>
          <w:tcPr>
            <w:tcW w:w="528"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5.</w:t>
            </w:r>
          </w:p>
        </w:tc>
        <w:tc>
          <w:tcPr>
            <w:tcW w:w="5392"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Обмін досвідом та знаннями, в тому числі підвищення рівня усвідомлення у сфері запобігання ризикам та ефективного управління у транскордонній області</w:t>
            </w:r>
          </w:p>
        </w:tc>
        <w:tc>
          <w:tcPr>
            <w:tcW w:w="155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322"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441"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jc w:val="center"/>
        </w:trPr>
        <w:tc>
          <w:tcPr>
            <w:tcW w:w="528"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6.</w:t>
            </w:r>
          </w:p>
        </w:tc>
        <w:tc>
          <w:tcPr>
            <w:tcW w:w="5392"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Розробка інтегрованих та спільних стандартів для міського планування та управління ризиками</w:t>
            </w:r>
          </w:p>
        </w:tc>
        <w:tc>
          <w:tcPr>
            <w:tcW w:w="155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322"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441"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jc w:val="center"/>
        </w:trPr>
        <w:tc>
          <w:tcPr>
            <w:tcW w:w="528"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7.</w:t>
            </w:r>
          </w:p>
        </w:tc>
        <w:tc>
          <w:tcPr>
            <w:tcW w:w="5392"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Інвестиції та розробка спільних інтегрованих систем аварійного управління</w:t>
            </w:r>
          </w:p>
        </w:tc>
        <w:tc>
          <w:tcPr>
            <w:tcW w:w="155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322"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441"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jc w:val="center"/>
        </w:trPr>
        <w:tc>
          <w:tcPr>
            <w:tcW w:w="528"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8.</w:t>
            </w:r>
          </w:p>
        </w:tc>
        <w:tc>
          <w:tcPr>
            <w:tcW w:w="5392"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Планування скоординованих дій збоку органів влади в надзвичайних ситуаціях, викликаних природними або антропогенними лихами (повені, пожежі, теплові хвилі, землетруси, урагани).</w:t>
            </w:r>
          </w:p>
        </w:tc>
        <w:tc>
          <w:tcPr>
            <w:tcW w:w="155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322"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441"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bl>
    <w:p w:rsidR="00642FB4" w:rsidRDefault="00642FB4">
      <w:pPr>
        <w:spacing w:before="60" w:after="60" w:line="288" w:lineRule="auto"/>
        <w:jc w:val="both"/>
        <w:rPr>
          <w:rFonts w:cs="Arial"/>
          <w:b/>
          <w:lang w:val="uk-UA" w:eastAsia="uk-UA" w:bidi="uk-UA"/>
        </w:rPr>
      </w:pPr>
      <w:r>
        <w:rPr>
          <w:rFonts w:eastAsia="Calibri"/>
          <w:b/>
          <w:szCs w:val="22"/>
          <w:lang w:val="uk-UA" w:eastAsia="uk-UA" w:bidi="uk-UA"/>
        </w:rPr>
        <w:t>Пріоритет 4.3 – Запобігання та боротьба з організованою злочинністю і поліцейське співробітництво</w:t>
      </w:r>
    </w:p>
    <w:tbl>
      <w:tblPr>
        <w:tblW w:w="10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9"/>
        <w:gridCol w:w="4416"/>
        <w:gridCol w:w="1715"/>
        <w:gridCol w:w="1599"/>
        <w:gridCol w:w="1453"/>
      </w:tblGrid>
      <w:tr w:rsidR="00642FB4">
        <w:trPr>
          <w:tblHeader/>
          <w:jc w:val="center"/>
        </w:trPr>
        <w:tc>
          <w:tcPr>
            <w:tcW w:w="563" w:type="dxa"/>
            <w:shd w:val="clear" w:color="auto" w:fill="auto"/>
            <w:vAlign w:val="center"/>
          </w:tcPr>
          <w:p w:rsidR="00642FB4" w:rsidRDefault="00642FB4">
            <w:pPr>
              <w:jc w:val="both"/>
              <w:rPr>
                <w:b/>
                <w:sz w:val="20"/>
                <w:szCs w:val="20"/>
                <w:lang w:val="uk-UA" w:eastAsia="uk-UA" w:bidi="uk-UA"/>
              </w:rPr>
            </w:pPr>
            <w:r>
              <w:rPr>
                <w:rFonts w:eastAsia="Calibri"/>
                <w:sz w:val="20"/>
                <w:szCs w:val="22"/>
                <w:lang w:val="uk-UA" w:eastAsia="uk-UA" w:bidi="uk-UA"/>
              </w:rPr>
              <w:t> </w:t>
            </w:r>
            <w:r>
              <w:rPr>
                <w:rFonts w:eastAsia="Calibri"/>
                <w:b/>
                <w:sz w:val="20"/>
                <w:szCs w:val="22"/>
                <w:lang w:val="uk-UA" w:eastAsia="uk-UA" w:bidi="uk-UA"/>
              </w:rPr>
              <w:t>Порядк. №</w:t>
            </w:r>
          </w:p>
        </w:tc>
        <w:tc>
          <w:tcPr>
            <w:tcW w:w="4931"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Індикативні заходи</w:t>
            </w:r>
          </w:p>
        </w:tc>
        <w:tc>
          <w:tcPr>
            <w:tcW w:w="1729"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Екологічні аспекти і цілі, які будуть розглянуті</w:t>
            </w:r>
          </w:p>
        </w:tc>
        <w:tc>
          <w:tcPr>
            <w:tcW w:w="1622"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Потенційний вплив</w:t>
            </w:r>
          </w:p>
        </w:tc>
        <w:tc>
          <w:tcPr>
            <w:tcW w:w="1397" w:type="dxa"/>
          </w:tcPr>
          <w:p w:rsidR="00642FB4" w:rsidRDefault="00642FB4">
            <w:pPr>
              <w:jc w:val="both"/>
              <w:rPr>
                <w:b/>
                <w:sz w:val="20"/>
                <w:szCs w:val="20"/>
                <w:lang w:val="uk-UA" w:eastAsia="uk-UA" w:bidi="uk-UA"/>
              </w:rPr>
            </w:pPr>
            <w:r>
              <w:rPr>
                <w:rFonts w:eastAsia="Calibri"/>
                <w:b/>
                <w:sz w:val="20"/>
                <w:szCs w:val="22"/>
                <w:lang w:val="uk-UA" w:eastAsia="uk-UA" w:bidi="uk-UA"/>
              </w:rPr>
              <w:t>Оцінка впливу на навколишнє середовище</w:t>
            </w:r>
          </w:p>
        </w:tc>
      </w:tr>
      <w:tr w:rsidR="00642FB4">
        <w:trPr>
          <w:jc w:val="center"/>
        </w:trPr>
        <w:tc>
          <w:tcPr>
            <w:tcW w:w="563"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1.</w:t>
            </w:r>
          </w:p>
        </w:tc>
        <w:tc>
          <w:tcPr>
            <w:tcW w:w="4931"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Спільні дії для підвищення мобільності та адміністративної дієздатності підрозділів поліції (у тому числі служб прикордонної поліції)</w:t>
            </w:r>
          </w:p>
        </w:tc>
        <w:tc>
          <w:tcPr>
            <w:tcW w:w="172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622"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397"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jc w:val="center"/>
        </w:trPr>
        <w:tc>
          <w:tcPr>
            <w:tcW w:w="563"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2.</w:t>
            </w:r>
          </w:p>
        </w:tc>
        <w:tc>
          <w:tcPr>
            <w:tcW w:w="4931"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Створення робочих майданчиків для співпраці з метою підвищення ефективності поліції, прикордонної поліції та митних служб для обміну даними та інформацією</w:t>
            </w:r>
          </w:p>
        </w:tc>
        <w:tc>
          <w:tcPr>
            <w:tcW w:w="172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622"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397"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jc w:val="center"/>
        </w:trPr>
        <w:tc>
          <w:tcPr>
            <w:tcW w:w="563"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3.</w:t>
            </w:r>
          </w:p>
        </w:tc>
        <w:tc>
          <w:tcPr>
            <w:tcW w:w="4931"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Спільне навчання поліції, митниці, прикордонної поліції, жандармерії, обмін передовим досвідом у конкретних областях діяльності (аналіз, кримінальні розслідування, організована злочинність)</w:t>
            </w:r>
          </w:p>
        </w:tc>
        <w:tc>
          <w:tcPr>
            <w:tcW w:w="172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622"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397"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rPr>
          <w:jc w:val="center"/>
        </w:trPr>
        <w:tc>
          <w:tcPr>
            <w:tcW w:w="563"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4.</w:t>
            </w:r>
          </w:p>
        </w:tc>
        <w:tc>
          <w:tcPr>
            <w:tcW w:w="4931"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Інвестиції в будівництво, реконструкцію або модернізацію інфраструктури поліції та пунктів пропуску та інших суміжних будівель</w:t>
            </w:r>
          </w:p>
        </w:tc>
        <w:tc>
          <w:tcPr>
            <w:tcW w:w="172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Повітря</w:t>
            </w:r>
          </w:p>
          <w:p w:rsidR="00642FB4" w:rsidRDefault="00642FB4">
            <w:pPr>
              <w:jc w:val="both"/>
              <w:rPr>
                <w:sz w:val="20"/>
                <w:szCs w:val="20"/>
                <w:lang w:val="uk-UA" w:eastAsia="uk-UA" w:bidi="uk-UA"/>
              </w:rPr>
            </w:pPr>
            <w:r>
              <w:rPr>
                <w:rFonts w:eastAsia="Calibri"/>
                <w:sz w:val="20"/>
                <w:szCs w:val="22"/>
                <w:lang w:val="uk-UA" w:eastAsia="uk-UA" w:bidi="uk-UA"/>
              </w:rPr>
              <w:t>Вода</w:t>
            </w:r>
          </w:p>
          <w:p w:rsidR="00642FB4" w:rsidRDefault="00642FB4">
            <w:pPr>
              <w:jc w:val="both"/>
              <w:rPr>
                <w:sz w:val="20"/>
                <w:szCs w:val="20"/>
                <w:lang w:val="uk-UA" w:eastAsia="uk-UA" w:bidi="uk-UA"/>
              </w:rPr>
            </w:pPr>
            <w:r>
              <w:rPr>
                <w:rFonts w:eastAsia="Calibri"/>
                <w:sz w:val="20"/>
                <w:szCs w:val="22"/>
                <w:lang w:val="uk-UA" w:eastAsia="uk-UA" w:bidi="uk-UA"/>
              </w:rPr>
              <w:t>Ґрунт</w:t>
            </w:r>
          </w:p>
          <w:p w:rsidR="00642FB4" w:rsidRDefault="00642FB4">
            <w:pPr>
              <w:jc w:val="both"/>
              <w:rPr>
                <w:sz w:val="20"/>
                <w:szCs w:val="20"/>
                <w:lang w:val="uk-UA" w:eastAsia="uk-UA" w:bidi="uk-UA"/>
              </w:rPr>
            </w:pPr>
            <w:r>
              <w:rPr>
                <w:rFonts w:eastAsia="Calibri"/>
                <w:sz w:val="20"/>
                <w:szCs w:val="22"/>
                <w:lang w:val="uk-UA" w:eastAsia="uk-UA" w:bidi="uk-UA"/>
              </w:rPr>
              <w:t>Управління відходами</w:t>
            </w:r>
          </w:p>
        </w:tc>
        <w:tc>
          <w:tcPr>
            <w:tcW w:w="1622"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Позитивний</w:t>
            </w:r>
          </w:p>
        </w:tc>
        <w:tc>
          <w:tcPr>
            <w:tcW w:w="1397" w:type="dxa"/>
            <w:vAlign w:val="center"/>
          </w:tcPr>
          <w:p w:rsidR="00642FB4" w:rsidRDefault="00642FB4">
            <w:pPr>
              <w:rPr>
                <w:sz w:val="20"/>
                <w:szCs w:val="20"/>
                <w:lang w:val="uk-UA" w:eastAsia="uk-UA" w:bidi="uk-UA"/>
              </w:rPr>
            </w:pPr>
            <w:r>
              <w:rPr>
                <w:rFonts w:eastAsia="Calibri"/>
                <w:sz w:val="20"/>
                <w:szCs w:val="22"/>
                <w:lang w:val="uk-UA" w:eastAsia="uk-UA" w:bidi="uk-UA"/>
              </w:rPr>
              <w:t>Позитивний вплив</w:t>
            </w:r>
          </w:p>
        </w:tc>
      </w:tr>
      <w:tr w:rsidR="00642FB4">
        <w:trPr>
          <w:jc w:val="center"/>
        </w:trPr>
        <w:tc>
          <w:tcPr>
            <w:tcW w:w="563"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5.</w:t>
            </w:r>
          </w:p>
        </w:tc>
        <w:tc>
          <w:tcPr>
            <w:tcW w:w="4931"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Інвестиції в експлуатаційне обладнання та оснащення, специфічне діяльності поліції / митниці / прикордонній поліції / жандармерії (наприклад, лабораторії, обладнання, інструменти виявлення, апаратне та програмне забезпечення, транспортні засоби)</w:t>
            </w:r>
          </w:p>
        </w:tc>
        <w:tc>
          <w:tcPr>
            <w:tcW w:w="172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Повітря</w:t>
            </w:r>
          </w:p>
          <w:p w:rsidR="00642FB4" w:rsidRDefault="00642FB4">
            <w:pPr>
              <w:jc w:val="both"/>
              <w:rPr>
                <w:sz w:val="20"/>
                <w:szCs w:val="20"/>
                <w:lang w:val="uk-UA" w:eastAsia="uk-UA" w:bidi="uk-UA"/>
              </w:rPr>
            </w:pPr>
            <w:r>
              <w:rPr>
                <w:rFonts w:eastAsia="Calibri"/>
                <w:sz w:val="20"/>
                <w:szCs w:val="22"/>
                <w:lang w:val="uk-UA" w:eastAsia="uk-UA" w:bidi="uk-UA"/>
              </w:rPr>
              <w:t>Зміна клімату</w:t>
            </w:r>
          </w:p>
          <w:p w:rsidR="00642FB4" w:rsidRDefault="00642FB4">
            <w:pPr>
              <w:jc w:val="both"/>
              <w:rPr>
                <w:sz w:val="20"/>
                <w:szCs w:val="20"/>
                <w:lang w:val="uk-UA" w:eastAsia="uk-UA" w:bidi="uk-UA"/>
              </w:rPr>
            </w:pPr>
          </w:p>
        </w:tc>
        <w:tc>
          <w:tcPr>
            <w:tcW w:w="1622"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Позитивний</w:t>
            </w:r>
          </w:p>
        </w:tc>
        <w:tc>
          <w:tcPr>
            <w:tcW w:w="1397" w:type="dxa"/>
            <w:vAlign w:val="center"/>
          </w:tcPr>
          <w:p w:rsidR="00642FB4" w:rsidRDefault="00642FB4">
            <w:pPr>
              <w:rPr>
                <w:sz w:val="20"/>
                <w:szCs w:val="20"/>
                <w:lang w:val="uk-UA" w:eastAsia="uk-UA" w:bidi="uk-UA"/>
              </w:rPr>
            </w:pPr>
            <w:r>
              <w:rPr>
                <w:rFonts w:eastAsia="Calibri"/>
                <w:sz w:val="20"/>
                <w:szCs w:val="22"/>
                <w:lang w:val="uk-UA" w:eastAsia="uk-UA" w:bidi="uk-UA"/>
              </w:rPr>
              <w:t>Позитивний</w:t>
            </w:r>
          </w:p>
          <w:p w:rsidR="00642FB4" w:rsidRDefault="00642FB4">
            <w:pPr>
              <w:rPr>
                <w:sz w:val="20"/>
                <w:szCs w:val="20"/>
                <w:lang w:val="uk-UA" w:eastAsia="uk-UA" w:bidi="uk-UA"/>
              </w:rPr>
            </w:pPr>
            <w:r>
              <w:rPr>
                <w:rFonts w:eastAsia="Calibri"/>
                <w:sz w:val="20"/>
                <w:szCs w:val="22"/>
                <w:lang w:val="uk-UA" w:eastAsia="uk-UA" w:bidi="uk-UA"/>
              </w:rPr>
              <w:t>вплив</w:t>
            </w:r>
          </w:p>
        </w:tc>
      </w:tr>
      <w:tr w:rsidR="00642FB4">
        <w:trPr>
          <w:jc w:val="center"/>
        </w:trPr>
        <w:tc>
          <w:tcPr>
            <w:tcW w:w="563"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6.</w:t>
            </w:r>
          </w:p>
        </w:tc>
        <w:tc>
          <w:tcPr>
            <w:tcW w:w="4931"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Розробка спільних стратегій і політики, обміну досвідом у боротьбі з організованою злочинністю.</w:t>
            </w:r>
          </w:p>
        </w:tc>
        <w:tc>
          <w:tcPr>
            <w:tcW w:w="1729"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 застосовується</w:t>
            </w:r>
          </w:p>
        </w:tc>
        <w:tc>
          <w:tcPr>
            <w:tcW w:w="1622"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397"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bl>
    <w:p w:rsidR="00642FB4" w:rsidRDefault="00642FB4">
      <w:pPr>
        <w:spacing w:before="60" w:after="60" w:line="288" w:lineRule="auto"/>
        <w:ind w:left="720"/>
        <w:jc w:val="both"/>
        <w:rPr>
          <w:rFonts w:eastAsia="EUAlbertina-Regular-Identity-H"/>
          <w:bCs/>
          <w:lang w:val="uk-UA" w:eastAsia="uk-UA" w:bidi="uk-UA"/>
        </w:rPr>
      </w:pPr>
    </w:p>
    <w:p w:rsidR="00642FB4" w:rsidRDefault="00642FB4">
      <w:pPr>
        <w:spacing w:before="60" w:after="60" w:line="288" w:lineRule="auto"/>
        <w:ind w:firstLine="709"/>
        <w:jc w:val="both"/>
        <w:rPr>
          <w:rFonts w:cs="Arial"/>
          <w:b/>
          <w:lang w:val="uk-UA" w:eastAsia="uk-UA" w:bidi="uk-UA"/>
        </w:rPr>
      </w:pPr>
      <w:r>
        <w:rPr>
          <w:rFonts w:eastAsia="Calibri"/>
          <w:b/>
          <w:szCs w:val="22"/>
          <w:lang w:val="uk-UA" w:eastAsia="uk-UA" w:bidi="uk-UA"/>
        </w:rPr>
        <w:t>ВЕЛИКІ ІНФРАСТРУКТУРНІ ПРОЕКТИ (Орієнтовний перелік)</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4"/>
        <w:gridCol w:w="4100"/>
        <w:gridCol w:w="1692"/>
        <w:gridCol w:w="1641"/>
        <w:gridCol w:w="1453"/>
      </w:tblGrid>
      <w:tr w:rsidR="00642FB4">
        <w:tc>
          <w:tcPr>
            <w:tcW w:w="557"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Порядк. №</w:t>
            </w:r>
          </w:p>
        </w:tc>
        <w:tc>
          <w:tcPr>
            <w:tcW w:w="4969"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Індикативні заходи</w:t>
            </w:r>
          </w:p>
        </w:tc>
        <w:tc>
          <w:tcPr>
            <w:tcW w:w="1701"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Екологічні аспекти і цілі, які будуть розглянуті</w:t>
            </w:r>
          </w:p>
        </w:tc>
        <w:tc>
          <w:tcPr>
            <w:tcW w:w="1701" w:type="dxa"/>
            <w:shd w:val="clear" w:color="auto" w:fill="auto"/>
            <w:vAlign w:val="center"/>
          </w:tcPr>
          <w:p w:rsidR="00642FB4" w:rsidRDefault="00642FB4">
            <w:pPr>
              <w:jc w:val="both"/>
              <w:rPr>
                <w:b/>
                <w:sz w:val="20"/>
                <w:szCs w:val="20"/>
                <w:lang w:val="uk-UA" w:eastAsia="uk-UA" w:bidi="uk-UA"/>
              </w:rPr>
            </w:pPr>
            <w:r>
              <w:rPr>
                <w:rFonts w:eastAsia="Calibri"/>
                <w:b/>
                <w:sz w:val="20"/>
                <w:szCs w:val="22"/>
                <w:lang w:val="uk-UA" w:eastAsia="uk-UA" w:bidi="uk-UA"/>
              </w:rPr>
              <w:t>Потенційний вплив</w:t>
            </w:r>
          </w:p>
        </w:tc>
        <w:tc>
          <w:tcPr>
            <w:tcW w:w="1348" w:type="dxa"/>
          </w:tcPr>
          <w:p w:rsidR="00642FB4" w:rsidRDefault="00642FB4">
            <w:pPr>
              <w:jc w:val="both"/>
              <w:rPr>
                <w:b/>
                <w:sz w:val="20"/>
                <w:szCs w:val="20"/>
                <w:lang w:val="uk-UA" w:eastAsia="uk-UA" w:bidi="uk-UA"/>
              </w:rPr>
            </w:pPr>
            <w:r>
              <w:rPr>
                <w:rFonts w:eastAsia="Calibri"/>
                <w:b/>
                <w:sz w:val="20"/>
                <w:szCs w:val="22"/>
                <w:lang w:val="uk-UA" w:eastAsia="uk-UA" w:bidi="uk-UA"/>
              </w:rPr>
              <w:t>Оцінка впливу на навколишнє середовище</w:t>
            </w:r>
          </w:p>
        </w:tc>
      </w:tr>
      <w:tr w:rsidR="00642FB4">
        <w:tc>
          <w:tcPr>
            <w:tcW w:w="557"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1.</w:t>
            </w:r>
          </w:p>
        </w:tc>
        <w:tc>
          <w:tcPr>
            <w:tcW w:w="4969" w:type="dxa"/>
            <w:shd w:val="clear" w:color="auto" w:fill="auto"/>
          </w:tcPr>
          <w:p w:rsidR="00642FB4" w:rsidRDefault="00642FB4">
            <w:pPr>
              <w:jc w:val="both"/>
              <w:rPr>
                <w:rFonts w:eastAsia="Calibri" w:cs="Arial"/>
                <w:sz w:val="20"/>
                <w:szCs w:val="20"/>
                <w:lang w:val="uk-UA" w:eastAsia="uk-UA" w:bidi="uk-UA"/>
              </w:rPr>
            </w:pPr>
            <w:r>
              <w:rPr>
                <w:rFonts w:eastAsia="Calibri"/>
                <w:sz w:val="20"/>
                <w:szCs w:val="22"/>
                <w:lang w:val="uk-UA" w:eastAsia="uk-UA" w:bidi="uk-UA"/>
              </w:rPr>
              <w:t>“Чиста ріка” – Дунай (OT8) 4.2</w:t>
            </w:r>
          </w:p>
        </w:tc>
        <w:tc>
          <w:tcPr>
            <w:tcW w:w="1701"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 xml:space="preserve">Вода </w:t>
            </w:r>
          </w:p>
          <w:p w:rsidR="00642FB4" w:rsidRDefault="00642FB4">
            <w:pPr>
              <w:jc w:val="both"/>
              <w:rPr>
                <w:sz w:val="20"/>
                <w:szCs w:val="20"/>
                <w:lang w:val="uk-UA" w:eastAsia="uk-UA" w:bidi="uk-UA"/>
              </w:rPr>
            </w:pPr>
            <w:r>
              <w:rPr>
                <w:rFonts w:eastAsia="Calibri"/>
                <w:sz w:val="20"/>
                <w:szCs w:val="22"/>
                <w:lang w:val="uk-UA" w:eastAsia="uk-UA" w:bidi="uk-UA"/>
              </w:rPr>
              <w:t>Біорізноманіття</w:t>
            </w:r>
          </w:p>
        </w:tc>
        <w:tc>
          <w:tcPr>
            <w:tcW w:w="1701"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Непрямий</w:t>
            </w:r>
          </w:p>
        </w:tc>
        <w:tc>
          <w:tcPr>
            <w:tcW w:w="1348" w:type="dxa"/>
            <w:vAlign w:val="center"/>
          </w:tcPr>
          <w:p w:rsidR="00642FB4" w:rsidRDefault="00642FB4">
            <w:pPr>
              <w:ind w:left="-18" w:firstLine="18"/>
              <w:rPr>
                <w:sz w:val="20"/>
                <w:szCs w:val="20"/>
                <w:lang w:val="uk-UA" w:eastAsia="uk-UA" w:bidi="uk-UA"/>
              </w:rPr>
            </w:pPr>
            <w:r>
              <w:rPr>
                <w:rFonts w:eastAsia="Calibri"/>
                <w:sz w:val="20"/>
                <w:szCs w:val="22"/>
                <w:lang w:val="uk-UA" w:eastAsia="uk-UA" w:bidi="uk-UA"/>
              </w:rPr>
              <w:t>Значний вплив</w:t>
            </w:r>
          </w:p>
          <w:p w:rsidR="00642FB4" w:rsidRDefault="00642FB4">
            <w:pPr>
              <w:rPr>
                <w:sz w:val="20"/>
                <w:szCs w:val="20"/>
                <w:lang w:val="uk-UA" w:eastAsia="uk-UA" w:bidi="uk-UA"/>
              </w:rPr>
            </w:pPr>
            <w:r>
              <w:rPr>
                <w:rFonts w:eastAsia="Calibri"/>
                <w:sz w:val="20"/>
                <w:szCs w:val="22"/>
                <w:lang w:val="uk-UA" w:eastAsia="uk-UA" w:bidi="uk-UA"/>
              </w:rPr>
              <w:t>вплив</w:t>
            </w:r>
          </w:p>
        </w:tc>
      </w:tr>
      <w:tr w:rsidR="00642FB4">
        <w:tc>
          <w:tcPr>
            <w:tcW w:w="557"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2.</w:t>
            </w:r>
          </w:p>
        </w:tc>
        <w:tc>
          <w:tcPr>
            <w:tcW w:w="4969" w:type="dxa"/>
            <w:shd w:val="clear" w:color="auto" w:fill="auto"/>
          </w:tcPr>
          <w:p w:rsidR="00642FB4" w:rsidRDefault="00642FB4">
            <w:pPr>
              <w:jc w:val="both"/>
              <w:rPr>
                <w:rFonts w:eastAsia="Calibri" w:cs="Arial"/>
                <w:sz w:val="20"/>
                <w:szCs w:val="20"/>
                <w:lang w:val="uk-UA" w:eastAsia="uk-UA" w:bidi="uk-UA"/>
              </w:rPr>
            </w:pPr>
            <w:r>
              <w:rPr>
                <w:rFonts w:eastAsia="Calibri"/>
                <w:sz w:val="20"/>
                <w:szCs w:val="22"/>
                <w:lang w:val="uk-UA" w:eastAsia="uk-UA" w:bidi="uk-UA"/>
              </w:rPr>
              <w:t>Покращення транскордонної інфраструктури - відкриті ворота в Європу (OT7) 3.1</w:t>
            </w:r>
          </w:p>
        </w:tc>
        <w:tc>
          <w:tcPr>
            <w:tcW w:w="1701"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Повітря</w:t>
            </w:r>
          </w:p>
          <w:p w:rsidR="00642FB4" w:rsidRDefault="00642FB4">
            <w:pPr>
              <w:jc w:val="both"/>
              <w:rPr>
                <w:sz w:val="20"/>
                <w:szCs w:val="20"/>
                <w:lang w:val="uk-UA" w:eastAsia="uk-UA" w:bidi="uk-UA"/>
              </w:rPr>
            </w:pPr>
            <w:r>
              <w:rPr>
                <w:rFonts w:eastAsia="Calibri"/>
                <w:sz w:val="20"/>
                <w:szCs w:val="22"/>
                <w:lang w:val="uk-UA" w:eastAsia="uk-UA" w:bidi="uk-UA"/>
              </w:rPr>
              <w:t>Вода</w:t>
            </w:r>
          </w:p>
          <w:p w:rsidR="00642FB4" w:rsidRDefault="00642FB4">
            <w:pPr>
              <w:jc w:val="both"/>
              <w:rPr>
                <w:sz w:val="20"/>
                <w:szCs w:val="20"/>
                <w:lang w:val="uk-UA" w:eastAsia="uk-UA" w:bidi="uk-UA"/>
              </w:rPr>
            </w:pPr>
            <w:r>
              <w:rPr>
                <w:rFonts w:eastAsia="Calibri"/>
                <w:sz w:val="20"/>
                <w:szCs w:val="22"/>
                <w:lang w:val="uk-UA" w:eastAsia="uk-UA" w:bidi="uk-UA"/>
              </w:rPr>
              <w:t>Ґрунт</w:t>
            </w:r>
          </w:p>
          <w:p w:rsidR="00642FB4" w:rsidRDefault="00642FB4">
            <w:pPr>
              <w:jc w:val="both"/>
              <w:rPr>
                <w:sz w:val="20"/>
                <w:szCs w:val="20"/>
                <w:lang w:val="uk-UA" w:eastAsia="uk-UA" w:bidi="uk-UA"/>
              </w:rPr>
            </w:pPr>
            <w:r>
              <w:rPr>
                <w:rFonts w:eastAsia="Calibri"/>
                <w:sz w:val="20"/>
                <w:szCs w:val="22"/>
                <w:lang w:val="uk-UA" w:eastAsia="uk-UA" w:bidi="uk-UA"/>
              </w:rPr>
              <w:t>Управління відходами</w:t>
            </w:r>
          </w:p>
        </w:tc>
        <w:tc>
          <w:tcPr>
            <w:tcW w:w="1701"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Позитивний</w:t>
            </w:r>
          </w:p>
        </w:tc>
        <w:tc>
          <w:tcPr>
            <w:tcW w:w="1348" w:type="dxa"/>
            <w:vAlign w:val="center"/>
          </w:tcPr>
          <w:p w:rsidR="00642FB4" w:rsidRDefault="00642FB4">
            <w:pPr>
              <w:ind w:left="-18"/>
              <w:rPr>
                <w:sz w:val="20"/>
                <w:szCs w:val="20"/>
                <w:lang w:val="uk-UA" w:eastAsia="uk-UA" w:bidi="uk-UA"/>
              </w:rPr>
            </w:pPr>
            <w:r>
              <w:rPr>
                <w:rFonts w:eastAsia="Calibri"/>
                <w:sz w:val="20"/>
                <w:szCs w:val="22"/>
                <w:lang w:val="uk-UA" w:eastAsia="uk-UA" w:bidi="uk-UA"/>
              </w:rPr>
              <w:t>Значний вплив</w:t>
            </w:r>
          </w:p>
          <w:p w:rsidR="00642FB4" w:rsidRDefault="00642FB4">
            <w:pPr>
              <w:ind w:left="-108"/>
              <w:rPr>
                <w:sz w:val="20"/>
                <w:szCs w:val="20"/>
                <w:lang w:val="uk-UA" w:eastAsia="uk-UA" w:bidi="uk-UA"/>
              </w:rPr>
            </w:pPr>
            <w:r>
              <w:rPr>
                <w:rFonts w:eastAsia="Calibri"/>
                <w:sz w:val="20"/>
                <w:szCs w:val="22"/>
                <w:lang w:val="uk-UA" w:eastAsia="uk-UA" w:bidi="uk-UA"/>
              </w:rPr>
              <w:t xml:space="preserve"> вплив</w:t>
            </w:r>
          </w:p>
        </w:tc>
      </w:tr>
      <w:tr w:rsidR="00642FB4">
        <w:tc>
          <w:tcPr>
            <w:tcW w:w="557"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3.</w:t>
            </w:r>
          </w:p>
        </w:tc>
        <w:tc>
          <w:tcPr>
            <w:tcW w:w="4969" w:type="dxa"/>
            <w:shd w:val="clear" w:color="auto" w:fill="auto"/>
          </w:tcPr>
          <w:p w:rsidR="00642FB4" w:rsidRDefault="00642FB4">
            <w:pPr>
              <w:jc w:val="both"/>
              <w:rPr>
                <w:rFonts w:eastAsia="Calibri" w:cs="Arial"/>
                <w:sz w:val="20"/>
                <w:szCs w:val="20"/>
                <w:lang w:val="uk-UA" w:eastAsia="uk-UA" w:bidi="uk-UA"/>
              </w:rPr>
            </w:pPr>
            <w:r>
              <w:rPr>
                <w:rFonts w:eastAsia="Calibri"/>
                <w:sz w:val="20"/>
                <w:szCs w:val="22"/>
                <w:lang w:val="uk-UA" w:eastAsia="uk-UA" w:bidi="uk-UA"/>
              </w:rPr>
              <w:t>Регіональне співробітництво між Румунією та Україною для запобігання та боротьби з транскордонною злочинністю  (OT 8) 4.3</w:t>
            </w:r>
          </w:p>
        </w:tc>
        <w:tc>
          <w:tcPr>
            <w:tcW w:w="1701"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Повітря</w:t>
            </w:r>
          </w:p>
          <w:p w:rsidR="00642FB4" w:rsidRDefault="00642FB4">
            <w:pPr>
              <w:jc w:val="both"/>
              <w:rPr>
                <w:sz w:val="20"/>
                <w:szCs w:val="20"/>
                <w:lang w:val="uk-UA" w:eastAsia="uk-UA" w:bidi="uk-UA"/>
              </w:rPr>
            </w:pPr>
            <w:r>
              <w:rPr>
                <w:rFonts w:eastAsia="Calibri"/>
                <w:sz w:val="20"/>
                <w:szCs w:val="22"/>
                <w:lang w:val="uk-UA" w:eastAsia="uk-UA" w:bidi="uk-UA"/>
              </w:rPr>
              <w:t>Вода</w:t>
            </w:r>
          </w:p>
          <w:p w:rsidR="00642FB4" w:rsidRDefault="00642FB4">
            <w:pPr>
              <w:jc w:val="both"/>
              <w:rPr>
                <w:sz w:val="20"/>
                <w:szCs w:val="20"/>
                <w:lang w:val="uk-UA" w:eastAsia="uk-UA" w:bidi="uk-UA"/>
              </w:rPr>
            </w:pPr>
            <w:r>
              <w:rPr>
                <w:rFonts w:eastAsia="Calibri"/>
                <w:sz w:val="20"/>
                <w:szCs w:val="22"/>
                <w:lang w:val="uk-UA" w:eastAsia="uk-UA" w:bidi="uk-UA"/>
              </w:rPr>
              <w:t>Ґрунт</w:t>
            </w:r>
          </w:p>
          <w:p w:rsidR="00642FB4" w:rsidRDefault="00642FB4">
            <w:pPr>
              <w:jc w:val="both"/>
              <w:rPr>
                <w:sz w:val="20"/>
                <w:szCs w:val="20"/>
                <w:lang w:val="uk-UA" w:eastAsia="uk-UA" w:bidi="uk-UA"/>
              </w:rPr>
            </w:pPr>
            <w:r>
              <w:rPr>
                <w:rFonts w:eastAsia="Calibri"/>
                <w:sz w:val="20"/>
                <w:szCs w:val="22"/>
                <w:lang w:val="uk-UA" w:eastAsia="uk-UA" w:bidi="uk-UA"/>
              </w:rPr>
              <w:t>Управління відходами</w:t>
            </w:r>
          </w:p>
        </w:tc>
        <w:tc>
          <w:tcPr>
            <w:tcW w:w="1701"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Позитивний</w:t>
            </w:r>
          </w:p>
        </w:tc>
        <w:tc>
          <w:tcPr>
            <w:tcW w:w="1348"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r w:rsidR="00642FB4">
        <w:tc>
          <w:tcPr>
            <w:tcW w:w="557" w:type="dxa"/>
            <w:shd w:val="clear" w:color="auto" w:fill="auto"/>
          </w:tcPr>
          <w:p w:rsidR="00642FB4" w:rsidRDefault="00642FB4">
            <w:pPr>
              <w:jc w:val="both"/>
              <w:rPr>
                <w:sz w:val="20"/>
                <w:szCs w:val="20"/>
                <w:lang w:val="uk-UA" w:eastAsia="uk-UA" w:bidi="uk-UA"/>
              </w:rPr>
            </w:pPr>
            <w:r>
              <w:rPr>
                <w:rFonts w:eastAsia="Calibri"/>
                <w:sz w:val="20"/>
                <w:szCs w:val="22"/>
                <w:lang w:val="uk-UA" w:eastAsia="uk-UA" w:bidi="uk-UA"/>
              </w:rPr>
              <w:t>4.</w:t>
            </w:r>
          </w:p>
        </w:tc>
        <w:tc>
          <w:tcPr>
            <w:tcW w:w="4969" w:type="dxa"/>
            <w:shd w:val="clear" w:color="auto" w:fill="auto"/>
          </w:tcPr>
          <w:p w:rsidR="00642FB4" w:rsidRDefault="00642FB4">
            <w:pPr>
              <w:jc w:val="both"/>
              <w:rPr>
                <w:rFonts w:eastAsia="Calibri" w:cs="Arial"/>
                <w:sz w:val="20"/>
                <w:szCs w:val="20"/>
                <w:lang w:val="uk-UA" w:eastAsia="uk-UA" w:bidi="uk-UA"/>
              </w:rPr>
            </w:pPr>
            <w:r>
              <w:rPr>
                <w:rFonts w:eastAsia="Calibri"/>
                <w:sz w:val="20"/>
                <w:szCs w:val="22"/>
                <w:lang w:val="uk-UA" w:eastAsia="uk-UA" w:bidi="uk-UA"/>
              </w:rPr>
              <w:t>Підвищення громадської безпеки та рівня транскордонної безпеки через поліпшення спільного навчання та заходів співпраці в управлінні надзвичайними ситуаціями (OT8) 4.2</w:t>
            </w:r>
          </w:p>
        </w:tc>
        <w:tc>
          <w:tcPr>
            <w:tcW w:w="1701"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Повітря</w:t>
            </w:r>
          </w:p>
          <w:p w:rsidR="00642FB4" w:rsidRDefault="00642FB4">
            <w:pPr>
              <w:jc w:val="both"/>
              <w:rPr>
                <w:sz w:val="20"/>
                <w:szCs w:val="20"/>
                <w:lang w:val="uk-UA" w:eastAsia="uk-UA" w:bidi="uk-UA"/>
              </w:rPr>
            </w:pPr>
            <w:r>
              <w:rPr>
                <w:rFonts w:eastAsia="Calibri"/>
                <w:sz w:val="20"/>
                <w:szCs w:val="22"/>
                <w:lang w:val="uk-UA" w:eastAsia="uk-UA" w:bidi="uk-UA"/>
              </w:rPr>
              <w:t>Вода</w:t>
            </w:r>
          </w:p>
          <w:p w:rsidR="00642FB4" w:rsidRDefault="00642FB4">
            <w:pPr>
              <w:jc w:val="both"/>
              <w:rPr>
                <w:sz w:val="20"/>
                <w:szCs w:val="20"/>
                <w:lang w:val="uk-UA" w:eastAsia="uk-UA" w:bidi="uk-UA"/>
              </w:rPr>
            </w:pPr>
            <w:r>
              <w:rPr>
                <w:rFonts w:eastAsia="Calibri"/>
                <w:sz w:val="20"/>
                <w:szCs w:val="22"/>
                <w:lang w:val="uk-UA" w:eastAsia="uk-UA" w:bidi="uk-UA"/>
              </w:rPr>
              <w:t>Ґрунт</w:t>
            </w:r>
          </w:p>
          <w:p w:rsidR="00642FB4" w:rsidRDefault="00642FB4">
            <w:pPr>
              <w:jc w:val="both"/>
              <w:rPr>
                <w:sz w:val="20"/>
                <w:szCs w:val="20"/>
                <w:lang w:val="uk-UA" w:eastAsia="uk-UA" w:bidi="uk-UA"/>
              </w:rPr>
            </w:pPr>
            <w:r>
              <w:rPr>
                <w:rFonts w:eastAsia="Calibri"/>
                <w:sz w:val="20"/>
                <w:szCs w:val="22"/>
                <w:lang w:val="uk-UA" w:eastAsia="uk-UA" w:bidi="uk-UA"/>
              </w:rPr>
              <w:t>Управління відходами</w:t>
            </w:r>
          </w:p>
        </w:tc>
        <w:tc>
          <w:tcPr>
            <w:tcW w:w="1701" w:type="dxa"/>
            <w:shd w:val="clear" w:color="auto" w:fill="auto"/>
            <w:vAlign w:val="center"/>
          </w:tcPr>
          <w:p w:rsidR="00642FB4" w:rsidRDefault="00642FB4">
            <w:pPr>
              <w:jc w:val="both"/>
              <w:rPr>
                <w:sz w:val="20"/>
                <w:szCs w:val="20"/>
                <w:lang w:val="uk-UA" w:eastAsia="uk-UA" w:bidi="uk-UA"/>
              </w:rPr>
            </w:pPr>
            <w:r>
              <w:rPr>
                <w:rFonts w:eastAsia="Calibri"/>
                <w:sz w:val="20"/>
                <w:szCs w:val="22"/>
                <w:lang w:val="uk-UA" w:eastAsia="uk-UA" w:bidi="uk-UA"/>
              </w:rPr>
              <w:t>Позитивний</w:t>
            </w:r>
          </w:p>
        </w:tc>
        <w:tc>
          <w:tcPr>
            <w:tcW w:w="1348" w:type="dxa"/>
            <w:vAlign w:val="center"/>
          </w:tcPr>
          <w:p w:rsidR="00642FB4" w:rsidRDefault="00642FB4">
            <w:pPr>
              <w:rPr>
                <w:sz w:val="20"/>
                <w:szCs w:val="20"/>
                <w:lang w:val="uk-UA" w:eastAsia="uk-UA" w:bidi="uk-UA"/>
              </w:rPr>
            </w:pPr>
            <w:r>
              <w:rPr>
                <w:rFonts w:eastAsia="Calibri"/>
                <w:sz w:val="20"/>
                <w:szCs w:val="22"/>
                <w:lang w:val="uk-UA" w:eastAsia="uk-UA" w:bidi="uk-UA"/>
              </w:rPr>
              <w:t>Нейтральний</w:t>
            </w:r>
          </w:p>
        </w:tc>
      </w:tr>
    </w:tbl>
    <w:p w:rsidR="00642FB4" w:rsidRDefault="00642FB4">
      <w:pPr>
        <w:ind w:firstLine="720"/>
        <w:jc w:val="both"/>
        <w:rPr>
          <w:lang w:val="uk-UA" w:eastAsia="uk-UA" w:bidi="uk-UA"/>
        </w:rPr>
      </w:pPr>
    </w:p>
    <w:p w:rsidR="00642FB4" w:rsidRDefault="00642FB4">
      <w:pPr>
        <w:jc w:val="both"/>
        <w:rPr>
          <w:sz w:val="22"/>
          <w:szCs w:val="22"/>
          <w:lang w:val="uk-UA" w:eastAsia="uk-UA" w:bidi="uk-UA"/>
        </w:rPr>
      </w:pPr>
    </w:p>
    <w:p w:rsidR="00642FB4" w:rsidRDefault="00642FB4">
      <w:pPr>
        <w:spacing w:before="60" w:after="60" w:line="288" w:lineRule="auto"/>
        <w:ind w:firstLine="709"/>
        <w:jc w:val="both"/>
        <w:rPr>
          <w:lang w:val="uk-UA" w:eastAsia="uk-UA" w:bidi="uk-UA"/>
        </w:rPr>
      </w:pPr>
      <w:r>
        <w:rPr>
          <w:rFonts w:eastAsia="Calibri"/>
          <w:szCs w:val="22"/>
          <w:lang w:val="uk-UA" w:eastAsia="uk-UA" w:bidi="uk-UA"/>
        </w:rPr>
        <w:t>Проаналізовані альтернативи для Спільної операційної програми Румунія - Україна на період 2014 ÷ 2020 роки, це:</w:t>
      </w:r>
    </w:p>
    <w:p w:rsidR="00642FB4" w:rsidRDefault="00642FB4">
      <w:pPr>
        <w:spacing w:before="60" w:after="60" w:line="288" w:lineRule="auto"/>
        <w:ind w:firstLine="709"/>
        <w:jc w:val="both"/>
        <w:rPr>
          <w:lang w:val="uk-UA" w:eastAsia="uk-UA" w:bidi="uk-UA"/>
        </w:rPr>
      </w:pPr>
      <w:r>
        <w:rPr>
          <w:rFonts w:eastAsia="Calibri"/>
          <w:b/>
          <w:szCs w:val="22"/>
          <w:lang w:val="uk-UA" w:eastAsia="uk-UA" w:bidi="uk-UA"/>
        </w:rPr>
        <w:t xml:space="preserve">Альтернатива 0:  </w:t>
      </w:r>
      <w:r>
        <w:rPr>
          <w:rFonts w:eastAsia="Calibri"/>
          <w:szCs w:val="22"/>
          <w:lang w:val="uk-UA" w:eastAsia="uk-UA" w:bidi="uk-UA"/>
        </w:rPr>
        <w:t>Невпровадження Програми;</w:t>
      </w:r>
    </w:p>
    <w:p w:rsidR="00642FB4" w:rsidRDefault="00642FB4">
      <w:pPr>
        <w:spacing w:before="60" w:after="60" w:line="288" w:lineRule="auto"/>
        <w:ind w:firstLine="709"/>
        <w:jc w:val="both"/>
        <w:rPr>
          <w:lang w:val="uk-UA" w:eastAsia="uk-UA" w:bidi="uk-UA"/>
        </w:rPr>
      </w:pPr>
      <w:r>
        <w:rPr>
          <w:rFonts w:eastAsia="Calibri"/>
          <w:b/>
          <w:szCs w:val="22"/>
          <w:lang w:val="uk-UA" w:eastAsia="uk-UA" w:bidi="uk-UA"/>
        </w:rPr>
        <w:t xml:space="preserve">Альтернатива 1: </w:t>
      </w:r>
      <w:r>
        <w:rPr>
          <w:rFonts w:eastAsia="Calibri"/>
          <w:szCs w:val="22"/>
          <w:lang w:val="uk-UA" w:eastAsia="uk-UA" w:bidi="uk-UA"/>
        </w:rPr>
        <w:t>Для виконання стратегічних цілей ENI були розглянуті у рамках Програми 4 тематичні цілі і список з 5 Великими інфраструктурними проектами.</w:t>
      </w:r>
    </w:p>
    <w:p w:rsidR="00642FB4" w:rsidRDefault="00642FB4">
      <w:pPr>
        <w:spacing w:before="60" w:after="60" w:line="288" w:lineRule="auto"/>
        <w:ind w:firstLine="709"/>
        <w:jc w:val="both"/>
        <w:rPr>
          <w:lang w:val="uk-UA" w:eastAsia="uk-UA" w:bidi="uk-UA"/>
        </w:rPr>
      </w:pPr>
      <w:r>
        <w:rPr>
          <w:rFonts w:eastAsia="Calibri"/>
          <w:szCs w:val="22"/>
          <w:lang w:val="uk-UA" w:eastAsia="uk-UA" w:bidi="uk-UA"/>
        </w:rPr>
        <w:t xml:space="preserve">Для кожного обраного пріоритету для тематичних цілей було представлено добре аргументоване обґрунтування щодо потреб прйнятної території Програми Ro-Ua. </w:t>
      </w:r>
    </w:p>
    <w:p w:rsidR="00642FB4" w:rsidRDefault="00642FB4">
      <w:pPr>
        <w:spacing w:before="60" w:after="60" w:line="288" w:lineRule="auto"/>
        <w:ind w:firstLine="709"/>
        <w:jc w:val="both"/>
        <w:rPr>
          <w:bCs/>
          <w:snapToGrid w:val="0"/>
          <w:position w:val="-6"/>
          <w:lang w:val="uk-UA" w:eastAsia="uk-UA" w:bidi="uk-UA"/>
        </w:rPr>
      </w:pPr>
      <w:r>
        <w:rPr>
          <w:rFonts w:eastAsia="Calibri"/>
          <w:snapToGrid w:val="0"/>
          <w:position w:val="-6"/>
          <w:szCs w:val="22"/>
          <w:lang w:val="uk-UA" w:eastAsia="uk-UA" w:bidi="uk-UA"/>
        </w:rPr>
        <w:t>Стаття 10 Директиви СЕО передбачає те що суттєві наслідки впровадження планів / програм потрібно контролювати, для ідентифікації, ще на ранній стадії, будь-яких несприятливих ефектів та, щоб мати можливість взяти відповідні заходи виправлення.</w:t>
      </w:r>
    </w:p>
    <w:p w:rsidR="00642FB4" w:rsidRDefault="00642FB4">
      <w:pPr>
        <w:spacing w:before="60" w:after="60" w:line="288" w:lineRule="auto"/>
        <w:ind w:firstLine="709"/>
        <w:jc w:val="both"/>
        <w:rPr>
          <w:bCs/>
          <w:snapToGrid w:val="0"/>
          <w:position w:val="-6"/>
          <w:lang w:val="uk-UA" w:eastAsia="uk-UA" w:bidi="uk-UA"/>
        </w:rPr>
      </w:pPr>
      <w:r>
        <w:rPr>
          <w:rFonts w:eastAsia="Calibri"/>
          <w:snapToGrid w:val="0"/>
          <w:position w:val="-6"/>
          <w:szCs w:val="22"/>
          <w:lang w:val="uk-UA" w:eastAsia="uk-UA" w:bidi="uk-UA"/>
        </w:rPr>
        <w:t>Система моніторингу ґрунтується на екологічних проблемах, на які може суттєво впливати впровадження Програми Транскордонного Співробітництва Ro-UA.</w:t>
      </w:r>
    </w:p>
    <w:p w:rsidR="00642FB4" w:rsidRDefault="00642FB4">
      <w:pPr>
        <w:spacing w:before="60" w:after="60" w:line="288" w:lineRule="auto"/>
        <w:ind w:firstLine="709"/>
        <w:jc w:val="both"/>
        <w:rPr>
          <w:bCs/>
          <w:snapToGrid w:val="0"/>
          <w:position w:val="-6"/>
          <w:lang w:val="uk-UA" w:eastAsia="uk-UA" w:bidi="uk-UA"/>
        </w:rPr>
      </w:pPr>
      <w:r>
        <w:rPr>
          <w:rFonts w:eastAsia="Calibri"/>
          <w:snapToGrid w:val="0"/>
          <w:position w:val="-6"/>
          <w:szCs w:val="22"/>
          <w:lang w:val="uk-UA" w:eastAsia="uk-UA" w:bidi="uk-UA"/>
        </w:rPr>
        <w:t>При виборі показників для моніторингу впливу Програми на навколишнє середовище були прийняті до уваги:</w:t>
      </w:r>
    </w:p>
    <w:p w:rsidR="00642FB4" w:rsidRDefault="00642FB4">
      <w:pPr>
        <w:numPr>
          <w:ilvl w:val="0"/>
          <w:numId w:val="26"/>
        </w:numPr>
        <w:spacing w:before="60" w:after="60" w:line="288" w:lineRule="auto"/>
        <w:ind w:left="993" w:hanging="284"/>
        <w:jc w:val="both"/>
        <w:rPr>
          <w:snapToGrid w:val="0"/>
          <w:position w:val="-6"/>
          <w:lang w:val="uk-UA" w:eastAsia="uk-UA" w:bidi="uk-UA"/>
        </w:rPr>
      </w:pPr>
      <w:r>
        <w:rPr>
          <w:rFonts w:eastAsia="Calibri"/>
          <w:snapToGrid w:val="0"/>
          <w:position w:val="-6"/>
          <w:szCs w:val="22"/>
          <w:lang w:val="uk-UA" w:eastAsia="uk-UA" w:bidi="uk-UA"/>
        </w:rPr>
        <w:t>Сприяння енергоефективності, низький рівень використання сировини / небезпечних речовин;</w:t>
      </w:r>
    </w:p>
    <w:p w:rsidR="00642FB4" w:rsidRDefault="00642FB4">
      <w:pPr>
        <w:numPr>
          <w:ilvl w:val="0"/>
          <w:numId w:val="26"/>
        </w:numPr>
        <w:spacing w:before="60" w:after="60" w:line="288" w:lineRule="auto"/>
        <w:ind w:left="993" w:hanging="284"/>
        <w:jc w:val="both"/>
        <w:rPr>
          <w:snapToGrid w:val="0"/>
          <w:position w:val="-6"/>
          <w:lang w:val="uk-UA" w:eastAsia="uk-UA" w:bidi="uk-UA"/>
        </w:rPr>
      </w:pPr>
      <w:r>
        <w:rPr>
          <w:rFonts w:eastAsia="Calibri"/>
          <w:snapToGrid w:val="0"/>
          <w:position w:val="-6"/>
          <w:szCs w:val="22"/>
          <w:lang w:val="uk-UA" w:eastAsia="uk-UA" w:bidi="uk-UA"/>
        </w:rPr>
        <w:t>Сприяння розвитку зеленої інфраструктури, в тому числі управління охоронюваними територіями;</w:t>
      </w:r>
    </w:p>
    <w:p w:rsidR="00642FB4" w:rsidRDefault="00642FB4">
      <w:pPr>
        <w:numPr>
          <w:ilvl w:val="0"/>
          <w:numId w:val="26"/>
        </w:numPr>
        <w:spacing w:before="60" w:after="60" w:line="288" w:lineRule="auto"/>
        <w:ind w:left="993" w:hanging="284"/>
        <w:jc w:val="both"/>
        <w:rPr>
          <w:snapToGrid w:val="0"/>
          <w:position w:val="-6"/>
          <w:lang w:val="uk-UA" w:eastAsia="uk-UA" w:bidi="uk-UA"/>
        </w:rPr>
      </w:pPr>
      <w:r>
        <w:rPr>
          <w:rFonts w:eastAsia="Calibri"/>
          <w:snapToGrid w:val="0"/>
          <w:position w:val="-6"/>
          <w:szCs w:val="22"/>
          <w:lang w:val="uk-UA" w:eastAsia="uk-UA" w:bidi="uk-UA"/>
        </w:rPr>
        <w:t>Сприяння управлінню використання поверхневих вод або підземних вод;</w:t>
      </w:r>
    </w:p>
    <w:p w:rsidR="00642FB4" w:rsidRDefault="00642FB4">
      <w:pPr>
        <w:numPr>
          <w:ilvl w:val="0"/>
          <w:numId w:val="26"/>
        </w:numPr>
        <w:spacing w:before="60" w:after="60" w:line="288" w:lineRule="auto"/>
        <w:ind w:left="993" w:hanging="284"/>
        <w:jc w:val="both"/>
        <w:rPr>
          <w:snapToGrid w:val="0"/>
          <w:position w:val="-6"/>
          <w:lang w:val="uk-UA" w:eastAsia="uk-UA" w:bidi="uk-UA"/>
        </w:rPr>
      </w:pPr>
      <w:r>
        <w:rPr>
          <w:rFonts w:eastAsia="Calibri"/>
          <w:snapToGrid w:val="0"/>
          <w:position w:val="-6"/>
          <w:szCs w:val="22"/>
          <w:lang w:val="uk-UA" w:eastAsia="uk-UA" w:bidi="uk-UA"/>
        </w:rPr>
        <w:t>Сприяння стійкій мобільності та змішаному транспорту;</w:t>
      </w:r>
    </w:p>
    <w:p w:rsidR="00642FB4" w:rsidRDefault="00642FB4">
      <w:pPr>
        <w:numPr>
          <w:ilvl w:val="0"/>
          <w:numId w:val="26"/>
        </w:numPr>
        <w:spacing w:before="60" w:after="60" w:line="288" w:lineRule="auto"/>
        <w:ind w:left="993" w:hanging="284"/>
        <w:jc w:val="both"/>
        <w:rPr>
          <w:snapToGrid w:val="0"/>
          <w:position w:val="-6"/>
          <w:lang w:val="uk-UA" w:eastAsia="uk-UA" w:bidi="uk-UA"/>
        </w:rPr>
      </w:pPr>
      <w:r>
        <w:rPr>
          <w:rFonts w:eastAsia="Calibri"/>
          <w:snapToGrid w:val="0"/>
          <w:position w:val="-6"/>
          <w:szCs w:val="22"/>
          <w:lang w:val="uk-UA" w:eastAsia="uk-UA" w:bidi="uk-UA"/>
        </w:rPr>
        <w:t>Внесок у ефективне управління відходами, у їх рециркуляцію та утилізацію;</w:t>
      </w:r>
    </w:p>
    <w:p w:rsidR="00642FB4" w:rsidRDefault="00642FB4">
      <w:pPr>
        <w:numPr>
          <w:ilvl w:val="0"/>
          <w:numId w:val="26"/>
        </w:numPr>
        <w:spacing w:before="60" w:after="60" w:line="288" w:lineRule="auto"/>
        <w:ind w:left="993" w:hanging="284"/>
        <w:jc w:val="both"/>
        <w:rPr>
          <w:snapToGrid w:val="0"/>
          <w:position w:val="-6"/>
          <w:lang w:val="uk-UA" w:eastAsia="uk-UA" w:bidi="uk-UA"/>
        </w:rPr>
      </w:pPr>
      <w:r>
        <w:rPr>
          <w:rFonts w:eastAsia="Calibri"/>
          <w:snapToGrid w:val="0"/>
          <w:position w:val="-6"/>
          <w:szCs w:val="22"/>
          <w:lang w:val="uk-UA" w:eastAsia="uk-UA" w:bidi="uk-UA"/>
        </w:rPr>
        <w:t>Сприяння запобіганню ризикам / стихійним лихам та адаптації до зміни клімату;</w:t>
      </w:r>
    </w:p>
    <w:p w:rsidR="00642FB4" w:rsidRDefault="00642FB4">
      <w:pPr>
        <w:numPr>
          <w:ilvl w:val="0"/>
          <w:numId w:val="26"/>
        </w:numPr>
        <w:spacing w:before="60" w:after="60" w:line="288" w:lineRule="auto"/>
        <w:ind w:left="993" w:hanging="284"/>
        <w:jc w:val="both"/>
        <w:rPr>
          <w:snapToGrid w:val="0"/>
          <w:position w:val="-6"/>
          <w:lang w:val="uk-UA" w:eastAsia="uk-UA" w:bidi="uk-UA"/>
        </w:rPr>
      </w:pPr>
      <w:r>
        <w:rPr>
          <w:rFonts w:eastAsia="Calibri"/>
          <w:snapToGrid w:val="0"/>
          <w:position w:val="-6"/>
          <w:szCs w:val="22"/>
          <w:lang w:val="uk-UA" w:eastAsia="uk-UA" w:bidi="uk-UA"/>
        </w:rPr>
        <w:t>Застосування принципу зелених державних закупівель.</w:t>
      </w:r>
    </w:p>
    <w:p w:rsidR="00642FB4" w:rsidRDefault="00642FB4">
      <w:pPr>
        <w:spacing w:before="60" w:after="60" w:line="288" w:lineRule="auto"/>
        <w:ind w:firstLine="709"/>
        <w:jc w:val="both"/>
        <w:rPr>
          <w:snapToGrid w:val="0"/>
          <w:position w:val="-6"/>
          <w:lang w:val="uk-UA" w:eastAsia="uk-UA" w:bidi="uk-UA"/>
        </w:rPr>
      </w:pPr>
    </w:p>
    <w:p w:rsidR="00642FB4" w:rsidRPr="001D2B9A" w:rsidRDefault="00642FB4">
      <w:pPr>
        <w:spacing w:before="60" w:after="60" w:line="288" w:lineRule="auto"/>
        <w:ind w:firstLine="709"/>
        <w:jc w:val="both"/>
        <w:rPr>
          <w:snapToGrid w:val="0"/>
          <w:position w:val="-6"/>
          <w:lang w:val="uk-UA" w:eastAsia="uk-UA" w:bidi="uk-UA"/>
        </w:rPr>
      </w:pPr>
      <w:r w:rsidRPr="001D2B9A">
        <w:rPr>
          <w:rFonts w:eastAsia="Calibri"/>
          <w:snapToGrid w:val="0"/>
          <w:position w:val="-6"/>
          <w:szCs w:val="22"/>
          <w:lang w:val="uk-UA" w:eastAsia="uk-UA" w:bidi="uk-UA"/>
        </w:rPr>
        <w:t>На підставі оцінки індикативних заходів з можливим впливом на навколишнє середовище було запропонувано наступні зміни моніторингу запропонованого програмою:</w:t>
      </w:r>
    </w:p>
    <w:p w:rsidR="00642FB4" w:rsidRPr="001D2B9A" w:rsidRDefault="00642FB4">
      <w:pPr>
        <w:spacing w:before="60" w:after="60" w:line="288" w:lineRule="auto"/>
        <w:ind w:firstLine="709"/>
        <w:jc w:val="both"/>
        <w:rPr>
          <w:snapToGrid w:val="0"/>
          <w:position w:val="-6"/>
          <w:lang w:val="uk-UA" w:eastAsia="uk-UA" w:bidi="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9"/>
        <w:gridCol w:w="2899"/>
        <w:gridCol w:w="3528"/>
      </w:tblGrid>
      <w:tr w:rsidR="00642FB4" w:rsidRPr="001D2B9A">
        <w:tc>
          <w:tcPr>
            <w:tcW w:w="3575" w:type="dxa"/>
            <w:shd w:val="clear" w:color="auto" w:fill="auto"/>
          </w:tcPr>
          <w:p w:rsidR="00642FB4" w:rsidRPr="001D2B9A" w:rsidRDefault="00642FB4">
            <w:pPr>
              <w:jc w:val="both"/>
              <w:rPr>
                <w:b/>
                <w:snapToGrid w:val="0"/>
                <w:position w:val="-6"/>
                <w:sz w:val="22"/>
                <w:szCs w:val="22"/>
                <w:lang w:val="uk-UA" w:eastAsia="uk-UA" w:bidi="uk-UA"/>
              </w:rPr>
            </w:pPr>
            <w:r w:rsidRPr="001D2B9A">
              <w:rPr>
                <w:rFonts w:eastAsia="Calibri"/>
                <w:b/>
                <w:snapToGrid w:val="0"/>
                <w:position w:val="-6"/>
                <w:sz w:val="22"/>
                <w:szCs w:val="22"/>
                <w:lang w:val="uk-UA" w:eastAsia="uk-UA" w:bidi="uk-UA"/>
              </w:rPr>
              <w:t>Тематична ціль</w:t>
            </w:r>
          </w:p>
        </w:tc>
        <w:tc>
          <w:tcPr>
            <w:tcW w:w="2992" w:type="dxa"/>
            <w:shd w:val="clear" w:color="auto" w:fill="auto"/>
          </w:tcPr>
          <w:p w:rsidR="00642FB4" w:rsidRPr="001D2B9A" w:rsidRDefault="00642FB4">
            <w:pPr>
              <w:jc w:val="both"/>
              <w:rPr>
                <w:b/>
                <w:snapToGrid w:val="0"/>
                <w:position w:val="-6"/>
                <w:sz w:val="22"/>
                <w:szCs w:val="22"/>
                <w:lang w:val="uk-UA" w:eastAsia="uk-UA" w:bidi="uk-UA"/>
              </w:rPr>
            </w:pPr>
            <w:r w:rsidRPr="001D2B9A">
              <w:rPr>
                <w:rFonts w:eastAsia="Calibri"/>
                <w:b/>
                <w:snapToGrid w:val="0"/>
                <w:position w:val="-6"/>
                <w:sz w:val="22"/>
                <w:szCs w:val="22"/>
                <w:lang w:val="uk-UA" w:eastAsia="uk-UA" w:bidi="uk-UA"/>
              </w:rPr>
              <w:t>Пріоритет</w:t>
            </w:r>
          </w:p>
        </w:tc>
        <w:tc>
          <w:tcPr>
            <w:tcW w:w="3675" w:type="dxa"/>
            <w:shd w:val="clear" w:color="auto" w:fill="auto"/>
          </w:tcPr>
          <w:p w:rsidR="00642FB4" w:rsidRPr="001D2B9A" w:rsidRDefault="00642FB4">
            <w:pPr>
              <w:jc w:val="both"/>
              <w:rPr>
                <w:b/>
                <w:snapToGrid w:val="0"/>
                <w:position w:val="-6"/>
                <w:sz w:val="22"/>
                <w:szCs w:val="22"/>
                <w:lang w:val="uk-UA" w:eastAsia="uk-UA" w:bidi="uk-UA"/>
              </w:rPr>
            </w:pPr>
            <w:r w:rsidRPr="001D2B9A">
              <w:rPr>
                <w:rFonts w:eastAsia="Calibri"/>
                <w:b/>
                <w:snapToGrid w:val="0"/>
                <w:position w:val="-6"/>
                <w:sz w:val="22"/>
                <w:szCs w:val="22"/>
                <w:lang w:val="uk-UA" w:eastAsia="uk-UA" w:bidi="uk-UA"/>
              </w:rPr>
              <w:t>Рекомендації сформульовані у процедурі СЕО</w:t>
            </w:r>
          </w:p>
        </w:tc>
      </w:tr>
      <w:tr w:rsidR="00642FB4" w:rsidRPr="001D2B9A">
        <w:trPr>
          <w:trHeight w:val="670"/>
        </w:trPr>
        <w:tc>
          <w:tcPr>
            <w:tcW w:w="3575" w:type="dxa"/>
            <w:vMerge w:val="restart"/>
            <w:shd w:val="clear" w:color="auto" w:fill="auto"/>
          </w:tcPr>
          <w:p w:rsidR="00642FB4" w:rsidRPr="001D2B9A" w:rsidRDefault="00642FB4">
            <w:pPr>
              <w:rPr>
                <w:snapToGrid w:val="0"/>
                <w:position w:val="-6"/>
                <w:sz w:val="22"/>
                <w:szCs w:val="22"/>
                <w:lang w:val="uk-UA" w:eastAsia="uk-UA" w:bidi="uk-UA"/>
              </w:rPr>
            </w:pPr>
            <w:r w:rsidRPr="001D2B9A">
              <w:rPr>
                <w:rFonts w:eastAsia="Calibri"/>
                <w:snapToGrid w:val="0"/>
                <w:position w:val="-6"/>
                <w:sz w:val="22"/>
                <w:szCs w:val="22"/>
                <w:lang w:val="uk-UA" w:eastAsia="uk-UA" w:bidi="uk-UA"/>
              </w:rPr>
              <w:t>OT2 Підтримка освіти, досліджень, технологічного розвитку та інновацій</w:t>
            </w:r>
          </w:p>
          <w:p w:rsidR="00642FB4" w:rsidRPr="001D2B9A" w:rsidRDefault="00642FB4">
            <w:pPr>
              <w:rPr>
                <w:snapToGrid w:val="0"/>
                <w:position w:val="-6"/>
                <w:sz w:val="22"/>
                <w:szCs w:val="22"/>
                <w:lang w:val="uk-UA" w:eastAsia="uk-UA" w:bidi="uk-UA"/>
              </w:rPr>
            </w:pPr>
          </w:p>
        </w:tc>
        <w:tc>
          <w:tcPr>
            <w:tcW w:w="2992" w:type="dxa"/>
            <w:shd w:val="clear" w:color="auto" w:fill="auto"/>
          </w:tcPr>
          <w:p w:rsidR="00642FB4" w:rsidRPr="001D2B9A" w:rsidRDefault="00642FB4">
            <w:pPr>
              <w:rPr>
                <w:snapToGrid w:val="0"/>
                <w:position w:val="-6"/>
                <w:sz w:val="22"/>
                <w:szCs w:val="22"/>
                <w:lang w:val="uk-UA" w:eastAsia="uk-UA" w:bidi="uk-UA"/>
              </w:rPr>
            </w:pPr>
            <w:r w:rsidRPr="001D2B9A">
              <w:rPr>
                <w:rFonts w:eastAsia="Calibri"/>
                <w:snapToGrid w:val="0"/>
                <w:position w:val="-6"/>
                <w:sz w:val="22"/>
                <w:szCs w:val="22"/>
                <w:lang w:val="uk-UA" w:eastAsia="uk-UA" w:bidi="uk-UA"/>
              </w:rPr>
              <w:t>П 1.1 Інституційна співпраця в галузі освіти з метою розширення доступу до освіти та якості освіти</w:t>
            </w:r>
          </w:p>
        </w:tc>
        <w:tc>
          <w:tcPr>
            <w:tcW w:w="3675" w:type="dxa"/>
            <w:shd w:val="clear" w:color="auto" w:fill="auto"/>
          </w:tcPr>
          <w:p w:rsidR="00642FB4" w:rsidRPr="001D2B9A" w:rsidRDefault="00642FB4">
            <w:pPr>
              <w:rPr>
                <w:snapToGrid w:val="0"/>
                <w:position w:val="-6"/>
                <w:sz w:val="22"/>
                <w:szCs w:val="22"/>
                <w:lang w:val="uk-UA" w:eastAsia="uk-UA" w:bidi="uk-UA"/>
              </w:rPr>
            </w:pPr>
            <w:r w:rsidRPr="001D2B9A">
              <w:rPr>
                <w:rFonts w:eastAsia="Calibri"/>
                <w:snapToGrid w:val="0"/>
                <w:position w:val="-6"/>
                <w:sz w:val="22"/>
                <w:szCs w:val="22"/>
                <w:lang w:val="uk-UA" w:eastAsia="uk-UA" w:bidi="uk-UA"/>
              </w:rPr>
              <w:t xml:space="preserve">Включення додаткового показника для Програми: </w:t>
            </w:r>
            <w:r w:rsidRPr="001D2B9A">
              <w:rPr>
                <w:rFonts w:eastAsia="Calibri"/>
                <w:i/>
                <w:snapToGrid w:val="0"/>
                <w:position w:val="-6"/>
                <w:sz w:val="22"/>
                <w:szCs w:val="22"/>
                <w:lang w:val="uk-UA" w:eastAsia="uk-UA" w:bidi="uk-UA"/>
              </w:rPr>
              <w:t>"Кількість відновлених / модернізованих навчальних закладів"</w:t>
            </w:r>
          </w:p>
        </w:tc>
      </w:tr>
      <w:tr w:rsidR="00642FB4" w:rsidRPr="001D2B9A">
        <w:trPr>
          <w:trHeight w:val="730"/>
        </w:trPr>
        <w:tc>
          <w:tcPr>
            <w:tcW w:w="3575" w:type="dxa"/>
            <w:vMerge/>
            <w:shd w:val="clear" w:color="auto" w:fill="auto"/>
          </w:tcPr>
          <w:p w:rsidR="00642FB4" w:rsidRPr="001D2B9A" w:rsidRDefault="00642FB4">
            <w:pPr>
              <w:rPr>
                <w:snapToGrid w:val="0"/>
                <w:position w:val="-6"/>
                <w:sz w:val="22"/>
                <w:szCs w:val="22"/>
                <w:lang w:val="uk-UA" w:eastAsia="uk-UA" w:bidi="uk-UA"/>
              </w:rPr>
            </w:pPr>
          </w:p>
        </w:tc>
        <w:tc>
          <w:tcPr>
            <w:tcW w:w="2992" w:type="dxa"/>
            <w:shd w:val="clear" w:color="auto" w:fill="auto"/>
          </w:tcPr>
          <w:p w:rsidR="00642FB4" w:rsidRPr="001D2B9A" w:rsidRDefault="00642FB4">
            <w:pPr>
              <w:rPr>
                <w:snapToGrid w:val="0"/>
                <w:position w:val="-6"/>
                <w:sz w:val="22"/>
                <w:szCs w:val="22"/>
                <w:lang w:val="uk-UA" w:eastAsia="uk-UA" w:bidi="uk-UA"/>
              </w:rPr>
            </w:pPr>
            <w:r w:rsidRPr="001D2B9A">
              <w:rPr>
                <w:rFonts w:eastAsia="Calibri"/>
                <w:sz w:val="22"/>
                <w:szCs w:val="22"/>
                <w:lang w:val="uk-UA" w:eastAsia="uk-UA" w:bidi="uk-UA"/>
              </w:rPr>
              <w:t>П 1.2  Просування та підтримка досліджень та інновацій</w:t>
            </w:r>
          </w:p>
        </w:tc>
        <w:tc>
          <w:tcPr>
            <w:tcW w:w="3675" w:type="dxa"/>
            <w:shd w:val="clear" w:color="auto" w:fill="auto"/>
          </w:tcPr>
          <w:p w:rsidR="00642FB4" w:rsidRPr="001D2B9A" w:rsidRDefault="00642FB4">
            <w:pPr>
              <w:rPr>
                <w:snapToGrid w:val="0"/>
                <w:position w:val="-6"/>
                <w:sz w:val="22"/>
                <w:szCs w:val="22"/>
                <w:lang w:val="uk-UA" w:eastAsia="uk-UA" w:bidi="uk-UA"/>
              </w:rPr>
            </w:pPr>
            <w:r w:rsidRPr="001D2B9A">
              <w:rPr>
                <w:rFonts w:eastAsia="Calibri"/>
                <w:b/>
                <w:snapToGrid w:val="0"/>
                <w:position w:val="-6"/>
                <w:sz w:val="22"/>
                <w:szCs w:val="22"/>
                <w:lang w:val="uk-UA" w:eastAsia="uk-UA" w:bidi="uk-UA"/>
              </w:rPr>
              <w:t>Жодна</w:t>
            </w:r>
          </w:p>
        </w:tc>
      </w:tr>
      <w:tr w:rsidR="00642FB4" w:rsidRPr="001D2B9A">
        <w:tc>
          <w:tcPr>
            <w:tcW w:w="3575" w:type="dxa"/>
            <w:shd w:val="clear" w:color="auto" w:fill="auto"/>
          </w:tcPr>
          <w:p w:rsidR="00642FB4" w:rsidRPr="001D2B9A" w:rsidRDefault="00642FB4">
            <w:pPr>
              <w:rPr>
                <w:snapToGrid w:val="0"/>
                <w:position w:val="-6"/>
                <w:sz w:val="22"/>
                <w:szCs w:val="22"/>
                <w:lang w:val="uk-UA" w:eastAsia="uk-UA" w:bidi="uk-UA"/>
              </w:rPr>
            </w:pPr>
            <w:r w:rsidRPr="001D2B9A">
              <w:rPr>
                <w:rFonts w:eastAsia="Calibri"/>
                <w:snapToGrid w:val="0"/>
                <w:position w:val="-6"/>
                <w:sz w:val="22"/>
                <w:szCs w:val="22"/>
                <w:lang w:val="uk-UA" w:eastAsia="uk-UA" w:bidi="uk-UA"/>
              </w:rPr>
              <w:t>OT3 Просування місцевої культури та збереження історичної спадщини</w:t>
            </w:r>
          </w:p>
        </w:tc>
        <w:tc>
          <w:tcPr>
            <w:tcW w:w="2992" w:type="dxa"/>
            <w:shd w:val="clear" w:color="auto" w:fill="auto"/>
          </w:tcPr>
          <w:p w:rsidR="00642FB4" w:rsidRPr="001D2B9A" w:rsidRDefault="00642FB4">
            <w:pPr>
              <w:rPr>
                <w:snapToGrid w:val="0"/>
                <w:position w:val="-6"/>
                <w:sz w:val="22"/>
                <w:szCs w:val="22"/>
                <w:lang w:val="uk-UA" w:eastAsia="uk-UA" w:bidi="uk-UA"/>
              </w:rPr>
            </w:pPr>
            <w:r w:rsidRPr="001D2B9A">
              <w:rPr>
                <w:rFonts w:eastAsia="Calibri"/>
                <w:snapToGrid w:val="0"/>
                <w:position w:val="-6"/>
                <w:sz w:val="22"/>
                <w:szCs w:val="22"/>
                <w:lang w:val="uk-UA" w:eastAsia="uk-UA" w:bidi="uk-UA"/>
              </w:rPr>
              <w:t>П 2.1 Збереження і просування культурної та історичної спадщини</w:t>
            </w:r>
          </w:p>
        </w:tc>
        <w:tc>
          <w:tcPr>
            <w:tcW w:w="3675" w:type="dxa"/>
            <w:shd w:val="clear" w:color="auto" w:fill="auto"/>
          </w:tcPr>
          <w:p w:rsidR="00642FB4" w:rsidRPr="001D2B9A" w:rsidRDefault="00642FB4">
            <w:pPr>
              <w:rPr>
                <w:snapToGrid w:val="0"/>
                <w:position w:val="-6"/>
                <w:sz w:val="22"/>
                <w:szCs w:val="22"/>
                <w:lang w:val="uk-UA" w:eastAsia="uk-UA" w:bidi="uk-UA"/>
              </w:rPr>
            </w:pPr>
            <w:r w:rsidRPr="001D2B9A">
              <w:rPr>
                <w:rFonts w:eastAsia="Calibri"/>
                <w:b/>
                <w:snapToGrid w:val="0"/>
                <w:position w:val="-6"/>
                <w:sz w:val="22"/>
                <w:szCs w:val="22"/>
                <w:lang w:val="uk-UA" w:eastAsia="uk-UA" w:bidi="uk-UA"/>
              </w:rPr>
              <w:t>Жодна</w:t>
            </w:r>
          </w:p>
        </w:tc>
      </w:tr>
      <w:tr w:rsidR="00642FB4" w:rsidRPr="001D2B9A">
        <w:trPr>
          <w:trHeight w:val="1306"/>
        </w:trPr>
        <w:tc>
          <w:tcPr>
            <w:tcW w:w="3575" w:type="dxa"/>
            <w:shd w:val="clear" w:color="auto" w:fill="auto"/>
          </w:tcPr>
          <w:p w:rsidR="00642FB4" w:rsidRPr="001D2B9A" w:rsidRDefault="00642FB4">
            <w:pPr>
              <w:rPr>
                <w:snapToGrid w:val="0"/>
                <w:position w:val="-6"/>
                <w:sz w:val="22"/>
                <w:szCs w:val="22"/>
                <w:lang w:val="uk-UA" w:eastAsia="uk-UA" w:bidi="uk-UA"/>
              </w:rPr>
            </w:pPr>
            <w:r w:rsidRPr="001D2B9A">
              <w:rPr>
                <w:rFonts w:eastAsia="Calibri"/>
                <w:snapToGrid w:val="0"/>
                <w:position w:val="-6"/>
                <w:sz w:val="22"/>
                <w:szCs w:val="22"/>
                <w:lang w:val="uk-UA" w:eastAsia="uk-UA" w:bidi="uk-UA"/>
              </w:rPr>
              <w:t xml:space="preserve">OT7 Поліпшення доступності в регіонах, розвиток стійко розвиваючогося транспорту та мереж і систем зв'язку </w:t>
            </w:r>
          </w:p>
        </w:tc>
        <w:tc>
          <w:tcPr>
            <w:tcW w:w="2992" w:type="dxa"/>
            <w:shd w:val="clear" w:color="auto" w:fill="auto"/>
          </w:tcPr>
          <w:p w:rsidR="00642FB4" w:rsidRPr="001D2B9A" w:rsidRDefault="00642FB4">
            <w:pPr>
              <w:rPr>
                <w:snapToGrid w:val="0"/>
                <w:position w:val="-6"/>
                <w:sz w:val="22"/>
                <w:szCs w:val="22"/>
                <w:lang w:val="uk-UA" w:eastAsia="uk-UA" w:bidi="uk-UA"/>
              </w:rPr>
            </w:pPr>
            <w:r w:rsidRPr="001D2B9A">
              <w:rPr>
                <w:rFonts w:eastAsia="Calibri"/>
                <w:snapToGrid w:val="0"/>
                <w:position w:val="-6"/>
                <w:sz w:val="22"/>
                <w:szCs w:val="22"/>
                <w:lang w:val="uk-UA" w:eastAsia="uk-UA" w:bidi="uk-UA"/>
              </w:rPr>
              <w:t>П 3.1 Розвиток транскордонної транспортної інфраструктури та ІКТ інструментів</w:t>
            </w:r>
          </w:p>
        </w:tc>
        <w:tc>
          <w:tcPr>
            <w:tcW w:w="3675" w:type="dxa"/>
            <w:shd w:val="clear" w:color="auto" w:fill="auto"/>
          </w:tcPr>
          <w:p w:rsidR="00642FB4" w:rsidRPr="001D2B9A" w:rsidRDefault="00642FB4">
            <w:pPr>
              <w:rPr>
                <w:snapToGrid w:val="0"/>
                <w:position w:val="-6"/>
                <w:sz w:val="22"/>
                <w:szCs w:val="22"/>
                <w:lang w:val="uk-UA" w:eastAsia="uk-UA" w:bidi="uk-UA"/>
              </w:rPr>
            </w:pPr>
            <w:r w:rsidRPr="001D2B9A">
              <w:rPr>
                <w:rFonts w:eastAsia="Calibri"/>
                <w:snapToGrid w:val="0"/>
                <w:position w:val="-6"/>
                <w:sz w:val="22"/>
                <w:szCs w:val="22"/>
                <w:lang w:val="uk-UA" w:eastAsia="uk-UA" w:bidi="uk-UA"/>
              </w:rPr>
              <w:t>Включення додаткового показника для Програми:</w:t>
            </w:r>
          </w:p>
          <w:p w:rsidR="00642FB4" w:rsidRPr="001D2B9A" w:rsidRDefault="00642FB4">
            <w:pPr>
              <w:rPr>
                <w:i/>
                <w:snapToGrid w:val="0"/>
                <w:position w:val="-6"/>
                <w:sz w:val="22"/>
                <w:szCs w:val="22"/>
                <w:lang w:val="uk-UA" w:eastAsia="uk-UA" w:bidi="uk-UA"/>
              </w:rPr>
            </w:pPr>
            <w:r w:rsidRPr="001D2B9A">
              <w:rPr>
                <w:rFonts w:eastAsia="Calibri"/>
                <w:b/>
                <w:i/>
                <w:snapToGrid w:val="0"/>
                <w:position w:val="-6"/>
                <w:sz w:val="22"/>
                <w:szCs w:val="22"/>
                <w:lang w:val="uk-UA" w:eastAsia="uk-UA" w:bidi="uk-UA"/>
              </w:rPr>
              <w:t>„</w:t>
            </w:r>
            <w:r w:rsidRPr="001D2B9A">
              <w:rPr>
                <w:rFonts w:eastAsia="Calibri"/>
                <w:i/>
                <w:snapToGrid w:val="0"/>
                <w:position w:val="-6"/>
                <w:sz w:val="22"/>
                <w:szCs w:val="22"/>
                <w:lang w:val="uk-UA" w:eastAsia="uk-UA" w:bidi="uk-UA"/>
              </w:rPr>
              <w:t>Кількість проектів, що підтримують розвиток транспортних ініціатив з низьким впливом на навколишнє середовище"</w:t>
            </w:r>
          </w:p>
          <w:p w:rsidR="00642FB4" w:rsidRPr="001D2B9A" w:rsidRDefault="00642FB4">
            <w:pPr>
              <w:rPr>
                <w:snapToGrid w:val="0"/>
                <w:position w:val="-6"/>
                <w:sz w:val="22"/>
                <w:szCs w:val="22"/>
                <w:lang w:val="uk-UA" w:eastAsia="uk-UA" w:bidi="uk-UA"/>
              </w:rPr>
            </w:pPr>
            <w:r w:rsidRPr="001D2B9A">
              <w:rPr>
                <w:rFonts w:eastAsia="Calibri"/>
                <w:i/>
                <w:snapToGrid w:val="0"/>
                <w:position w:val="-6"/>
                <w:sz w:val="22"/>
                <w:szCs w:val="22"/>
                <w:lang w:val="uk-UA" w:eastAsia="uk-UA" w:bidi="uk-UA"/>
              </w:rPr>
              <w:t>Зміна показника таким чином, щоб він включав також і заходи, пов'язані зі змішаним транспортом</w:t>
            </w:r>
          </w:p>
        </w:tc>
      </w:tr>
      <w:tr w:rsidR="00642FB4" w:rsidRPr="001D2B9A">
        <w:trPr>
          <w:trHeight w:val="380"/>
        </w:trPr>
        <w:tc>
          <w:tcPr>
            <w:tcW w:w="3575" w:type="dxa"/>
            <w:vMerge w:val="restart"/>
            <w:shd w:val="clear" w:color="auto" w:fill="auto"/>
          </w:tcPr>
          <w:p w:rsidR="00642FB4" w:rsidRPr="001D2B9A" w:rsidRDefault="00642FB4">
            <w:pPr>
              <w:rPr>
                <w:snapToGrid w:val="0"/>
                <w:position w:val="-6"/>
                <w:sz w:val="22"/>
                <w:szCs w:val="22"/>
                <w:lang w:val="uk-UA" w:eastAsia="uk-UA" w:bidi="uk-UA"/>
              </w:rPr>
            </w:pPr>
            <w:r w:rsidRPr="001D2B9A">
              <w:rPr>
                <w:rFonts w:eastAsia="Calibri"/>
                <w:snapToGrid w:val="0"/>
                <w:position w:val="-6"/>
                <w:sz w:val="22"/>
                <w:szCs w:val="22"/>
                <w:lang w:val="uk-UA" w:eastAsia="uk-UA" w:bidi="uk-UA"/>
              </w:rPr>
              <w:t>OT8 Спільні проблеми у галузі безпеки</w:t>
            </w:r>
          </w:p>
          <w:p w:rsidR="00642FB4" w:rsidRPr="001D2B9A" w:rsidRDefault="00642FB4">
            <w:pPr>
              <w:rPr>
                <w:snapToGrid w:val="0"/>
                <w:position w:val="-6"/>
                <w:sz w:val="22"/>
                <w:szCs w:val="22"/>
                <w:lang w:val="uk-UA" w:eastAsia="uk-UA" w:bidi="uk-UA"/>
              </w:rPr>
            </w:pPr>
          </w:p>
        </w:tc>
        <w:tc>
          <w:tcPr>
            <w:tcW w:w="2992" w:type="dxa"/>
            <w:shd w:val="clear" w:color="auto" w:fill="auto"/>
          </w:tcPr>
          <w:p w:rsidR="00642FB4" w:rsidRPr="001D2B9A" w:rsidRDefault="00642FB4">
            <w:pPr>
              <w:jc w:val="both"/>
              <w:rPr>
                <w:snapToGrid w:val="0"/>
                <w:position w:val="-6"/>
                <w:sz w:val="22"/>
                <w:szCs w:val="22"/>
                <w:lang w:val="uk-UA" w:eastAsia="uk-UA" w:bidi="uk-UA"/>
              </w:rPr>
            </w:pPr>
            <w:r w:rsidRPr="001D2B9A">
              <w:rPr>
                <w:rFonts w:eastAsia="Calibri"/>
                <w:snapToGrid w:val="0"/>
                <w:position w:val="-6"/>
                <w:sz w:val="22"/>
                <w:szCs w:val="22"/>
                <w:lang w:val="uk-UA" w:eastAsia="uk-UA" w:bidi="uk-UA"/>
              </w:rPr>
              <w:t>П 4.1 Підтримка розвитку медичних послуг та доступ до охорони здоров'я</w:t>
            </w:r>
          </w:p>
        </w:tc>
        <w:tc>
          <w:tcPr>
            <w:tcW w:w="3675" w:type="dxa"/>
            <w:shd w:val="clear" w:color="auto" w:fill="auto"/>
          </w:tcPr>
          <w:p w:rsidR="00642FB4" w:rsidRPr="001D2B9A" w:rsidRDefault="00642FB4">
            <w:pPr>
              <w:rPr>
                <w:snapToGrid w:val="0"/>
                <w:position w:val="-6"/>
                <w:sz w:val="22"/>
                <w:szCs w:val="22"/>
                <w:lang w:val="uk-UA" w:eastAsia="uk-UA" w:bidi="uk-UA"/>
              </w:rPr>
            </w:pPr>
            <w:r w:rsidRPr="001D2B9A">
              <w:rPr>
                <w:rFonts w:eastAsia="Calibri"/>
                <w:b/>
                <w:snapToGrid w:val="0"/>
                <w:position w:val="-6"/>
                <w:sz w:val="22"/>
                <w:szCs w:val="22"/>
                <w:lang w:val="uk-UA" w:eastAsia="uk-UA" w:bidi="uk-UA"/>
              </w:rPr>
              <w:t>Жодна</w:t>
            </w:r>
          </w:p>
        </w:tc>
      </w:tr>
      <w:tr w:rsidR="00642FB4" w:rsidRPr="001D2B9A">
        <w:trPr>
          <w:trHeight w:val="370"/>
        </w:trPr>
        <w:tc>
          <w:tcPr>
            <w:tcW w:w="3575" w:type="dxa"/>
            <w:vMerge/>
            <w:shd w:val="clear" w:color="auto" w:fill="auto"/>
          </w:tcPr>
          <w:p w:rsidR="00642FB4" w:rsidRPr="001D2B9A" w:rsidRDefault="00642FB4">
            <w:pPr>
              <w:rPr>
                <w:snapToGrid w:val="0"/>
                <w:position w:val="-6"/>
                <w:sz w:val="22"/>
                <w:szCs w:val="22"/>
                <w:lang w:val="uk-UA" w:eastAsia="uk-UA" w:bidi="uk-UA"/>
              </w:rPr>
            </w:pPr>
          </w:p>
        </w:tc>
        <w:tc>
          <w:tcPr>
            <w:tcW w:w="2992" w:type="dxa"/>
            <w:shd w:val="clear" w:color="auto" w:fill="auto"/>
          </w:tcPr>
          <w:p w:rsidR="00642FB4" w:rsidRPr="001D2B9A" w:rsidRDefault="00642FB4">
            <w:pPr>
              <w:jc w:val="both"/>
              <w:rPr>
                <w:snapToGrid w:val="0"/>
                <w:position w:val="-6"/>
                <w:sz w:val="22"/>
                <w:szCs w:val="22"/>
                <w:lang w:val="uk-UA" w:eastAsia="uk-UA" w:bidi="uk-UA"/>
              </w:rPr>
            </w:pPr>
            <w:r w:rsidRPr="001D2B9A">
              <w:rPr>
                <w:rFonts w:eastAsia="Calibri"/>
                <w:snapToGrid w:val="0"/>
                <w:position w:val="-6"/>
                <w:sz w:val="22"/>
                <w:szCs w:val="22"/>
                <w:lang w:val="uk-UA" w:eastAsia="uk-UA" w:bidi="uk-UA"/>
              </w:rPr>
              <w:t>П 4.2 Підтримка спільних заходів щодо запобігання стихійним лихам та лихам викликаним діяльністю людини, а також підтримка спільних заходів в надзвичайних ситуаціях</w:t>
            </w:r>
          </w:p>
        </w:tc>
        <w:tc>
          <w:tcPr>
            <w:tcW w:w="3675" w:type="dxa"/>
            <w:shd w:val="clear" w:color="auto" w:fill="auto"/>
          </w:tcPr>
          <w:p w:rsidR="00642FB4" w:rsidRPr="001D2B9A" w:rsidRDefault="00642FB4">
            <w:pPr>
              <w:rPr>
                <w:snapToGrid w:val="0"/>
                <w:position w:val="-6"/>
                <w:sz w:val="22"/>
                <w:szCs w:val="22"/>
                <w:lang w:val="uk-UA" w:eastAsia="uk-UA" w:bidi="uk-UA"/>
              </w:rPr>
            </w:pPr>
            <w:r w:rsidRPr="001D2B9A">
              <w:rPr>
                <w:rFonts w:eastAsia="Calibri"/>
                <w:snapToGrid w:val="0"/>
                <w:position w:val="-6"/>
                <w:sz w:val="22"/>
                <w:szCs w:val="22"/>
                <w:lang w:val="uk-UA" w:eastAsia="uk-UA" w:bidi="uk-UA"/>
              </w:rPr>
              <w:t xml:space="preserve">Доповнення запропонованого для Програми показника , а саме кількість спільних заходів (в дужках) „ </w:t>
            </w:r>
            <w:r w:rsidRPr="001D2B9A">
              <w:rPr>
                <w:rFonts w:eastAsia="Calibri"/>
                <w:i/>
                <w:snapToGrid w:val="0"/>
                <w:position w:val="-6"/>
                <w:sz w:val="22"/>
                <w:szCs w:val="22"/>
                <w:lang w:val="uk-UA" w:eastAsia="uk-UA" w:bidi="uk-UA"/>
              </w:rPr>
              <w:t>новими зробленими або оновленими картами,  створеними базами даних, створеними системами / структурами, придбаним обладнанням</w:t>
            </w:r>
            <w:r w:rsidRPr="001D2B9A">
              <w:rPr>
                <w:rFonts w:eastAsia="Calibri"/>
                <w:snapToGrid w:val="0"/>
                <w:position w:val="-6"/>
                <w:sz w:val="22"/>
                <w:szCs w:val="22"/>
                <w:lang w:val="uk-UA" w:eastAsia="uk-UA" w:bidi="uk-UA"/>
              </w:rPr>
              <w:t>”.</w:t>
            </w:r>
          </w:p>
          <w:p w:rsidR="00642FB4" w:rsidRPr="001D2B9A" w:rsidRDefault="00642FB4">
            <w:pPr>
              <w:rPr>
                <w:snapToGrid w:val="0"/>
                <w:position w:val="-6"/>
                <w:sz w:val="22"/>
                <w:szCs w:val="22"/>
                <w:lang w:val="uk-UA" w:eastAsia="uk-UA" w:bidi="uk-UA"/>
              </w:rPr>
            </w:pPr>
            <w:r w:rsidRPr="001D2B9A">
              <w:rPr>
                <w:rFonts w:eastAsia="Calibri"/>
                <w:snapToGrid w:val="0"/>
                <w:position w:val="-6"/>
                <w:sz w:val="22"/>
                <w:szCs w:val="22"/>
                <w:lang w:val="uk-UA" w:eastAsia="uk-UA" w:bidi="uk-UA"/>
              </w:rPr>
              <w:t>Зміна показника таким чином, щоб він відображав також і діяльність, спрямовану на зниження впливу стихійних лих, викликаних діяльністю людини (в тому числі у проекті Clean river)</w:t>
            </w:r>
          </w:p>
          <w:p w:rsidR="00642FB4" w:rsidRPr="001D2B9A" w:rsidRDefault="00642FB4">
            <w:pPr>
              <w:rPr>
                <w:snapToGrid w:val="0"/>
                <w:position w:val="-6"/>
                <w:sz w:val="22"/>
                <w:szCs w:val="22"/>
                <w:lang w:val="uk-UA" w:eastAsia="uk-UA" w:bidi="uk-UA"/>
              </w:rPr>
            </w:pPr>
          </w:p>
        </w:tc>
      </w:tr>
      <w:tr w:rsidR="00642FB4" w:rsidRPr="001D2B9A">
        <w:trPr>
          <w:trHeight w:val="740"/>
        </w:trPr>
        <w:tc>
          <w:tcPr>
            <w:tcW w:w="3575" w:type="dxa"/>
            <w:vMerge/>
            <w:shd w:val="clear" w:color="auto" w:fill="auto"/>
          </w:tcPr>
          <w:p w:rsidR="00642FB4" w:rsidRPr="001D2B9A" w:rsidRDefault="00642FB4">
            <w:pPr>
              <w:rPr>
                <w:snapToGrid w:val="0"/>
                <w:position w:val="-6"/>
                <w:sz w:val="22"/>
                <w:szCs w:val="22"/>
                <w:lang w:val="uk-UA" w:eastAsia="uk-UA" w:bidi="uk-UA"/>
              </w:rPr>
            </w:pPr>
          </w:p>
        </w:tc>
        <w:tc>
          <w:tcPr>
            <w:tcW w:w="2992" w:type="dxa"/>
            <w:shd w:val="clear" w:color="auto" w:fill="auto"/>
          </w:tcPr>
          <w:p w:rsidR="00642FB4" w:rsidRPr="001D2B9A" w:rsidRDefault="00642FB4">
            <w:pPr>
              <w:rPr>
                <w:sz w:val="22"/>
                <w:szCs w:val="22"/>
                <w:lang w:val="uk-UA" w:eastAsia="uk-UA" w:bidi="uk-UA"/>
              </w:rPr>
            </w:pPr>
            <w:r w:rsidRPr="001D2B9A">
              <w:rPr>
                <w:rFonts w:eastAsia="Calibri"/>
                <w:sz w:val="22"/>
                <w:szCs w:val="22"/>
                <w:lang w:val="uk-UA" w:eastAsia="uk-UA" w:bidi="uk-UA"/>
              </w:rPr>
              <w:t>П 4.3 Запобігання та боротьба з організованою злочинністю і поліцейське співробітництво</w:t>
            </w:r>
          </w:p>
        </w:tc>
        <w:tc>
          <w:tcPr>
            <w:tcW w:w="3675" w:type="dxa"/>
            <w:shd w:val="clear" w:color="auto" w:fill="auto"/>
          </w:tcPr>
          <w:p w:rsidR="00642FB4" w:rsidRPr="001D2B9A" w:rsidRDefault="00642FB4">
            <w:pPr>
              <w:rPr>
                <w:snapToGrid w:val="0"/>
                <w:position w:val="-6"/>
                <w:sz w:val="22"/>
                <w:szCs w:val="22"/>
                <w:lang w:val="uk-UA" w:eastAsia="uk-UA" w:bidi="uk-UA"/>
              </w:rPr>
            </w:pPr>
            <w:r w:rsidRPr="001D2B9A">
              <w:rPr>
                <w:rFonts w:eastAsia="Calibri"/>
                <w:b/>
                <w:snapToGrid w:val="0"/>
                <w:position w:val="-6"/>
                <w:sz w:val="22"/>
                <w:szCs w:val="22"/>
                <w:lang w:val="uk-UA" w:eastAsia="uk-UA" w:bidi="uk-UA"/>
              </w:rPr>
              <w:t>Жодна</w:t>
            </w:r>
          </w:p>
        </w:tc>
      </w:tr>
      <w:tr w:rsidR="00642FB4" w:rsidRPr="001D2B9A">
        <w:trPr>
          <w:trHeight w:val="239"/>
        </w:trPr>
        <w:tc>
          <w:tcPr>
            <w:tcW w:w="3575" w:type="dxa"/>
            <w:vMerge w:val="restart"/>
            <w:shd w:val="clear" w:color="auto" w:fill="auto"/>
          </w:tcPr>
          <w:p w:rsidR="00642FB4" w:rsidRPr="001D2B9A" w:rsidRDefault="00642FB4">
            <w:pPr>
              <w:rPr>
                <w:snapToGrid w:val="0"/>
                <w:position w:val="-6"/>
                <w:sz w:val="22"/>
                <w:szCs w:val="22"/>
                <w:lang w:val="uk-UA" w:eastAsia="uk-UA" w:bidi="uk-UA"/>
              </w:rPr>
            </w:pPr>
            <w:r w:rsidRPr="001D2B9A">
              <w:rPr>
                <w:rFonts w:eastAsia="Calibri"/>
                <w:snapToGrid w:val="0"/>
                <w:position w:val="-6"/>
                <w:sz w:val="22"/>
                <w:szCs w:val="22"/>
                <w:lang w:val="uk-UA" w:eastAsia="uk-UA" w:bidi="uk-UA"/>
              </w:rPr>
              <w:t>Великі Інфраструктурні Проекти</w:t>
            </w:r>
          </w:p>
        </w:tc>
        <w:tc>
          <w:tcPr>
            <w:tcW w:w="2992" w:type="dxa"/>
            <w:shd w:val="clear" w:color="auto" w:fill="auto"/>
          </w:tcPr>
          <w:p w:rsidR="00642FB4" w:rsidRPr="001D2B9A" w:rsidRDefault="00642FB4">
            <w:pPr>
              <w:rPr>
                <w:sz w:val="22"/>
                <w:szCs w:val="22"/>
                <w:lang w:val="uk-UA" w:eastAsia="uk-UA" w:bidi="uk-UA"/>
              </w:rPr>
            </w:pPr>
            <w:r w:rsidRPr="001D2B9A">
              <w:rPr>
                <w:rFonts w:eastAsia="Calibri"/>
                <w:sz w:val="22"/>
                <w:szCs w:val="22"/>
                <w:lang w:val="uk-UA" w:eastAsia="uk-UA" w:bidi="uk-UA"/>
              </w:rPr>
              <w:t>“Чиста ріка” - Дунай</w:t>
            </w:r>
          </w:p>
        </w:tc>
        <w:tc>
          <w:tcPr>
            <w:tcW w:w="3675" w:type="dxa"/>
            <w:shd w:val="clear" w:color="auto" w:fill="auto"/>
          </w:tcPr>
          <w:p w:rsidR="00642FB4" w:rsidRPr="001D2B9A" w:rsidRDefault="00642FB4">
            <w:pPr>
              <w:rPr>
                <w:snapToGrid w:val="0"/>
                <w:position w:val="-6"/>
                <w:sz w:val="22"/>
                <w:szCs w:val="22"/>
                <w:lang w:val="uk-UA" w:eastAsia="uk-UA" w:bidi="uk-UA"/>
              </w:rPr>
            </w:pPr>
            <w:r w:rsidRPr="001D2B9A">
              <w:rPr>
                <w:rFonts w:eastAsia="Calibri"/>
                <w:b/>
                <w:snapToGrid w:val="0"/>
                <w:position w:val="-6"/>
                <w:sz w:val="22"/>
                <w:szCs w:val="22"/>
                <w:lang w:val="uk-UA" w:eastAsia="uk-UA" w:bidi="uk-UA"/>
              </w:rPr>
              <w:t>Жодна</w:t>
            </w:r>
          </w:p>
        </w:tc>
      </w:tr>
      <w:tr w:rsidR="00642FB4" w:rsidRPr="001D2B9A">
        <w:trPr>
          <w:trHeight w:val="825"/>
        </w:trPr>
        <w:tc>
          <w:tcPr>
            <w:tcW w:w="3575" w:type="dxa"/>
            <w:vMerge/>
            <w:shd w:val="clear" w:color="auto" w:fill="auto"/>
          </w:tcPr>
          <w:p w:rsidR="00642FB4" w:rsidRPr="001D2B9A" w:rsidRDefault="00642FB4">
            <w:pPr>
              <w:rPr>
                <w:snapToGrid w:val="0"/>
                <w:position w:val="-6"/>
                <w:sz w:val="22"/>
                <w:szCs w:val="22"/>
                <w:lang w:val="uk-UA" w:eastAsia="uk-UA" w:bidi="uk-UA"/>
              </w:rPr>
            </w:pPr>
          </w:p>
        </w:tc>
        <w:tc>
          <w:tcPr>
            <w:tcW w:w="2992" w:type="dxa"/>
            <w:shd w:val="clear" w:color="auto" w:fill="auto"/>
          </w:tcPr>
          <w:p w:rsidR="00642FB4" w:rsidRPr="001D2B9A" w:rsidRDefault="00642FB4">
            <w:pPr>
              <w:rPr>
                <w:sz w:val="22"/>
                <w:szCs w:val="22"/>
                <w:lang w:val="uk-UA" w:eastAsia="uk-UA" w:bidi="uk-UA"/>
              </w:rPr>
            </w:pPr>
            <w:r w:rsidRPr="001D2B9A">
              <w:rPr>
                <w:rFonts w:eastAsia="Calibri"/>
                <w:sz w:val="22"/>
                <w:szCs w:val="22"/>
                <w:lang w:val="uk-UA" w:eastAsia="uk-UA" w:bidi="uk-UA"/>
              </w:rPr>
              <w:t>Покращення транскордонної інфраструктури - відкриті ворота в Європу</w:t>
            </w:r>
          </w:p>
        </w:tc>
        <w:tc>
          <w:tcPr>
            <w:tcW w:w="3675" w:type="dxa"/>
            <w:shd w:val="clear" w:color="auto" w:fill="auto"/>
          </w:tcPr>
          <w:p w:rsidR="00642FB4" w:rsidRPr="001D2B9A" w:rsidRDefault="00642FB4">
            <w:pPr>
              <w:rPr>
                <w:snapToGrid w:val="0"/>
                <w:position w:val="-6"/>
                <w:sz w:val="22"/>
                <w:szCs w:val="22"/>
                <w:lang w:val="uk-UA" w:eastAsia="uk-UA" w:bidi="uk-UA"/>
              </w:rPr>
            </w:pPr>
            <w:r w:rsidRPr="001D2B9A">
              <w:rPr>
                <w:rFonts w:eastAsia="Calibri"/>
                <w:b/>
                <w:snapToGrid w:val="0"/>
                <w:position w:val="-6"/>
                <w:sz w:val="22"/>
                <w:szCs w:val="22"/>
                <w:lang w:val="uk-UA" w:eastAsia="uk-UA" w:bidi="uk-UA"/>
              </w:rPr>
              <w:t>Жодна</w:t>
            </w:r>
          </w:p>
        </w:tc>
      </w:tr>
      <w:tr w:rsidR="00642FB4" w:rsidRPr="001D2B9A">
        <w:trPr>
          <w:trHeight w:val="290"/>
        </w:trPr>
        <w:tc>
          <w:tcPr>
            <w:tcW w:w="3575" w:type="dxa"/>
            <w:vMerge/>
            <w:shd w:val="clear" w:color="auto" w:fill="auto"/>
          </w:tcPr>
          <w:p w:rsidR="00642FB4" w:rsidRPr="001D2B9A" w:rsidRDefault="00642FB4">
            <w:pPr>
              <w:rPr>
                <w:snapToGrid w:val="0"/>
                <w:position w:val="-6"/>
                <w:sz w:val="22"/>
                <w:szCs w:val="22"/>
                <w:lang w:val="uk-UA" w:eastAsia="uk-UA" w:bidi="uk-UA"/>
              </w:rPr>
            </w:pPr>
          </w:p>
        </w:tc>
        <w:tc>
          <w:tcPr>
            <w:tcW w:w="2992" w:type="dxa"/>
            <w:shd w:val="clear" w:color="auto" w:fill="auto"/>
          </w:tcPr>
          <w:p w:rsidR="00642FB4" w:rsidRPr="001D2B9A" w:rsidRDefault="00642FB4">
            <w:pPr>
              <w:rPr>
                <w:sz w:val="22"/>
                <w:szCs w:val="22"/>
                <w:lang w:val="uk-UA" w:eastAsia="uk-UA" w:bidi="uk-UA"/>
              </w:rPr>
            </w:pPr>
            <w:r w:rsidRPr="001D2B9A">
              <w:rPr>
                <w:rFonts w:eastAsia="Calibri"/>
                <w:sz w:val="22"/>
                <w:szCs w:val="22"/>
                <w:lang w:val="uk-UA" w:eastAsia="uk-UA" w:bidi="uk-UA"/>
              </w:rPr>
              <w:t>Регіональне співробітництво між Румунією та Україною для запобігання та боротьби з транскордонною злочинністю</w:t>
            </w:r>
          </w:p>
        </w:tc>
        <w:tc>
          <w:tcPr>
            <w:tcW w:w="3675" w:type="dxa"/>
            <w:shd w:val="clear" w:color="auto" w:fill="auto"/>
          </w:tcPr>
          <w:p w:rsidR="00642FB4" w:rsidRPr="001D2B9A" w:rsidRDefault="00642FB4">
            <w:pPr>
              <w:rPr>
                <w:snapToGrid w:val="0"/>
                <w:position w:val="-6"/>
                <w:sz w:val="22"/>
                <w:szCs w:val="22"/>
                <w:lang w:val="uk-UA" w:eastAsia="uk-UA" w:bidi="uk-UA"/>
              </w:rPr>
            </w:pPr>
            <w:r w:rsidRPr="001D2B9A">
              <w:rPr>
                <w:rFonts w:eastAsia="Calibri"/>
                <w:b/>
                <w:snapToGrid w:val="0"/>
                <w:position w:val="-6"/>
                <w:sz w:val="22"/>
                <w:szCs w:val="22"/>
                <w:lang w:val="uk-UA" w:eastAsia="uk-UA" w:bidi="uk-UA"/>
              </w:rPr>
              <w:t>Жодна</w:t>
            </w:r>
          </w:p>
        </w:tc>
      </w:tr>
      <w:tr w:rsidR="00642FB4" w:rsidRPr="001D2B9A">
        <w:trPr>
          <w:trHeight w:val="460"/>
        </w:trPr>
        <w:tc>
          <w:tcPr>
            <w:tcW w:w="3575" w:type="dxa"/>
            <w:vMerge/>
            <w:shd w:val="clear" w:color="auto" w:fill="auto"/>
          </w:tcPr>
          <w:p w:rsidR="00642FB4" w:rsidRPr="001D2B9A" w:rsidRDefault="00642FB4">
            <w:pPr>
              <w:rPr>
                <w:snapToGrid w:val="0"/>
                <w:position w:val="-6"/>
                <w:sz w:val="22"/>
                <w:szCs w:val="22"/>
                <w:lang w:val="uk-UA" w:eastAsia="uk-UA" w:bidi="uk-UA"/>
              </w:rPr>
            </w:pPr>
          </w:p>
        </w:tc>
        <w:tc>
          <w:tcPr>
            <w:tcW w:w="2992" w:type="dxa"/>
            <w:shd w:val="clear" w:color="auto" w:fill="auto"/>
          </w:tcPr>
          <w:p w:rsidR="00642FB4" w:rsidRPr="001D2B9A" w:rsidRDefault="00642FB4">
            <w:pPr>
              <w:rPr>
                <w:sz w:val="22"/>
                <w:szCs w:val="22"/>
                <w:lang w:val="uk-UA" w:eastAsia="uk-UA" w:bidi="uk-UA"/>
              </w:rPr>
            </w:pPr>
            <w:r w:rsidRPr="001D2B9A">
              <w:rPr>
                <w:rFonts w:eastAsia="Calibri"/>
                <w:sz w:val="22"/>
                <w:szCs w:val="22"/>
                <w:lang w:val="uk-UA" w:eastAsia="uk-UA" w:bidi="uk-UA"/>
              </w:rPr>
              <w:t>Підвищення громадської безпеки та рівня транскордонної безпеки через поліпшення спільного навчання та заходів співпраці в управлінні надзвичайними ситуаціями</w:t>
            </w:r>
          </w:p>
        </w:tc>
        <w:tc>
          <w:tcPr>
            <w:tcW w:w="3675" w:type="dxa"/>
            <w:shd w:val="clear" w:color="auto" w:fill="auto"/>
          </w:tcPr>
          <w:p w:rsidR="00642FB4" w:rsidRPr="001D2B9A" w:rsidRDefault="00642FB4">
            <w:pPr>
              <w:rPr>
                <w:snapToGrid w:val="0"/>
                <w:position w:val="-6"/>
                <w:sz w:val="22"/>
                <w:szCs w:val="22"/>
                <w:lang w:val="uk-UA" w:eastAsia="uk-UA" w:bidi="uk-UA"/>
              </w:rPr>
            </w:pPr>
            <w:r w:rsidRPr="001D2B9A">
              <w:rPr>
                <w:rFonts w:eastAsia="Calibri"/>
                <w:b/>
                <w:snapToGrid w:val="0"/>
                <w:position w:val="-6"/>
                <w:sz w:val="22"/>
                <w:szCs w:val="22"/>
                <w:lang w:val="uk-UA" w:eastAsia="uk-UA" w:bidi="uk-UA"/>
              </w:rPr>
              <w:t>Жодна</w:t>
            </w:r>
          </w:p>
        </w:tc>
      </w:tr>
    </w:tbl>
    <w:p w:rsidR="00642FB4" w:rsidRDefault="00642FB4">
      <w:pPr>
        <w:spacing w:before="60" w:after="60" w:line="288" w:lineRule="auto"/>
        <w:jc w:val="both"/>
        <w:rPr>
          <w:snapToGrid w:val="0"/>
          <w:color w:val="FF0000"/>
          <w:position w:val="-6"/>
          <w:lang w:val="uk-UA" w:eastAsia="uk-UA" w:bidi="uk-UA"/>
        </w:rPr>
      </w:pPr>
    </w:p>
    <w:p w:rsidR="00642FB4" w:rsidRDefault="00642FB4">
      <w:pPr>
        <w:spacing w:before="60" w:after="60" w:line="288" w:lineRule="auto"/>
        <w:ind w:firstLine="709"/>
        <w:jc w:val="both"/>
        <w:rPr>
          <w:bCs/>
          <w:snapToGrid w:val="0"/>
          <w:position w:val="-6"/>
          <w:lang w:val="uk-UA" w:eastAsia="uk-UA" w:bidi="uk-UA"/>
        </w:rPr>
      </w:pPr>
      <w:r>
        <w:rPr>
          <w:rFonts w:eastAsia="Calibri"/>
          <w:snapToGrid w:val="0"/>
          <w:position w:val="-6"/>
          <w:szCs w:val="22"/>
          <w:lang w:val="uk-UA" w:eastAsia="uk-UA" w:bidi="uk-UA"/>
        </w:rPr>
        <w:t>Наступна таблиця представляє показники моніторингу індикативних заходів тих чотирьох тематичних цілей Програми Ro-Ua і Великих Інфраструктурних Проектів, які могли б мати можливий вплив на елементи довкілля враховані у цій стратегічній екологічній оцінці.</w:t>
      </w:r>
    </w:p>
    <w:p w:rsidR="00642FB4" w:rsidRDefault="00642FB4">
      <w:pPr>
        <w:spacing w:before="60" w:after="60" w:line="288" w:lineRule="auto"/>
        <w:ind w:firstLine="709"/>
        <w:jc w:val="both"/>
        <w:rPr>
          <w:bCs/>
          <w:snapToGrid w:val="0"/>
          <w:position w:val="-6"/>
          <w:lang w:val="uk-UA" w:eastAsia="uk-UA" w:bidi="uk-UA"/>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21"/>
        <w:gridCol w:w="2268"/>
      </w:tblGrid>
      <w:tr w:rsidR="00642FB4">
        <w:tc>
          <w:tcPr>
            <w:tcW w:w="7621" w:type="dxa"/>
            <w:shd w:val="clear" w:color="auto" w:fill="auto"/>
          </w:tcPr>
          <w:p w:rsidR="00642FB4" w:rsidRDefault="00642FB4">
            <w:pPr>
              <w:jc w:val="both"/>
              <w:rPr>
                <w:b/>
                <w:sz w:val="22"/>
                <w:szCs w:val="22"/>
                <w:lang w:val="uk-UA" w:eastAsia="uk-UA" w:bidi="uk-UA"/>
              </w:rPr>
            </w:pPr>
          </w:p>
          <w:p w:rsidR="00642FB4" w:rsidRDefault="00642FB4">
            <w:pPr>
              <w:jc w:val="both"/>
              <w:rPr>
                <w:b/>
                <w:sz w:val="22"/>
                <w:szCs w:val="22"/>
                <w:lang w:val="uk-UA" w:eastAsia="uk-UA" w:bidi="uk-UA"/>
              </w:rPr>
            </w:pPr>
            <w:r>
              <w:rPr>
                <w:rFonts w:eastAsia="Calibri"/>
                <w:b/>
                <w:sz w:val="22"/>
                <w:szCs w:val="22"/>
                <w:lang w:val="uk-UA" w:eastAsia="uk-UA" w:bidi="uk-UA"/>
              </w:rPr>
              <w:t>ІНДИКАТИВНИЙ ЗАХІД Програми Ro-Ua</w:t>
            </w:r>
          </w:p>
        </w:tc>
        <w:tc>
          <w:tcPr>
            <w:tcW w:w="2268" w:type="dxa"/>
            <w:shd w:val="clear" w:color="auto" w:fill="auto"/>
          </w:tcPr>
          <w:p w:rsidR="00642FB4" w:rsidRDefault="00642FB4">
            <w:pPr>
              <w:jc w:val="both"/>
              <w:rPr>
                <w:b/>
                <w:sz w:val="22"/>
                <w:szCs w:val="22"/>
                <w:lang w:val="uk-UA" w:eastAsia="uk-UA" w:bidi="uk-UA"/>
              </w:rPr>
            </w:pPr>
          </w:p>
          <w:p w:rsidR="00642FB4" w:rsidRDefault="00642FB4">
            <w:pPr>
              <w:jc w:val="both"/>
              <w:rPr>
                <w:b/>
                <w:sz w:val="22"/>
                <w:szCs w:val="22"/>
                <w:lang w:val="uk-UA" w:eastAsia="uk-UA" w:bidi="uk-UA"/>
              </w:rPr>
            </w:pPr>
            <w:r>
              <w:rPr>
                <w:rFonts w:eastAsia="Calibri"/>
                <w:b/>
                <w:sz w:val="22"/>
                <w:szCs w:val="22"/>
                <w:lang w:val="uk-UA" w:eastAsia="uk-UA" w:bidi="uk-UA"/>
              </w:rPr>
              <w:t>Показники моніторингу</w:t>
            </w:r>
          </w:p>
        </w:tc>
      </w:tr>
      <w:tr w:rsidR="00642FB4">
        <w:tc>
          <w:tcPr>
            <w:tcW w:w="9889" w:type="dxa"/>
            <w:gridSpan w:val="2"/>
            <w:shd w:val="clear" w:color="auto" w:fill="auto"/>
          </w:tcPr>
          <w:p w:rsidR="00642FB4" w:rsidRDefault="00642FB4">
            <w:pPr>
              <w:jc w:val="both"/>
              <w:rPr>
                <w:sz w:val="22"/>
                <w:szCs w:val="22"/>
                <w:lang w:val="uk-UA" w:eastAsia="uk-UA" w:bidi="uk-UA"/>
              </w:rPr>
            </w:pPr>
            <w:r>
              <w:rPr>
                <w:rFonts w:eastAsia="Calibri"/>
                <w:b/>
                <w:sz w:val="22"/>
                <w:szCs w:val="22"/>
                <w:lang w:val="uk-UA" w:eastAsia="uk-UA" w:bidi="uk-UA"/>
              </w:rPr>
              <w:t>OT2 - ПІДТРИМКА ОСВІТИ, ДОСЛІДЖЕНЬ, ТЕХНОЛОГІЧНОГО РОЗВИТКУ ТА ІННОВАЦІЙ</w:t>
            </w:r>
          </w:p>
          <w:p w:rsidR="00642FB4" w:rsidRDefault="00642FB4">
            <w:pPr>
              <w:jc w:val="both"/>
              <w:rPr>
                <w:lang w:val="uk-UA" w:eastAsia="uk-UA" w:bidi="uk-UA"/>
              </w:rPr>
            </w:pPr>
            <w:r>
              <w:rPr>
                <w:rFonts w:eastAsia="Calibri"/>
                <w:b/>
                <w:sz w:val="22"/>
                <w:szCs w:val="22"/>
                <w:lang w:val="uk-UA" w:eastAsia="uk-UA" w:bidi="uk-UA"/>
              </w:rPr>
              <w:t>Ціль 1</w:t>
            </w:r>
            <w:r>
              <w:rPr>
                <w:rFonts w:eastAsia="Calibri"/>
                <w:sz w:val="22"/>
                <w:szCs w:val="22"/>
                <w:lang w:val="uk-UA" w:eastAsia="uk-UA" w:bidi="uk-UA"/>
              </w:rPr>
              <w:t>: Розвиток системи освіти і підтримка досліджень та інновацій на території програми шляхом сприяння співробітництву на місцевому, регіональному та центральному рівнях</w:t>
            </w:r>
          </w:p>
        </w:tc>
      </w:tr>
      <w:tr w:rsidR="00642FB4">
        <w:tc>
          <w:tcPr>
            <w:tcW w:w="9889" w:type="dxa"/>
            <w:gridSpan w:val="2"/>
            <w:shd w:val="clear" w:color="auto" w:fill="auto"/>
          </w:tcPr>
          <w:p w:rsidR="00642FB4" w:rsidRDefault="00642FB4">
            <w:pPr>
              <w:jc w:val="both"/>
              <w:rPr>
                <w:lang w:val="uk-UA" w:eastAsia="uk-UA" w:bidi="uk-UA"/>
              </w:rPr>
            </w:pPr>
            <w:r>
              <w:rPr>
                <w:rFonts w:ascii="Calibri" w:eastAsia="Calibri" w:hAnsi="Calibri"/>
                <w:i/>
                <w:sz w:val="22"/>
                <w:szCs w:val="22"/>
                <w:lang w:val="uk-UA" w:eastAsia="uk-UA" w:bidi="uk-UA"/>
              </w:rPr>
              <w:t>П 1.1 Інституційна співпраця у галузі освіти з метою розширення доступу до освіти та якості освіти</w:t>
            </w:r>
          </w:p>
        </w:tc>
      </w:tr>
      <w:tr w:rsidR="00642FB4">
        <w:tc>
          <w:tcPr>
            <w:tcW w:w="7621"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Відновлення/ модернізація / розширення / придбання обладнання для розвитку освітньої інфраструктури та забезпечення матеріальних передумов для процесу якісної освіти та підвищення участі в освітній діяльності</w:t>
            </w:r>
          </w:p>
        </w:tc>
        <w:tc>
          <w:tcPr>
            <w:tcW w:w="2268" w:type="dxa"/>
            <w:shd w:val="clear" w:color="auto" w:fill="auto"/>
          </w:tcPr>
          <w:p w:rsidR="00642FB4" w:rsidRDefault="00642FB4">
            <w:pPr>
              <w:ind w:left="34"/>
              <w:rPr>
                <w:sz w:val="22"/>
                <w:szCs w:val="22"/>
                <w:lang w:val="uk-UA" w:eastAsia="uk-UA" w:bidi="uk-UA"/>
              </w:rPr>
            </w:pPr>
            <w:r>
              <w:rPr>
                <w:rFonts w:eastAsia="Calibri"/>
                <w:sz w:val="22"/>
                <w:szCs w:val="22"/>
                <w:lang w:val="uk-UA" w:eastAsia="uk-UA" w:bidi="uk-UA"/>
              </w:rPr>
              <w:t>Кількість відновлених / модернізованих навчальних закладів</w:t>
            </w:r>
          </w:p>
        </w:tc>
      </w:tr>
      <w:tr w:rsidR="00642FB4">
        <w:tc>
          <w:tcPr>
            <w:tcW w:w="9889" w:type="dxa"/>
            <w:gridSpan w:val="2"/>
            <w:shd w:val="clear" w:color="auto" w:fill="auto"/>
          </w:tcPr>
          <w:p w:rsidR="00642FB4" w:rsidRDefault="00642FB4">
            <w:pPr>
              <w:ind w:left="34"/>
              <w:jc w:val="both"/>
              <w:rPr>
                <w:sz w:val="22"/>
                <w:szCs w:val="22"/>
                <w:lang w:val="uk-UA" w:eastAsia="uk-UA" w:bidi="uk-UA"/>
              </w:rPr>
            </w:pPr>
            <w:r>
              <w:rPr>
                <w:rFonts w:eastAsia="Calibri"/>
                <w:i/>
                <w:sz w:val="22"/>
                <w:szCs w:val="22"/>
                <w:lang w:val="uk-UA" w:eastAsia="uk-UA" w:bidi="uk-UA"/>
              </w:rPr>
              <w:t>П 1.2  Просування та підтримка досліджень та інновацій</w:t>
            </w:r>
          </w:p>
        </w:tc>
      </w:tr>
      <w:tr w:rsidR="00642FB4">
        <w:tc>
          <w:tcPr>
            <w:tcW w:w="7621"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Просування та підтримка досліджень та інновацій шляхом відновлення/ модернізації / розширення специфічної інфраструктури, в тому числі, придбання спеціального обладнання</w:t>
            </w:r>
          </w:p>
        </w:tc>
        <w:tc>
          <w:tcPr>
            <w:tcW w:w="2268" w:type="dxa"/>
            <w:shd w:val="clear" w:color="auto" w:fill="auto"/>
          </w:tcPr>
          <w:p w:rsidR="00642FB4" w:rsidRDefault="00642FB4">
            <w:pPr>
              <w:ind w:left="34"/>
              <w:rPr>
                <w:sz w:val="22"/>
                <w:szCs w:val="22"/>
                <w:lang w:val="uk-UA" w:eastAsia="uk-UA" w:bidi="uk-UA"/>
              </w:rPr>
            </w:pPr>
            <w:r>
              <w:rPr>
                <w:rFonts w:eastAsia="Calibri"/>
                <w:sz w:val="22"/>
                <w:szCs w:val="22"/>
                <w:lang w:val="uk-UA" w:eastAsia="uk-UA" w:bidi="uk-UA"/>
              </w:rPr>
              <w:t>Кількість установ, які використовують кошти програми для співпраці в R&amp;D та інновацій</w:t>
            </w:r>
          </w:p>
          <w:p w:rsidR="00642FB4" w:rsidRDefault="00642FB4">
            <w:pPr>
              <w:ind w:left="34"/>
              <w:rPr>
                <w:sz w:val="22"/>
                <w:szCs w:val="22"/>
                <w:lang w:val="uk-UA" w:eastAsia="uk-UA" w:bidi="uk-UA"/>
              </w:rPr>
            </w:pPr>
          </w:p>
          <w:p w:rsidR="00642FB4" w:rsidRDefault="00642FB4">
            <w:pPr>
              <w:ind w:left="34"/>
              <w:rPr>
                <w:sz w:val="22"/>
                <w:szCs w:val="22"/>
                <w:lang w:val="uk-UA" w:eastAsia="uk-UA" w:bidi="uk-UA"/>
              </w:rPr>
            </w:pPr>
          </w:p>
        </w:tc>
      </w:tr>
      <w:tr w:rsidR="00642FB4">
        <w:tc>
          <w:tcPr>
            <w:tcW w:w="9889" w:type="dxa"/>
            <w:gridSpan w:val="2"/>
            <w:shd w:val="clear" w:color="auto" w:fill="auto"/>
          </w:tcPr>
          <w:p w:rsidR="00642FB4" w:rsidRDefault="00642FB4">
            <w:pPr>
              <w:jc w:val="both"/>
              <w:rPr>
                <w:b/>
                <w:sz w:val="22"/>
                <w:szCs w:val="22"/>
                <w:lang w:val="uk-UA" w:eastAsia="uk-UA" w:bidi="uk-UA"/>
              </w:rPr>
            </w:pPr>
            <w:r>
              <w:rPr>
                <w:rFonts w:eastAsia="Calibri"/>
                <w:b/>
                <w:sz w:val="22"/>
                <w:szCs w:val="22"/>
                <w:lang w:val="uk-UA" w:eastAsia="uk-UA" w:bidi="uk-UA"/>
              </w:rPr>
              <w:t>OT3 - ПРОСУВАННЯ МІСЦЕВОЇ КУЛЬТУРИ ТА ЗБЕРЕЖЕННЯ ІСТОРИЧНОЇ СПАДЩИНИ</w:t>
            </w:r>
          </w:p>
          <w:p w:rsidR="00642FB4" w:rsidRDefault="00642FB4">
            <w:pPr>
              <w:jc w:val="both"/>
              <w:rPr>
                <w:i/>
                <w:sz w:val="22"/>
                <w:szCs w:val="22"/>
                <w:lang w:val="uk-UA" w:eastAsia="uk-UA" w:bidi="uk-UA"/>
              </w:rPr>
            </w:pPr>
            <w:r>
              <w:rPr>
                <w:rFonts w:eastAsia="Calibri"/>
                <w:b/>
                <w:i/>
                <w:sz w:val="22"/>
                <w:szCs w:val="22"/>
                <w:lang w:val="uk-UA" w:eastAsia="uk-UA" w:bidi="uk-UA"/>
              </w:rPr>
              <w:t xml:space="preserve">Ціль 2: </w:t>
            </w:r>
            <w:r>
              <w:rPr>
                <w:rFonts w:eastAsia="Calibri"/>
                <w:sz w:val="22"/>
                <w:szCs w:val="22"/>
                <w:lang w:val="uk-UA" w:eastAsia="uk-UA" w:bidi="uk-UA"/>
              </w:rPr>
              <w:t xml:space="preserve"> Збереження культурної та історичної спадщини на прийнятній території, підтримка розвитку місцевої культури, специфічної культурної самобутності та культурного діалогу сприяють підвищенню привабливості прийнятної території</w:t>
            </w:r>
          </w:p>
          <w:p w:rsidR="00642FB4" w:rsidRDefault="00642FB4">
            <w:pPr>
              <w:jc w:val="both"/>
              <w:rPr>
                <w:sz w:val="22"/>
                <w:szCs w:val="22"/>
                <w:lang w:val="uk-UA" w:eastAsia="uk-UA" w:bidi="uk-UA"/>
              </w:rPr>
            </w:pPr>
            <w:r>
              <w:rPr>
                <w:rFonts w:eastAsia="Calibri"/>
                <w:i/>
                <w:sz w:val="22"/>
                <w:szCs w:val="22"/>
                <w:lang w:val="uk-UA" w:eastAsia="uk-UA" w:bidi="uk-UA"/>
              </w:rPr>
              <w:t>Пріоритет 2.1 Збереження і просування культурної та історичної спадщини</w:t>
            </w:r>
          </w:p>
        </w:tc>
      </w:tr>
      <w:tr w:rsidR="00642FB4">
        <w:tc>
          <w:tcPr>
            <w:tcW w:w="7621"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 xml:space="preserve">Відновлення, збереження, зміцнення захист і безпека культурних та історичних пам'ятників (у тому числі їх під'їзних доріг), музеїв, художніх колекцій та виробів та їх спільне просування на основі відповідних транскордонних стратегій/ концептів </w:t>
            </w:r>
          </w:p>
        </w:tc>
        <w:tc>
          <w:tcPr>
            <w:tcW w:w="2268" w:type="dxa"/>
            <w:shd w:val="clear" w:color="auto" w:fill="auto"/>
          </w:tcPr>
          <w:p w:rsidR="00642FB4" w:rsidRDefault="00642FB4">
            <w:pPr>
              <w:ind w:left="34"/>
              <w:rPr>
                <w:sz w:val="22"/>
                <w:szCs w:val="22"/>
                <w:lang w:val="uk-UA" w:eastAsia="uk-UA" w:bidi="uk-UA"/>
              </w:rPr>
            </w:pPr>
            <w:r>
              <w:rPr>
                <w:rFonts w:eastAsia="Calibri"/>
                <w:sz w:val="22"/>
                <w:szCs w:val="22"/>
                <w:lang w:val="uk-UA" w:eastAsia="uk-UA" w:bidi="uk-UA"/>
              </w:rPr>
              <w:t>Кількість поліпшених культурних та історичних місць</w:t>
            </w:r>
          </w:p>
        </w:tc>
      </w:tr>
      <w:tr w:rsidR="00642FB4">
        <w:tc>
          <w:tcPr>
            <w:tcW w:w="7621"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Збереження, охорона та спільне використання пам'ятників та історичних і культурних цінностей</w:t>
            </w:r>
          </w:p>
        </w:tc>
        <w:tc>
          <w:tcPr>
            <w:tcW w:w="2268" w:type="dxa"/>
            <w:shd w:val="clear" w:color="auto" w:fill="auto"/>
          </w:tcPr>
          <w:p w:rsidR="00642FB4" w:rsidRDefault="00642FB4">
            <w:pPr>
              <w:ind w:left="34"/>
              <w:jc w:val="both"/>
              <w:rPr>
                <w:sz w:val="22"/>
                <w:szCs w:val="22"/>
                <w:lang w:val="uk-UA" w:eastAsia="uk-UA" w:bidi="uk-UA"/>
              </w:rPr>
            </w:pPr>
            <w:r>
              <w:rPr>
                <w:rFonts w:eastAsia="Calibri"/>
                <w:sz w:val="22"/>
                <w:szCs w:val="22"/>
                <w:lang w:val="uk-UA" w:eastAsia="uk-UA" w:bidi="uk-UA"/>
              </w:rPr>
              <w:t>Кількість поліпшених культурних та історичних місць</w:t>
            </w:r>
          </w:p>
        </w:tc>
      </w:tr>
      <w:tr w:rsidR="00642FB4">
        <w:tc>
          <w:tcPr>
            <w:tcW w:w="9889" w:type="dxa"/>
            <w:gridSpan w:val="2"/>
            <w:shd w:val="clear" w:color="auto" w:fill="auto"/>
          </w:tcPr>
          <w:p w:rsidR="00642FB4" w:rsidRDefault="00642FB4">
            <w:pPr>
              <w:jc w:val="both"/>
              <w:rPr>
                <w:b/>
                <w:sz w:val="22"/>
                <w:szCs w:val="22"/>
                <w:lang w:val="uk-UA" w:eastAsia="uk-UA" w:bidi="uk-UA"/>
              </w:rPr>
            </w:pPr>
            <w:r>
              <w:rPr>
                <w:rFonts w:eastAsia="Calibri"/>
                <w:b/>
                <w:sz w:val="22"/>
                <w:szCs w:val="22"/>
                <w:lang w:val="uk-UA" w:eastAsia="uk-UA" w:bidi="uk-UA"/>
              </w:rPr>
              <w:t xml:space="preserve">OT7 – ПОЛІПШЕННЯ ДОСТУПНОСТІ В РЕГІОНАХ, РОЗВИТОК МЕРЕЖ ТА СИСТЕМ ТРАНСПОРТУ І ЗВ'ЯЗКУ </w:t>
            </w:r>
          </w:p>
          <w:p w:rsidR="00642FB4" w:rsidRDefault="00642FB4">
            <w:pPr>
              <w:jc w:val="both"/>
              <w:rPr>
                <w:sz w:val="22"/>
                <w:szCs w:val="22"/>
                <w:lang w:val="uk-UA" w:eastAsia="uk-UA" w:bidi="uk-UA"/>
              </w:rPr>
            </w:pPr>
            <w:r>
              <w:rPr>
                <w:rFonts w:eastAsia="Calibri"/>
                <w:b/>
                <w:i/>
                <w:sz w:val="22"/>
                <w:szCs w:val="22"/>
                <w:lang w:val="uk-UA" w:eastAsia="uk-UA" w:bidi="uk-UA"/>
              </w:rPr>
              <w:t>Ціль 3</w:t>
            </w:r>
            <w:r>
              <w:rPr>
                <w:rFonts w:eastAsia="Calibri"/>
                <w:sz w:val="22"/>
                <w:szCs w:val="22"/>
                <w:lang w:val="uk-UA" w:eastAsia="uk-UA" w:bidi="uk-UA"/>
              </w:rPr>
              <w:t>: Поліпшення послуг громадського транспорту, інфраструктури і співпраці, а також ІКТ networking</w:t>
            </w:r>
          </w:p>
          <w:p w:rsidR="00642FB4" w:rsidRDefault="00642FB4">
            <w:pPr>
              <w:jc w:val="both"/>
              <w:rPr>
                <w:sz w:val="22"/>
                <w:szCs w:val="22"/>
                <w:lang w:val="uk-UA" w:eastAsia="uk-UA" w:bidi="uk-UA"/>
              </w:rPr>
            </w:pPr>
            <w:r>
              <w:rPr>
                <w:rFonts w:eastAsia="Calibri"/>
                <w:i/>
                <w:sz w:val="22"/>
                <w:szCs w:val="22"/>
                <w:lang w:val="uk-UA" w:eastAsia="uk-UA" w:bidi="uk-UA"/>
              </w:rPr>
              <w:t>П 3.1 Розвиток транскордонної транспортної інфраструктури та ІКТ інструментів</w:t>
            </w:r>
          </w:p>
        </w:tc>
      </w:tr>
      <w:tr w:rsidR="00642FB4">
        <w:tc>
          <w:tcPr>
            <w:tcW w:w="7621"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Реконструкція, відновлення, модернізація транскордонних систем транспорту</w:t>
            </w:r>
          </w:p>
        </w:tc>
        <w:tc>
          <w:tcPr>
            <w:tcW w:w="2268" w:type="dxa"/>
            <w:shd w:val="clear" w:color="auto" w:fill="auto"/>
          </w:tcPr>
          <w:p w:rsidR="00642FB4" w:rsidRDefault="00642FB4">
            <w:pPr>
              <w:ind w:left="34"/>
              <w:jc w:val="both"/>
              <w:rPr>
                <w:sz w:val="22"/>
                <w:szCs w:val="22"/>
                <w:lang w:val="uk-UA" w:eastAsia="uk-UA" w:bidi="uk-UA"/>
              </w:rPr>
            </w:pPr>
            <w:r>
              <w:rPr>
                <w:rFonts w:eastAsia="Calibri"/>
                <w:sz w:val="22"/>
                <w:szCs w:val="22"/>
                <w:lang w:val="uk-UA" w:eastAsia="uk-UA" w:bidi="uk-UA"/>
              </w:rPr>
              <w:t>Загальна протяжність відновлених та реконструйованих доріг</w:t>
            </w:r>
          </w:p>
        </w:tc>
      </w:tr>
      <w:tr w:rsidR="00642FB4">
        <w:tc>
          <w:tcPr>
            <w:tcW w:w="7621"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Розробка екологічно чистих ініціатив щодо транскордонного транспорту та інноваційних рішень</w:t>
            </w:r>
          </w:p>
        </w:tc>
        <w:tc>
          <w:tcPr>
            <w:tcW w:w="2268" w:type="dxa"/>
            <w:shd w:val="clear" w:color="auto" w:fill="auto"/>
          </w:tcPr>
          <w:p w:rsidR="00642FB4" w:rsidRDefault="00642FB4">
            <w:pPr>
              <w:ind w:left="34"/>
              <w:rPr>
                <w:sz w:val="22"/>
                <w:szCs w:val="22"/>
                <w:lang w:val="uk-UA" w:eastAsia="uk-UA" w:bidi="uk-UA"/>
              </w:rPr>
            </w:pPr>
            <w:r>
              <w:rPr>
                <w:rFonts w:eastAsia="Calibri"/>
                <w:sz w:val="22"/>
                <w:szCs w:val="22"/>
                <w:lang w:val="uk-UA" w:eastAsia="uk-UA" w:bidi="uk-UA"/>
              </w:rPr>
              <w:t xml:space="preserve">Кількість розроблених ініціатив щодо транспорту з низьким впливом на навколишнє середовище </w:t>
            </w:r>
          </w:p>
        </w:tc>
      </w:tr>
      <w:tr w:rsidR="00642FB4">
        <w:tc>
          <w:tcPr>
            <w:tcW w:w="7621"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Удосконалення засобів змішаного транспорту (дорожнього / річкового) з транскордонним значенням</w:t>
            </w:r>
          </w:p>
        </w:tc>
        <w:tc>
          <w:tcPr>
            <w:tcW w:w="2268" w:type="dxa"/>
            <w:shd w:val="clear" w:color="auto" w:fill="auto"/>
          </w:tcPr>
          <w:p w:rsidR="00642FB4" w:rsidRDefault="00642FB4">
            <w:pPr>
              <w:ind w:left="34"/>
              <w:rPr>
                <w:sz w:val="22"/>
                <w:szCs w:val="22"/>
                <w:lang w:val="uk-UA" w:eastAsia="uk-UA" w:bidi="uk-UA"/>
              </w:rPr>
            </w:pPr>
            <w:r>
              <w:rPr>
                <w:rFonts w:eastAsia="Calibri"/>
                <w:sz w:val="22"/>
                <w:szCs w:val="22"/>
                <w:lang w:val="uk-UA" w:eastAsia="uk-UA" w:bidi="uk-UA"/>
              </w:rPr>
              <w:t xml:space="preserve">Кількість спільних механізмів, розроблених для підтримки поліпшення транскордонної інфраструктури (спільна документація планування, включаючи стратегії, плани дій, механізми для сприяння змішаному транспорту) </w:t>
            </w:r>
          </w:p>
        </w:tc>
      </w:tr>
      <w:tr w:rsidR="00642FB4">
        <w:tc>
          <w:tcPr>
            <w:tcW w:w="7621"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Реконструкція, відновлення, розширення прикордонних доріг або певних відрізків дороги, які з'єднують населені пункти вздовж головної дороги, що веде до кордону</w:t>
            </w:r>
          </w:p>
        </w:tc>
        <w:tc>
          <w:tcPr>
            <w:tcW w:w="2268" w:type="dxa"/>
            <w:shd w:val="clear" w:color="auto" w:fill="auto"/>
          </w:tcPr>
          <w:p w:rsidR="00642FB4" w:rsidRDefault="00642FB4">
            <w:pPr>
              <w:ind w:left="34"/>
              <w:rPr>
                <w:sz w:val="22"/>
                <w:szCs w:val="22"/>
                <w:lang w:val="uk-UA" w:eastAsia="uk-UA" w:bidi="uk-UA"/>
              </w:rPr>
            </w:pPr>
            <w:r>
              <w:rPr>
                <w:rFonts w:eastAsia="Calibri"/>
                <w:sz w:val="22"/>
                <w:szCs w:val="22"/>
                <w:lang w:val="uk-UA" w:eastAsia="uk-UA" w:bidi="uk-UA"/>
              </w:rPr>
              <w:t>Загальна протяжність відновлених та реконструйованих доріг</w:t>
            </w:r>
          </w:p>
        </w:tc>
      </w:tr>
      <w:tr w:rsidR="00642FB4">
        <w:tc>
          <w:tcPr>
            <w:tcW w:w="7621"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Поліпшення / відновлення / будівництво доріг або відрізків дороги для забезпечення доступу до центрів транскордонного значення</w:t>
            </w:r>
          </w:p>
        </w:tc>
        <w:tc>
          <w:tcPr>
            <w:tcW w:w="2268" w:type="dxa"/>
            <w:shd w:val="clear" w:color="auto" w:fill="auto"/>
          </w:tcPr>
          <w:p w:rsidR="00642FB4" w:rsidRDefault="00642FB4">
            <w:pPr>
              <w:ind w:left="34"/>
              <w:rPr>
                <w:sz w:val="22"/>
                <w:szCs w:val="22"/>
                <w:lang w:val="uk-UA" w:eastAsia="uk-UA" w:bidi="uk-UA"/>
              </w:rPr>
            </w:pPr>
            <w:r>
              <w:rPr>
                <w:rFonts w:eastAsia="Calibri"/>
                <w:sz w:val="22"/>
                <w:szCs w:val="22"/>
                <w:lang w:val="uk-UA" w:eastAsia="uk-UA" w:bidi="uk-UA"/>
              </w:rPr>
              <w:t>Загальна протяжність відновлених та реконструйованих доріг</w:t>
            </w:r>
          </w:p>
        </w:tc>
      </w:tr>
      <w:tr w:rsidR="00642FB4">
        <w:tc>
          <w:tcPr>
            <w:tcW w:w="9889" w:type="dxa"/>
            <w:gridSpan w:val="2"/>
            <w:shd w:val="clear" w:color="auto" w:fill="auto"/>
          </w:tcPr>
          <w:p w:rsidR="00642FB4" w:rsidRDefault="00642FB4">
            <w:pPr>
              <w:jc w:val="both"/>
              <w:rPr>
                <w:b/>
                <w:sz w:val="22"/>
                <w:szCs w:val="22"/>
                <w:lang w:val="uk-UA" w:eastAsia="uk-UA" w:bidi="uk-UA"/>
              </w:rPr>
            </w:pPr>
            <w:r>
              <w:rPr>
                <w:rFonts w:eastAsia="Calibri"/>
                <w:b/>
                <w:sz w:val="22"/>
                <w:szCs w:val="22"/>
                <w:lang w:val="uk-UA" w:eastAsia="uk-UA" w:bidi="uk-UA"/>
              </w:rPr>
              <w:t>OT8 - СПІЛЬНІ ПРОБЛЕМИ У ГАЛУЗІ БЕЗПЕКИ</w:t>
            </w:r>
          </w:p>
          <w:p w:rsidR="00642FB4" w:rsidRDefault="00642FB4">
            <w:pPr>
              <w:jc w:val="both"/>
              <w:rPr>
                <w:sz w:val="22"/>
                <w:szCs w:val="22"/>
                <w:lang w:val="uk-UA" w:eastAsia="uk-UA" w:bidi="uk-UA"/>
              </w:rPr>
            </w:pPr>
            <w:r>
              <w:rPr>
                <w:rFonts w:eastAsia="Calibri"/>
                <w:b/>
                <w:i/>
                <w:sz w:val="22"/>
                <w:szCs w:val="22"/>
                <w:lang w:val="uk-UA" w:eastAsia="uk-UA" w:bidi="uk-UA"/>
              </w:rPr>
              <w:t xml:space="preserve">Ціль 4: </w:t>
            </w:r>
            <w:r>
              <w:rPr>
                <w:rFonts w:eastAsia="Calibri"/>
                <w:sz w:val="22"/>
                <w:szCs w:val="22"/>
                <w:lang w:val="uk-UA" w:eastAsia="uk-UA" w:bidi="uk-UA"/>
              </w:rPr>
              <w:t>Спільні проблеми у галузі транскордонної безпеки,  доступу до охорони здоров'я, управління природними та антропогенними ризиками та надзвичайними ситуаціями у спільних проектах</w:t>
            </w:r>
          </w:p>
        </w:tc>
      </w:tr>
      <w:tr w:rsidR="00642FB4">
        <w:tc>
          <w:tcPr>
            <w:tcW w:w="9889" w:type="dxa"/>
            <w:gridSpan w:val="2"/>
            <w:shd w:val="clear" w:color="auto" w:fill="auto"/>
          </w:tcPr>
          <w:p w:rsidR="00642FB4" w:rsidRDefault="00642FB4">
            <w:pPr>
              <w:jc w:val="both"/>
              <w:rPr>
                <w:sz w:val="22"/>
                <w:szCs w:val="22"/>
                <w:lang w:val="uk-UA" w:eastAsia="uk-UA" w:bidi="uk-UA"/>
              </w:rPr>
            </w:pPr>
            <w:r>
              <w:rPr>
                <w:rFonts w:eastAsia="Calibri"/>
                <w:i/>
                <w:sz w:val="22"/>
                <w:szCs w:val="22"/>
                <w:lang w:val="uk-UA" w:eastAsia="uk-UA" w:bidi="uk-UA"/>
              </w:rPr>
              <w:t>П 4.1 Підтримка розвитку медичних послуг та доступ до медичних послуг</w:t>
            </w:r>
          </w:p>
        </w:tc>
      </w:tr>
      <w:tr w:rsidR="00642FB4">
        <w:tc>
          <w:tcPr>
            <w:tcW w:w="7621"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 xml:space="preserve">Спільні заходи, спрямовані на розширення доступу до охорони громадського здоров'я в прикордонній зоні за допомогою будівництва / відновлення / модернізації інфраструктури служб охорони здоров'я (у тому числі шляхом використання відновлюваних джерел енергії тощо) </w:t>
            </w:r>
          </w:p>
        </w:tc>
        <w:tc>
          <w:tcPr>
            <w:tcW w:w="2268" w:type="dxa"/>
            <w:shd w:val="clear" w:color="auto" w:fill="auto"/>
          </w:tcPr>
          <w:p w:rsidR="00642FB4" w:rsidRDefault="00642FB4">
            <w:pPr>
              <w:rPr>
                <w:sz w:val="22"/>
                <w:szCs w:val="22"/>
                <w:lang w:val="uk-UA" w:eastAsia="uk-UA" w:bidi="uk-UA"/>
              </w:rPr>
            </w:pPr>
            <w:r>
              <w:rPr>
                <w:rFonts w:eastAsia="Calibri"/>
                <w:sz w:val="22"/>
                <w:szCs w:val="22"/>
                <w:lang w:val="uk-UA" w:eastAsia="uk-UA" w:bidi="uk-UA"/>
              </w:rPr>
              <w:t>Населення, охоплене удосконаленими медичними послугами як прямий результат підтримки, наданої  Програмою</w:t>
            </w:r>
          </w:p>
        </w:tc>
      </w:tr>
      <w:tr w:rsidR="00642FB4">
        <w:tc>
          <w:tcPr>
            <w:tcW w:w="7621"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 xml:space="preserve">Розробка стаціонарних та мобільних лабораторій для виявлення / клінічного моніторингу хвороб та запобігання транскордонним епідеміям </w:t>
            </w:r>
          </w:p>
        </w:tc>
        <w:tc>
          <w:tcPr>
            <w:tcW w:w="2268"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Число удосконалених медичних установ</w:t>
            </w:r>
          </w:p>
        </w:tc>
      </w:tr>
      <w:tr w:rsidR="00642FB4">
        <w:tc>
          <w:tcPr>
            <w:tcW w:w="7621"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Оснащення специфічної інфраструктури охорони громадського здоров'я (амбулаторії, об'єкти підрозділів швидкої медичної допомоги, медичні центри, інтегроване соціальне втручання і т.д.)</w:t>
            </w:r>
          </w:p>
        </w:tc>
        <w:tc>
          <w:tcPr>
            <w:tcW w:w="2268" w:type="dxa"/>
            <w:shd w:val="clear" w:color="auto" w:fill="auto"/>
          </w:tcPr>
          <w:p w:rsidR="00642FB4" w:rsidRDefault="00642FB4">
            <w:pPr>
              <w:rPr>
                <w:sz w:val="22"/>
                <w:szCs w:val="22"/>
                <w:lang w:val="uk-UA" w:eastAsia="uk-UA" w:bidi="uk-UA"/>
              </w:rPr>
            </w:pPr>
            <w:r>
              <w:rPr>
                <w:rFonts w:eastAsia="Calibri"/>
                <w:sz w:val="22"/>
                <w:szCs w:val="22"/>
                <w:lang w:val="uk-UA" w:eastAsia="uk-UA" w:bidi="uk-UA"/>
              </w:rPr>
              <w:t>Число удосконалених медичних установ</w:t>
            </w:r>
          </w:p>
          <w:p w:rsidR="00642FB4" w:rsidRDefault="00642FB4">
            <w:pPr>
              <w:rPr>
                <w:sz w:val="22"/>
                <w:szCs w:val="22"/>
                <w:lang w:val="uk-UA" w:eastAsia="uk-UA" w:bidi="uk-UA"/>
              </w:rPr>
            </w:pPr>
            <w:r>
              <w:rPr>
                <w:rFonts w:eastAsia="Calibri"/>
                <w:sz w:val="22"/>
                <w:szCs w:val="22"/>
                <w:lang w:val="uk-UA" w:eastAsia="uk-UA" w:bidi="uk-UA"/>
              </w:rPr>
              <w:t>Населення, охоплене удосконаленими медичними послугами як прямий результат підтримки, наданої  Програмою</w:t>
            </w:r>
          </w:p>
        </w:tc>
      </w:tr>
      <w:tr w:rsidR="00642FB4">
        <w:tc>
          <w:tcPr>
            <w:tcW w:w="9889" w:type="dxa"/>
            <w:gridSpan w:val="2"/>
            <w:shd w:val="clear" w:color="auto" w:fill="auto"/>
          </w:tcPr>
          <w:p w:rsidR="00642FB4" w:rsidRDefault="00642FB4">
            <w:pPr>
              <w:jc w:val="both"/>
              <w:rPr>
                <w:sz w:val="22"/>
                <w:szCs w:val="22"/>
                <w:lang w:val="uk-UA" w:eastAsia="uk-UA" w:bidi="uk-UA"/>
              </w:rPr>
            </w:pPr>
            <w:r>
              <w:rPr>
                <w:rFonts w:eastAsia="Calibri"/>
                <w:i/>
                <w:sz w:val="22"/>
                <w:szCs w:val="22"/>
                <w:lang w:val="uk-UA" w:eastAsia="uk-UA" w:bidi="uk-UA"/>
              </w:rPr>
              <w:t>Пріоритет 4.2 Підтримка спільних заходів щодо запобігання стихійним лихам та лихам викликаним діяльністю людини, а також підтримка спільних заходів в надзвичайних ситуаціях</w:t>
            </w:r>
          </w:p>
        </w:tc>
      </w:tr>
      <w:tr w:rsidR="00642FB4">
        <w:tc>
          <w:tcPr>
            <w:tcW w:w="7621"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Спільні заходи щодо запобігання зсувам і повеням в транскордонних районах</w:t>
            </w:r>
          </w:p>
        </w:tc>
        <w:tc>
          <w:tcPr>
            <w:tcW w:w="2268" w:type="dxa"/>
            <w:shd w:val="clear" w:color="auto" w:fill="auto"/>
          </w:tcPr>
          <w:p w:rsidR="00642FB4" w:rsidRDefault="00642FB4">
            <w:pPr>
              <w:rPr>
                <w:sz w:val="22"/>
                <w:szCs w:val="22"/>
                <w:lang w:val="uk-UA" w:eastAsia="uk-UA" w:bidi="uk-UA"/>
              </w:rPr>
            </w:pPr>
            <w:r>
              <w:rPr>
                <w:rFonts w:eastAsia="Calibri"/>
                <w:sz w:val="22"/>
                <w:szCs w:val="22"/>
                <w:lang w:val="uk-UA" w:eastAsia="uk-UA" w:bidi="uk-UA"/>
              </w:rPr>
              <w:t>Населення, яке має користь від заходів по захисту від повеней</w:t>
            </w:r>
          </w:p>
          <w:p w:rsidR="00642FB4" w:rsidRDefault="00642FB4">
            <w:pPr>
              <w:rPr>
                <w:sz w:val="22"/>
                <w:szCs w:val="22"/>
                <w:lang w:val="uk-UA" w:eastAsia="uk-UA" w:bidi="uk-UA"/>
              </w:rPr>
            </w:pPr>
          </w:p>
        </w:tc>
      </w:tr>
      <w:tr w:rsidR="00642FB4">
        <w:tc>
          <w:tcPr>
            <w:tcW w:w="7621"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Спільні інтегровані системи ефективного моніторингу та запобігання стихійним лихам і пом'якшення їх наслідків</w:t>
            </w:r>
          </w:p>
        </w:tc>
        <w:tc>
          <w:tcPr>
            <w:tcW w:w="2268" w:type="dxa"/>
            <w:vMerge w:val="restart"/>
            <w:shd w:val="clear" w:color="auto" w:fill="auto"/>
          </w:tcPr>
          <w:p w:rsidR="00642FB4" w:rsidRDefault="00642FB4">
            <w:pPr>
              <w:rPr>
                <w:sz w:val="22"/>
                <w:szCs w:val="22"/>
                <w:lang w:val="uk-UA" w:eastAsia="uk-UA" w:bidi="uk-UA"/>
              </w:rPr>
            </w:pPr>
            <w:r>
              <w:rPr>
                <w:rFonts w:eastAsia="Calibri"/>
                <w:sz w:val="22"/>
                <w:szCs w:val="22"/>
                <w:lang w:val="uk-UA" w:eastAsia="uk-UA" w:bidi="uk-UA"/>
              </w:rPr>
              <w:t>Кількість спільних дій, в тому числі м'яких дій (обмін досвідом, навчання, навчальні візити, спільні сесії планування, нові зроблені або оновлені карти,  створені бази даних, створені системи / структури, придбане обладнання, і т.д.) і спільні інвестиції в інфраструктуру у сфері надзвичайних ситуацій та стихійних лих, викликаних людиною</w:t>
            </w:r>
          </w:p>
        </w:tc>
      </w:tr>
      <w:tr w:rsidR="00642FB4">
        <w:tc>
          <w:tcPr>
            <w:tcW w:w="7621"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Розробка спільних карт та детальних баз даних (із зазначенням природних і технологічних ризиків та землекористування для органів регіонального планування, природоохоронних відомств та екстрених служб)</w:t>
            </w:r>
          </w:p>
        </w:tc>
        <w:tc>
          <w:tcPr>
            <w:tcW w:w="2268" w:type="dxa"/>
            <w:vMerge/>
            <w:shd w:val="clear" w:color="auto" w:fill="auto"/>
          </w:tcPr>
          <w:p w:rsidR="00642FB4" w:rsidRDefault="00642FB4">
            <w:pPr>
              <w:ind w:left="176"/>
              <w:jc w:val="both"/>
              <w:rPr>
                <w:sz w:val="22"/>
                <w:szCs w:val="22"/>
                <w:lang w:val="uk-UA" w:eastAsia="uk-UA" w:bidi="uk-UA"/>
              </w:rPr>
            </w:pPr>
          </w:p>
        </w:tc>
      </w:tr>
      <w:tr w:rsidR="00642FB4">
        <w:tc>
          <w:tcPr>
            <w:tcW w:w="7621" w:type="dxa"/>
            <w:shd w:val="clear" w:color="auto" w:fill="auto"/>
          </w:tcPr>
          <w:p w:rsidR="00642FB4" w:rsidRDefault="00642FB4">
            <w:pPr>
              <w:jc w:val="both"/>
              <w:rPr>
                <w:bCs/>
                <w:sz w:val="22"/>
                <w:szCs w:val="22"/>
                <w:lang w:val="uk-UA" w:eastAsia="uk-UA" w:bidi="uk-UA"/>
              </w:rPr>
            </w:pPr>
            <w:r>
              <w:rPr>
                <w:rFonts w:eastAsia="Calibri"/>
                <w:sz w:val="22"/>
                <w:szCs w:val="22"/>
                <w:lang w:val="uk-UA" w:eastAsia="uk-UA" w:bidi="uk-UA"/>
              </w:rPr>
              <w:t>Інвестиції та розробка спільних інтегрованих систем аварійного управління</w:t>
            </w:r>
          </w:p>
        </w:tc>
        <w:tc>
          <w:tcPr>
            <w:tcW w:w="2268" w:type="dxa"/>
            <w:vMerge/>
            <w:shd w:val="clear" w:color="auto" w:fill="auto"/>
          </w:tcPr>
          <w:p w:rsidR="00642FB4" w:rsidRDefault="00642FB4">
            <w:pPr>
              <w:ind w:left="176"/>
              <w:rPr>
                <w:sz w:val="22"/>
                <w:szCs w:val="22"/>
                <w:lang w:val="uk-UA" w:eastAsia="uk-UA" w:bidi="uk-UA"/>
              </w:rPr>
            </w:pPr>
          </w:p>
        </w:tc>
      </w:tr>
      <w:tr w:rsidR="00642FB4">
        <w:tc>
          <w:tcPr>
            <w:tcW w:w="9889" w:type="dxa"/>
            <w:gridSpan w:val="2"/>
            <w:shd w:val="clear" w:color="auto" w:fill="auto"/>
          </w:tcPr>
          <w:p w:rsidR="00642FB4" w:rsidRDefault="00642FB4">
            <w:pPr>
              <w:jc w:val="both"/>
              <w:rPr>
                <w:sz w:val="22"/>
                <w:szCs w:val="22"/>
                <w:lang w:val="uk-UA" w:eastAsia="uk-UA" w:bidi="uk-UA"/>
              </w:rPr>
            </w:pPr>
            <w:r>
              <w:rPr>
                <w:rFonts w:eastAsia="Calibri"/>
                <w:i/>
                <w:sz w:val="22"/>
                <w:szCs w:val="22"/>
                <w:lang w:val="uk-UA" w:eastAsia="uk-UA" w:bidi="uk-UA"/>
              </w:rPr>
              <w:t>П 4.3 Запобігання та боротьба з організованою злочинністю і поліцейське співробітництво</w:t>
            </w:r>
          </w:p>
        </w:tc>
      </w:tr>
      <w:tr w:rsidR="00642FB4">
        <w:tc>
          <w:tcPr>
            <w:tcW w:w="7621"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Інвестиції в будівництво, реконструкцію або модернізацію інфраструктури поліції та пунктів пропуску, а також інших суміжних будівель</w:t>
            </w:r>
          </w:p>
        </w:tc>
        <w:tc>
          <w:tcPr>
            <w:tcW w:w="2268" w:type="dxa"/>
            <w:vMerge w:val="restart"/>
            <w:shd w:val="clear" w:color="auto" w:fill="auto"/>
          </w:tcPr>
          <w:p w:rsidR="00642FB4" w:rsidRDefault="00642FB4">
            <w:pPr>
              <w:rPr>
                <w:sz w:val="22"/>
                <w:szCs w:val="22"/>
                <w:lang w:val="uk-UA" w:eastAsia="uk-UA" w:bidi="uk-UA"/>
              </w:rPr>
            </w:pPr>
            <w:r>
              <w:rPr>
                <w:rFonts w:eastAsia="Calibri"/>
                <w:sz w:val="22"/>
                <w:szCs w:val="22"/>
                <w:lang w:val="uk-UA" w:eastAsia="uk-UA" w:bidi="uk-UA"/>
              </w:rPr>
              <w:t>Кількість модернізованих підрозділів поліції, прикордонної поліції, митних служб на прийнятній території</w:t>
            </w:r>
          </w:p>
          <w:p w:rsidR="00642FB4" w:rsidRDefault="00642FB4">
            <w:pPr>
              <w:ind w:left="176"/>
              <w:rPr>
                <w:sz w:val="22"/>
                <w:szCs w:val="22"/>
                <w:lang w:val="uk-UA" w:eastAsia="uk-UA" w:bidi="uk-UA"/>
              </w:rPr>
            </w:pPr>
          </w:p>
        </w:tc>
      </w:tr>
      <w:tr w:rsidR="00642FB4">
        <w:tc>
          <w:tcPr>
            <w:tcW w:w="7621"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Інвестиції в експлуатаційне обладнання та оснащення, специфічне діяльності поліції / митниці / прикордонній поліції / жандармерії (наприклад, лабораторії, обладнання, інструменти виявлення, апаратне та програмне забезпечення, транспортні засоби)</w:t>
            </w:r>
          </w:p>
        </w:tc>
        <w:tc>
          <w:tcPr>
            <w:tcW w:w="2268" w:type="dxa"/>
            <w:vMerge/>
            <w:shd w:val="clear" w:color="auto" w:fill="auto"/>
          </w:tcPr>
          <w:p w:rsidR="00642FB4" w:rsidRDefault="00642FB4">
            <w:pPr>
              <w:ind w:left="176"/>
              <w:jc w:val="both"/>
              <w:rPr>
                <w:sz w:val="22"/>
                <w:szCs w:val="22"/>
                <w:lang w:val="uk-UA" w:eastAsia="uk-UA" w:bidi="uk-UA"/>
              </w:rPr>
            </w:pPr>
          </w:p>
        </w:tc>
      </w:tr>
      <w:tr w:rsidR="00642FB4">
        <w:tc>
          <w:tcPr>
            <w:tcW w:w="9889" w:type="dxa"/>
            <w:gridSpan w:val="2"/>
            <w:shd w:val="clear" w:color="auto" w:fill="auto"/>
          </w:tcPr>
          <w:p w:rsidR="00642FB4" w:rsidRDefault="00642FB4">
            <w:pPr>
              <w:jc w:val="both"/>
              <w:rPr>
                <w:b/>
                <w:sz w:val="22"/>
                <w:szCs w:val="22"/>
                <w:lang w:val="uk-UA" w:eastAsia="uk-UA" w:bidi="uk-UA"/>
              </w:rPr>
            </w:pPr>
            <w:r>
              <w:rPr>
                <w:rFonts w:eastAsia="Calibri"/>
                <w:b/>
                <w:sz w:val="22"/>
                <w:szCs w:val="22"/>
                <w:lang w:val="uk-UA" w:eastAsia="uk-UA" w:bidi="uk-UA"/>
              </w:rPr>
              <w:t>Великі Інфраструктурні Проекти</w:t>
            </w:r>
          </w:p>
        </w:tc>
      </w:tr>
      <w:tr w:rsidR="00642FB4">
        <w:tc>
          <w:tcPr>
            <w:tcW w:w="7621"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“Чиста ріка” - Дунай</w:t>
            </w:r>
          </w:p>
        </w:tc>
        <w:tc>
          <w:tcPr>
            <w:tcW w:w="2268" w:type="dxa"/>
            <w:shd w:val="clear" w:color="auto" w:fill="auto"/>
          </w:tcPr>
          <w:p w:rsidR="00642FB4" w:rsidRDefault="00642FB4">
            <w:pPr>
              <w:ind w:left="34"/>
              <w:rPr>
                <w:sz w:val="22"/>
                <w:szCs w:val="22"/>
                <w:lang w:val="uk-UA" w:eastAsia="uk-UA" w:bidi="uk-UA"/>
              </w:rPr>
            </w:pPr>
            <w:r>
              <w:rPr>
                <w:rFonts w:eastAsia="Calibri"/>
                <w:sz w:val="22"/>
                <w:szCs w:val="22"/>
                <w:lang w:val="uk-UA" w:eastAsia="uk-UA" w:bidi="uk-UA"/>
              </w:rPr>
              <w:t>Населення, яке має користь від заходів по захисту від повеней</w:t>
            </w:r>
          </w:p>
          <w:p w:rsidR="00642FB4" w:rsidRDefault="00642FB4">
            <w:pPr>
              <w:ind w:left="34"/>
              <w:rPr>
                <w:sz w:val="22"/>
                <w:szCs w:val="22"/>
                <w:lang w:val="uk-UA" w:eastAsia="uk-UA" w:bidi="uk-UA"/>
              </w:rPr>
            </w:pPr>
            <w:r>
              <w:rPr>
                <w:rFonts w:eastAsia="Calibri"/>
                <w:sz w:val="22"/>
                <w:szCs w:val="22"/>
                <w:lang w:val="uk-UA" w:eastAsia="uk-UA" w:bidi="uk-UA"/>
              </w:rPr>
              <w:t>Кількість спільних дій, в тому числі м'яких дій (обмін досвідом, навчання, навчальні візити, спільні сесії планування, нові зроблені або оновлені карти,  створені бази даних, створені системи / структури, придбане обладнання, і т.д.) і спільні інвестиції в інфраструктуру у сфері надзвичайних ситуацій та стихійних лих, викликаних людиною</w:t>
            </w:r>
          </w:p>
        </w:tc>
      </w:tr>
      <w:tr w:rsidR="00642FB4">
        <w:tc>
          <w:tcPr>
            <w:tcW w:w="7621"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 xml:space="preserve">Покращення транскордонної інфраструктури - відкриті ворота в Європу </w:t>
            </w:r>
          </w:p>
          <w:p w:rsidR="00642FB4" w:rsidRDefault="00642FB4">
            <w:pPr>
              <w:jc w:val="both"/>
              <w:rPr>
                <w:sz w:val="22"/>
                <w:szCs w:val="22"/>
                <w:lang w:val="uk-UA" w:eastAsia="uk-UA" w:bidi="uk-UA"/>
              </w:rPr>
            </w:pPr>
          </w:p>
        </w:tc>
        <w:tc>
          <w:tcPr>
            <w:tcW w:w="2268" w:type="dxa"/>
            <w:shd w:val="clear" w:color="auto" w:fill="auto"/>
          </w:tcPr>
          <w:p w:rsidR="00642FB4" w:rsidRDefault="00642FB4">
            <w:pPr>
              <w:tabs>
                <w:tab w:val="left" w:pos="176"/>
              </w:tabs>
              <w:ind w:left="34"/>
              <w:rPr>
                <w:sz w:val="22"/>
                <w:szCs w:val="22"/>
                <w:lang w:val="uk-UA" w:eastAsia="uk-UA" w:bidi="uk-UA"/>
              </w:rPr>
            </w:pPr>
            <w:r>
              <w:rPr>
                <w:rFonts w:eastAsia="Calibri"/>
                <w:sz w:val="22"/>
                <w:szCs w:val="22"/>
                <w:lang w:val="uk-UA" w:eastAsia="uk-UA" w:bidi="uk-UA"/>
              </w:rPr>
              <w:t>Загальна протяжність відновлених та реконструйованих доріг</w:t>
            </w:r>
          </w:p>
        </w:tc>
      </w:tr>
      <w:tr w:rsidR="00642FB4">
        <w:tc>
          <w:tcPr>
            <w:tcW w:w="7621"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Регіональне співробітництво між Румунією та Україною для запобігання та боротьби з транскордонною злочинністю</w:t>
            </w:r>
          </w:p>
        </w:tc>
        <w:tc>
          <w:tcPr>
            <w:tcW w:w="2268" w:type="dxa"/>
            <w:shd w:val="clear" w:color="auto" w:fill="auto"/>
          </w:tcPr>
          <w:p w:rsidR="00642FB4" w:rsidRDefault="00642FB4">
            <w:pPr>
              <w:tabs>
                <w:tab w:val="left" w:pos="176"/>
              </w:tabs>
              <w:ind w:left="34"/>
              <w:rPr>
                <w:sz w:val="22"/>
                <w:szCs w:val="22"/>
                <w:lang w:val="uk-UA" w:eastAsia="uk-UA" w:bidi="uk-UA"/>
              </w:rPr>
            </w:pPr>
            <w:r>
              <w:rPr>
                <w:rFonts w:eastAsia="Calibri"/>
                <w:sz w:val="22"/>
                <w:szCs w:val="22"/>
                <w:lang w:val="uk-UA" w:eastAsia="uk-UA" w:bidi="uk-UA"/>
              </w:rPr>
              <w:t>Кількість модернізованих підрозділів поліції, прикордонної поліції, митних служб на прийнятній території</w:t>
            </w:r>
          </w:p>
        </w:tc>
      </w:tr>
      <w:tr w:rsidR="00642FB4">
        <w:tc>
          <w:tcPr>
            <w:tcW w:w="7621" w:type="dxa"/>
            <w:shd w:val="clear" w:color="auto" w:fill="auto"/>
          </w:tcPr>
          <w:p w:rsidR="00642FB4" w:rsidRDefault="00642FB4">
            <w:pPr>
              <w:jc w:val="both"/>
              <w:rPr>
                <w:sz w:val="22"/>
                <w:szCs w:val="22"/>
                <w:lang w:val="uk-UA" w:eastAsia="uk-UA" w:bidi="uk-UA"/>
              </w:rPr>
            </w:pPr>
            <w:r>
              <w:rPr>
                <w:rFonts w:eastAsia="Calibri"/>
                <w:sz w:val="22"/>
                <w:szCs w:val="22"/>
                <w:lang w:val="uk-UA" w:eastAsia="uk-UA" w:bidi="uk-UA"/>
              </w:rPr>
              <w:t>Підвищення громадської безпеки та рівня транскордонної безпеки через поліпшення спільного навчання та заходів співпраці в управлінні надзвичайними ситуаціями</w:t>
            </w:r>
          </w:p>
        </w:tc>
        <w:tc>
          <w:tcPr>
            <w:tcW w:w="2268" w:type="dxa"/>
            <w:shd w:val="clear" w:color="auto" w:fill="auto"/>
          </w:tcPr>
          <w:p w:rsidR="00642FB4" w:rsidRDefault="00642FB4">
            <w:pPr>
              <w:tabs>
                <w:tab w:val="left" w:pos="176"/>
              </w:tabs>
              <w:ind w:left="34"/>
              <w:jc w:val="both"/>
              <w:rPr>
                <w:sz w:val="22"/>
                <w:szCs w:val="22"/>
                <w:lang w:val="uk-UA" w:eastAsia="uk-UA" w:bidi="uk-UA"/>
              </w:rPr>
            </w:pPr>
            <w:r>
              <w:rPr>
                <w:rFonts w:eastAsia="Calibri"/>
                <w:sz w:val="22"/>
                <w:szCs w:val="22"/>
                <w:lang w:val="uk-UA" w:eastAsia="uk-UA" w:bidi="uk-UA"/>
              </w:rPr>
              <w:t>Кількість спільних дій, в тому числі м'яких дій (обмін досвідом, навчання, навчальні візити, спільні сесії планування, нові зроблені або оновлені карти,  створені бази даних, створені системи / структури, придбане обладнання, і т.д.) і спільні інвестиції в інфраструктуру у сфері надзвичайних ситуацій та антропогенних стихійних лих</w:t>
            </w:r>
          </w:p>
        </w:tc>
      </w:tr>
    </w:tbl>
    <w:p w:rsidR="00642FB4" w:rsidRDefault="00642FB4">
      <w:pPr>
        <w:spacing w:before="60" w:after="60" w:line="288" w:lineRule="auto"/>
        <w:jc w:val="both"/>
        <w:rPr>
          <w:bCs/>
          <w:snapToGrid w:val="0"/>
          <w:position w:val="-6"/>
          <w:lang w:val="uk-UA" w:eastAsia="uk-UA" w:bidi="uk-UA"/>
        </w:rPr>
      </w:pPr>
    </w:p>
    <w:p w:rsidR="00642FB4" w:rsidRDefault="00642FB4">
      <w:pPr>
        <w:spacing w:before="60" w:after="60" w:line="288" w:lineRule="auto"/>
        <w:jc w:val="both"/>
        <w:rPr>
          <w:bCs/>
          <w:snapToGrid w:val="0"/>
          <w:position w:val="-6"/>
          <w:lang w:val="uk-UA" w:eastAsia="uk-UA" w:bidi="uk-UA"/>
        </w:rPr>
      </w:pPr>
      <w:r>
        <w:rPr>
          <w:rFonts w:ascii="Calibri" w:eastAsia="Calibri" w:hAnsi="Calibri"/>
          <w:sz w:val="22"/>
          <w:szCs w:val="22"/>
          <w:lang w:val="uk-UA" w:eastAsia="uk-UA" w:bidi="uk-UA"/>
        </w:rPr>
        <w:tab/>
      </w:r>
      <w:r>
        <w:rPr>
          <w:rFonts w:eastAsia="Calibri"/>
          <w:snapToGrid w:val="0"/>
          <w:position w:val="-6"/>
          <w:szCs w:val="22"/>
          <w:lang w:val="uk-UA" w:eastAsia="uk-UA" w:bidi="uk-UA"/>
        </w:rPr>
        <w:t>Деякі з пропонованих показників для моніторингу впливу Програми на довкілля були прийняті з тих, які будуть стежити за способом досягнення цілей Програми тоді, коли вони можуть підкреслити вплив на розглянуті екологічні аспекти, а якщо це не набуло значення, були запропоновані нові показники або доповнині ті, які містяться у Програмі.</w:t>
      </w:r>
    </w:p>
    <w:p w:rsidR="00642FB4" w:rsidRDefault="00642FB4">
      <w:pPr>
        <w:spacing w:before="60" w:after="60" w:line="288" w:lineRule="auto"/>
        <w:ind w:firstLine="709"/>
        <w:jc w:val="both"/>
        <w:rPr>
          <w:bCs/>
          <w:snapToGrid w:val="0"/>
          <w:position w:val="-6"/>
          <w:lang w:val="uk-UA" w:eastAsia="uk-UA" w:bidi="uk-UA"/>
        </w:rPr>
      </w:pPr>
      <w:r>
        <w:rPr>
          <w:rFonts w:eastAsia="Calibri"/>
          <w:snapToGrid w:val="0"/>
          <w:position w:val="-6"/>
          <w:szCs w:val="22"/>
          <w:lang w:val="uk-UA" w:eastAsia="uk-UA" w:bidi="uk-UA"/>
        </w:rPr>
        <w:t>Показники моніторингу будуть використані для оцінки впливу кожного проекту фінансованого в рамках Програми, на навколишнє середовище. Ці дані будуть надані бенефіціарами специфічних проектів шляхом моніторингу проведеної діяльності та будуть збиратися щорічно для Річного звіту про моніторинг Програми, який буде представлено Спільному Моніторинговому Комітетові.</w:t>
      </w:r>
    </w:p>
    <w:p w:rsidR="00642FB4" w:rsidRDefault="00642FB4">
      <w:pPr>
        <w:spacing w:before="60" w:after="60" w:line="288" w:lineRule="auto"/>
        <w:ind w:firstLine="709"/>
        <w:jc w:val="both"/>
        <w:rPr>
          <w:bCs/>
          <w:snapToGrid w:val="0"/>
          <w:position w:val="-6"/>
          <w:lang w:val="uk-UA" w:eastAsia="uk-UA" w:bidi="uk-UA"/>
        </w:rPr>
      </w:pPr>
      <w:r>
        <w:rPr>
          <w:rFonts w:eastAsia="Calibri"/>
          <w:snapToGrid w:val="0"/>
          <w:position w:val="-6"/>
          <w:szCs w:val="22"/>
          <w:lang w:val="uk-UA" w:eastAsia="uk-UA" w:bidi="uk-UA"/>
        </w:rPr>
        <w:t>Зацікавленими органами, запропонованими для моніторингу впливу на навколишнє середовище є: бенефіціари проектів фінансованих Програмою Ro-Ua, СКК, AM (Міністерство регіонального розвитку та державного управління).</w:t>
      </w:r>
    </w:p>
    <w:p w:rsidR="00642FB4" w:rsidRDefault="00642FB4">
      <w:pPr>
        <w:spacing w:before="60" w:after="60" w:line="288" w:lineRule="auto"/>
        <w:ind w:firstLine="709"/>
        <w:jc w:val="both"/>
        <w:rPr>
          <w:snapToGrid w:val="0"/>
          <w:position w:val="-6"/>
          <w:lang w:val="uk-UA" w:eastAsia="uk-UA" w:bidi="uk-UA"/>
        </w:rPr>
      </w:pPr>
    </w:p>
    <w:p w:rsidR="00642FB4" w:rsidRDefault="00642FB4">
      <w:pPr>
        <w:spacing w:before="60" w:after="60" w:line="288" w:lineRule="auto"/>
        <w:ind w:firstLine="709"/>
        <w:jc w:val="both"/>
        <w:rPr>
          <w:snapToGrid w:val="0"/>
          <w:position w:val="-6"/>
          <w:lang w:val="uk-UA" w:eastAsia="uk-UA" w:bidi="uk-UA"/>
        </w:rPr>
      </w:pPr>
    </w:p>
    <w:p w:rsidR="00642FB4" w:rsidRDefault="00642FB4">
      <w:pPr>
        <w:jc w:val="both"/>
        <w:rPr>
          <w:snapToGrid w:val="0"/>
          <w:position w:val="-6"/>
          <w:lang w:val="uk-UA" w:eastAsia="uk-UA" w:bidi="uk-UA"/>
        </w:rPr>
      </w:pPr>
    </w:p>
    <w:p w:rsidR="00642FB4" w:rsidRDefault="00642FB4">
      <w:pPr>
        <w:jc w:val="both"/>
        <w:rPr>
          <w:snapToGrid w:val="0"/>
          <w:position w:val="-6"/>
          <w:lang w:val="uk-UA" w:eastAsia="uk-UA" w:bidi="uk-UA"/>
        </w:rPr>
      </w:pPr>
      <w:r>
        <w:rPr>
          <w:rFonts w:eastAsia="Calibri"/>
          <w:snapToGrid w:val="0"/>
          <w:position w:val="-6"/>
          <w:szCs w:val="22"/>
          <w:lang w:val="uk-UA" w:eastAsia="uk-UA" w:bidi="uk-UA"/>
        </w:rPr>
        <w:t xml:space="preserve">  </w:t>
      </w:r>
    </w:p>
    <w:p w:rsidR="00642FB4" w:rsidRDefault="00642FB4">
      <w:pPr>
        <w:spacing w:after="200" w:line="276" w:lineRule="auto"/>
        <w:rPr>
          <w:rFonts w:ascii="Calibri" w:eastAsia="Calibri" w:hAnsi="Calibri"/>
          <w:sz w:val="22"/>
          <w:szCs w:val="22"/>
          <w:lang w:val="uk-UA" w:eastAsia="uk-UA" w:bidi="uk-UA"/>
        </w:rPr>
      </w:pPr>
    </w:p>
    <w:p w:rsidR="00642FB4" w:rsidRDefault="00642FB4">
      <w:pPr>
        <w:autoSpaceDE w:val="0"/>
        <w:autoSpaceDN w:val="0"/>
        <w:adjustRightInd w:val="0"/>
        <w:spacing w:before="60" w:after="60" w:line="288" w:lineRule="auto"/>
        <w:ind w:left="1080"/>
        <w:jc w:val="both"/>
        <w:rPr>
          <w:snapToGrid w:val="0"/>
          <w:position w:val="-6"/>
          <w:lang w:val="uk-UA"/>
        </w:rPr>
      </w:pPr>
    </w:p>
    <w:sectPr w:rsidR="00642FB4" w:rsidSect="007B7E0D">
      <w:pgSz w:w="11906" w:h="16838"/>
      <w:pgMar w:top="1417" w:right="849"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C74EB" w:rsidRDefault="006C74EB">
      <w:r>
        <w:separator/>
      </w:r>
    </w:p>
  </w:endnote>
  <w:endnote w:type="continuationSeparator" w:id="0">
    <w:p w:rsidR="006C74EB" w:rsidRDefault="006C74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altName w:val="Arial Unicode MS"/>
    <w:charset w:val="80"/>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icrosoft Sans Serif">
    <w:panose1 w:val="020B0604020202020204"/>
    <w:charset w:val="00"/>
    <w:family w:val="swiss"/>
    <w:pitch w:val="variable"/>
    <w:sig w:usb0="E1002AFF" w:usb1="C0000002" w:usb2="00000008" w:usb3="00000000" w:csb0="000101FF" w:csb1="00000000"/>
  </w:font>
  <w:font w:name="EUAlbertina-Regular-Identity-H">
    <w:altName w:val="MS Mincho"/>
    <w:panose1 w:val="00000000000000000000"/>
    <w:charset w:val="80"/>
    <w:family w:val="auto"/>
    <w:notTrueType/>
    <w:pitch w:val="default"/>
    <w:sig w:usb0="00000001" w:usb1="08070000" w:usb2="00000010" w:usb3="00000000" w:csb0="00020000" w:csb1="00000000"/>
  </w:font>
  <w:font w:name="Franklin Gothic Heavy">
    <w:altName w:val="Arial Black"/>
    <w:charset w:val="CC"/>
    <w:family w:val="swiss"/>
    <w:pitch w:val="variable"/>
    <w:sig w:usb0="00000001"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ntiqua">
    <w:altName w:val="Courier New"/>
    <w:charset w:val="00"/>
    <w:family w:val="swiss"/>
    <w:pitch w:val="variable"/>
    <w:sig w:usb0="00000203" w:usb1="00000000" w:usb2="00000000" w:usb3="00000000" w:csb0="00000005" w:csb1="00000000"/>
  </w:font>
  <w:font w:name="Palatino Linotype">
    <w:panose1 w:val="02040502050505030304"/>
    <w:charset w:val="00"/>
    <w:family w:val="roman"/>
    <w:pitch w:val="variable"/>
    <w:sig w:usb0="E0000287" w:usb1="40000013" w:usb2="00000000" w:usb3="00000000" w:csb0="0000019F" w:csb1="00000000"/>
  </w:font>
  <w:font w:name="FrankRuehl">
    <w:panose1 w:val="020E0503060101010101"/>
    <w:charset w:val="B1"/>
    <w:family w:val="swiss"/>
    <w:pitch w:val="variable"/>
    <w:sig w:usb0="00000801" w:usb1="00000000" w:usb2="00000000" w:usb3="00000000" w:csb0="00000020" w:csb1="00000000"/>
  </w:font>
  <w:font w:name="Trebuchet MS">
    <w:panose1 w:val="020B0603020202020204"/>
    <w:charset w:val="00"/>
    <w:family w:val="swiss"/>
    <w:pitch w:val="variable"/>
    <w:sig w:usb0="000002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Italic">
    <w:altName w:val="Arial Unicode MS"/>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00"/>
    <w:family w:val="roman"/>
    <w:notTrueType/>
    <w:pitch w:val="default"/>
    <w:sig w:usb0="00000203" w:usb1="00000000" w:usb2="00000000" w:usb3="00000000" w:csb0="00000005" w:csb1="00000000"/>
  </w:font>
  <w:font w:name="TimesNewRoman">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pStyle w:val="Footer"/>
    </w:pPr>
    <w:r>
      <w:rPr>
        <w:noProof/>
        <w:lang w:val="en-US" w:eastAsia="en-US"/>
      </w:rPr>
      <w:drawing>
        <wp:inline distT="0" distB="0" distL="0" distR="0" wp14:anchorId="4788A171" wp14:editId="5FA64FA1">
          <wp:extent cx="866775" cy="501015"/>
          <wp:effectExtent l="19050" t="0" r="9525" b="0"/>
          <wp:docPr id="34" name="Picture 15" descr="Description: ja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jaune"/>
                  <pic:cNvPicPr>
                    <a:picLocks noChangeAspect="1" noChangeArrowheads="1"/>
                  </pic:cNvPicPr>
                </pic:nvPicPr>
                <pic:blipFill>
                  <a:blip r:embed="rId1"/>
                  <a:srcRect/>
                  <a:stretch>
                    <a:fillRect/>
                  </a:stretch>
                </pic:blipFill>
                <pic:spPr bwMode="auto">
                  <a:xfrm>
                    <a:off x="0" y="0"/>
                    <a:ext cx="866775" cy="501015"/>
                  </a:xfrm>
                  <a:prstGeom prst="rect">
                    <a:avLst/>
                  </a:prstGeom>
                  <a:noFill/>
                  <a:ln w="9525">
                    <a:noFill/>
                    <a:miter lim="800000"/>
                    <a:headEnd/>
                    <a:tailEnd/>
                  </a:ln>
                </pic:spPr>
              </pic:pic>
            </a:graphicData>
          </a:graphic>
        </wp:inline>
      </w:drawing>
    </w:r>
    <w:r>
      <w:rPr>
        <w:rFonts w:ascii="Times New Roman" w:hAnsi="Times New Roman"/>
        <w:b/>
        <w:sz w:val="28"/>
        <w:szCs w:val="32"/>
      </w:rPr>
      <w:tab/>
    </w:r>
    <w:r>
      <w:rPr>
        <w:rFonts w:ascii="Times New Roman" w:hAnsi="Times New Roman"/>
        <w:b/>
        <w:sz w:val="28"/>
        <w:szCs w:val="32"/>
      </w:rPr>
      <w:tab/>
    </w:r>
    <w:r>
      <w:rPr>
        <w:rFonts w:ascii="Times New Roman" w:hAnsi="Times New Roman"/>
        <w:b/>
        <w:noProof/>
        <w:sz w:val="28"/>
        <w:szCs w:val="32"/>
        <w:lang w:val="en-US" w:eastAsia="en-US"/>
      </w:rPr>
      <w:drawing>
        <wp:inline distT="0" distB="0" distL="0" distR="0">
          <wp:extent cx="1317009" cy="54387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48374" cy="556829"/>
                  </a:xfrm>
                  <a:prstGeom prst="rect">
                    <a:avLst/>
                  </a:prstGeom>
                  <a:noFill/>
                  <a:ln>
                    <a:noFill/>
                  </a:ln>
                </pic:spPr>
              </pic:pic>
            </a:graphicData>
          </a:graphic>
        </wp:inline>
      </w:drawing>
    </w:r>
  </w:p>
  <w:p w:rsidR="006C74EB" w:rsidRDefault="006C74EB">
    <w:pPr>
      <w:keepNext/>
      <w:framePr w:hSpace="180" w:wrap="around" w:vAnchor="page" w:hAnchor="margin" w:y="699"/>
      <w:outlineLvl w:val="8"/>
      <w:rPr>
        <w:rFonts w:ascii="Times New Roman" w:hAnsi="Times New Roman"/>
        <w:b/>
        <w:sz w:val="28"/>
        <w:szCs w:val="32"/>
      </w:rPr>
    </w:pPr>
    <w:r>
      <w:rPr>
        <w:rFonts w:ascii="Times New Roman" w:hAnsi="Times New Roman"/>
        <w:b/>
        <w:noProof/>
        <w:sz w:val="28"/>
        <w:szCs w:val="32"/>
        <w:lang w:val="en-US" w:eastAsia="en-US"/>
      </w:rPr>
      <w:drawing>
        <wp:inline distT="0" distB="0" distL="0" distR="0" wp14:anchorId="0A49BCB1" wp14:editId="49D886AD">
          <wp:extent cx="1344930" cy="469265"/>
          <wp:effectExtent l="19050" t="0" r="762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
                  <a:srcRect/>
                  <a:stretch>
                    <a:fillRect/>
                  </a:stretch>
                </pic:blipFill>
                <pic:spPr bwMode="auto">
                  <a:xfrm>
                    <a:off x="0" y="0"/>
                    <a:ext cx="1344930" cy="469265"/>
                  </a:xfrm>
                  <a:prstGeom prst="rect">
                    <a:avLst/>
                  </a:prstGeom>
                  <a:noFill/>
                </pic:spPr>
              </pic:pic>
            </a:graphicData>
          </a:graphic>
        </wp:inline>
      </w:drawing>
    </w:r>
    <w:r>
      <w:rPr>
        <w:rFonts w:ascii="Times New Roman" w:hAnsi="Times New Roman"/>
        <w:b/>
        <w:sz w:val="28"/>
        <w:szCs w:val="32"/>
        <w:lang w:val="fr-FR"/>
      </w:rPr>
      <w:t xml:space="preserve">                                                                       </w:t>
    </w:r>
  </w:p>
  <w:p w:rsidR="006C74EB" w:rsidRDefault="006C74EB">
    <w:pPr>
      <w:rPr>
        <w:rFonts w:ascii="Trebuchet MS" w:hAnsi="Trebuchet MS"/>
        <w:b/>
        <w:bCs/>
        <w:spacing w:val="-10"/>
        <w:sz w:val="16"/>
        <w:szCs w:val="16"/>
        <w:lang w:val="uk-UA" w:eastAsia="en-US"/>
      </w:rPr>
    </w:pPr>
    <w:r>
      <w:rPr>
        <w:rFonts w:ascii="Trebuchet MS" w:hAnsi="Trebuchet MS"/>
        <w:b/>
        <w:bCs/>
        <w:spacing w:val="-10"/>
        <w:sz w:val="16"/>
        <w:szCs w:val="16"/>
        <w:lang w:val="uk-UA" w:eastAsia="en-US"/>
      </w:rPr>
      <w:t>Програма фінансована</w:t>
    </w:r>
  </w:p>
  <w:p w:rsidR="006C74EB" w:rsidRDefault="006C74EB">
    <w:pPr>
      <w:rPr>
        <w:rFonts w:ascii="Trebuchet MS" w:hAnsi="Trebuchet MS"/>
        <w:b/>
        <w:bCs/>
        <w:spacing w:val="-10"/>
        <w:sz w:val="16"/>
        <w:szCs w:val="16"/>
        <w:lang w:eastAsia="en-US"/>
      </w:rPr>
    </w:pPr>
    <w:r>
      <w:rPr>
        <w:rFonts w:ascii="Trebuchet MS" w:hAnsi="Trebuchet MS"/>
        <w:b/>
        <w:bCs/>
        <w:spacing w:val="-20"/>
        <w:sz w:val="16"/>
        <w:szCs w:val="16"/>
        <w:lang w:val="uk-UA" w:eastAsia="en-US"/>
      </w:rPr>
      <w:t>Європейським Союзом</w:t>
    </w:r>
    <w:r>
      <w:rPr>
        <w:rFonts w:ascii="Trebuchet MS" w:hAnsi="Trebuchet MS"/>
        <w:b/>
        <w:bCs/>
        <w:spacing w:val="-20"/>
        <w:sz w:val="16"/>
        <w:szCs w:val="16"/>
        <w:lang w:val="en-US" w:eastAsia="en-US"/>
      </w:rPr>
      <w:t xml:space="preserve"> </w:t>
    </w:r>
  </w:p>
  <w:p w:rsidR="006C74EB" w:rsidRDefault="006C74EB">
    <w:pPr>
      <w:pStyle w:val="Footer"/>
    </w:pPr>
  </w:p>
  <w:p w:rsidR="006C74EB" w:rsidRDefault="006C74EB">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framePr w:w="119" w:h="3045" w:hSpace="57" w:wrap="around" w:vAnchor="page" w:hAnchor="page" w:x="795" w:y="13155"/>
      <w:textDirection w:val="btLr"/>
      <w:rPr>
        <w:sz w:val="12"/>
      </w:rPr>
    </w:pPr>
    <w:r>
      <w:rPr>
        <w:sz w:val="12"/>
      </w:rPr>
      <w:t>Formular cod: FPM-03.01-01-02 Act.0</w:t>
    </w:r>
  </w:p>
  <w:p w:rsidR="006C74EB" w:rsidRDefault="006C74EB">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pStyle w:val="Foot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4A16E2">
      <w:rPr>
        <w:rStyle w:val="PageNumber"/>
        <w:noProof/>
      </w:rPr>
      <w:t>98</w:t>
    </w:r>
    <w:r>
      <w:rPr>
        <w:rStyle w:val="PageNumber"/>
      </w:rPr>
      <w:fldChar w:fldCharType="end"/>
    </w:r>
  </w:p>
  <w:p w:rsidR="006C74EB" w:rsidRDefault="006C74EB">
    <w:pPr>
      <w:framePr w:w="119" w:h="3045" w:hSpace="57" w:wrap="auto" w:vAnchor="page" w:hAnchor="page" w:x="517" w:y="12323"/>
      <w:ind w:right="360"/>
      <w:textDirection w:val="btLr"/>
      <w:rPr>
        <w:sz w:val="12"/>
        <w:szCs w:val="12"/>
      </w:rPr>
    </w:pPr>
    <w:r>
      <w:rPr>
        <w:sz w:val="12"/>
        <w:szCs w:val="12"/>
      </w:rPr>
      <w:t>Formular cod: FPM-03.01-01-02 Act.0</w:t>
    </w:r>
  </w:p>
  <w:p w:rsidR="006C74EB" w:rsidRDefault="006C74EB">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framePr w:w="119" w:h="3045" w:hSpace="57" w:wrap="auto" w:vAnchor="page" w:hAnchor="page" w:x="517" w:y="12323"/>
      <w:textDirection w:val="btLr"/>
      <w:rPr>
        <w:sz w:val="12"/>
        <w:szCs w:val="12"/>
      </w:rPr>
    </w:pPr>
    <w:r>
      <w:rPr>
        <w:sz w:val="12"/>
        <w:szCs w:val="12"/>
      </w:rPr>
      <w:t>Formular cod: FPM-03.01-01-02 Act.0</w:t>
    </w:r>
  </w:p>
  <w:p w:rsidR="006C74EB" w:rsidRDefault="006C74EB">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framePr w:w="119" w:h="3045" w:hSpace="57" w:wrap="around" w:vAnchor="page" w:hAnchor="page" w:x="517" w:y="12323"/>
      <w:textDirection w:val="btLr"/>
      <w:rPr>
        <w:sz w:val="12"/>
      </w:rPr>
    </w:pPr>
    <w:r>
      <w:rPr>
        <w:sz w:val="12"/>
      </w:rPr>
      <w:t>Форма код: FPM-03.01-01-02 Act.0</w:t>
    </w:r>
  </w:p>
  <w:p w:rsidR="006C74EB" w:rsidRDefault="006C74E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framePr w:w="119" w:h="3045" w:hSpace="57" w:wrap="around" w:vAnchor="page" w:hAnchor="page" w:x="795" w:y="13155"/>
      <w:textDirection w:val="btLr"/>
      <w:rPr>
        <w:sz w:val="12"/>
      </w:rPr>
    </w:pPr>
    <w:r>
      <w:rPr>
        <w:sz w:val="12"/>
      </w:rPr>
      <w:t>Форма код: FPM-03.01-01-02 Act.0</w:t>
    </w:r>
  </w:p>
  <w:p w:rsidR="006C74EB" w:rsidRDefault="006C74E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framePr w:w="119" w:h="3045" w:hSpace="57" w:wrap="around" w:vAnchor="page" w:hAnchor="page" w:x="795" w:y="13155"/>
      <w:textDirection w:val="btLr"/>
      <w:rPr>
        <w:sz w:val="12"/>
      </w:rPr>
    </w:pPr>
    <w:r>
      <w:rPr>
        <w:sz w:val="12"/>
      </w:rPr>
      <w:t>Форма код: FPM-03.01-01-02 Act.0</w:t>
    </w:r>
  </w:p>
  <w:p w:rsidR="006C74EB" w:rsidRDefault="006C74EB">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framePr w:w="119" w:h="3045" w:hSpace="57" w:wrap="around" w:vAnchor="page" w:hAnchor="page" w:x="795" w:y="13155"/>
      <w:textDirection w:val="btLr"/>
      <w:rPr>
        <w:sz w:val="12"/>
      </w:rPr>
    </w:pPr>
    <w:r>
      <w:rPr>
        <w:sz w:val="12"/>
      </w:rPr>
      <w:t>Форма код: FPM-03.01-01-02 Act.0</w:t>
    </w:r>
  </w:p>
  <w:p w:rsidR="006C74EB" w:rsidRDefault="006C74EB">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framePr w:w="119" w:h="3045" w:hSpace="57" w:wrap="around" w:vAnchor="page" w:hAnchor="page" w:x="795" w:y="13155"/>
      <w:textDirection w:val="btLr"/>
      <w:rPr>
        <w:sz w:val="12"/>
      </w:rPr>
    </w:pPr>
    <w:r>
      <w:rPr>
        <w:sz w:val="12"/>
      </w:rPr>
      <w:t>Форма код: FPM-03.01-01-02 Act.0</w:t>
    </w:r>
  </w:p>
  <w:p w:rsidR="006C74EB" w:rsidRDefault="006C74EB">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framePr w:w="119" w:h="3045" w:hSpace="57" w:wrap="around" w:vAnchor="page" w:hAnchor="page" w:x="795" w:y="13155"/>
      <w:textDirection w:val="btLr"/>
      <w:rPr>
        <w:sz w:val="12"/>
      </w:rPr>
    </w:pPr>
    <w:r>
      <w:rPr>
        <w:sz w:val="12"/>
      </w:rPr>
      <w:t>Форма код: FPM-03.01-01-02 Act.0</w:t>
    </w:r>
  </w:p>
  <w:p w:rsidR="006C74EB" w:rsidRDefault="006C74E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C74EB" w:rsidRDefault="006C74EB">
      <w:r>
        <w:separator/>
      </w:r>
    </w:p>
  </w:footnote>
  <w:footnote w:type="continuationSeparator" w:id="0">
    <w:p w:rsidR="006C74EB" w:rsidRDefault="006C74EB">
      <w:r>
        <w:continuationSeparator/>
      </w:r>
    </w:p>
  </w:footnote>
  <w:footnote w:id="1">
    <w:p w:rsidR="006C74EB" w:rsidRDefault="006C74EB">
      <w:pPr>
        <w:pStyle w:val="FootnoteText"/>
        <w:jc w:val="both"/>
        <w:rPr>
          <w:rFonts w:ascii="Arial" w:hAnsi="Arial" w:cs="Arial"/>
          <w:sz w:val="16"/>
          <w:szCs w:val="16"/>
          <w:lang w:val="ro-RO"/>
        </w:rPr>
      </w:pPr>
      <w:r>
        <w:rPr>
          <w:rStyle w:val="FootnoteReference"/>
        </w:rPr>
        <w:footnoteRef/>
      </w:r>
      <w:r>
        <w:t xml:space="preserve"> </w:t>
      </w:r>
      <w:r>
        <w:rPr>
          <w:rFonts w:ascii="Arial" w:hAnsi="Arial"/>
          <w:sz w:val="16"/>
        </w:rPr>
        <w:t>Відповідно до Директиви СЕО, пункту 2, статті 10 існуючі системи моніторингу (на рівні Програми) можливо використовувати у разі потреби для того, щоб уникнути дублювання етапу моніторингу. У цьому контексті, показники моніторингу впливу на навколишнє середовище необхідно завершити після завершення показників використаних на рівні Операційної Програми.</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tbl>
    <w:tblPr>
      <w:tblW w:w="8080" w:type="dxa"/>
      <w:tblInd w:w="2308" w:type="dxa"/>
      <w:tblLayout w:type="fixed"/>
      <w:tblCellMar>
        <w:left w:w="40" w:type="dxa"/>
        <w:right w:w="40" w:type="dxa"/>
      </w:tblCellMar>
      <w:tblLook w:val="0000" w:firstRow="0" w:lastRow="0" w:firstColumn="0" w:lastColumn="0" w:noHBand="0" w:noVBand="0"/>
    </w:tblPr>
    <w:tblGrid>
      <w:gridCol w:w="1332"/>
      <w:gridCol w:w="4320"/>
      <w:gridCol w:w="1200"/>
      <w:gridCol w:w="1228"/>
    </w:tblGrid>
    <w:tr w:rsidR="006C74EB">
      <w:trPr>
        <w:trHeight w:hRule="exact" w:val="595"/>
      </w:trPr>
      <w:tc>
        <w:tcPr>
          <w:tcW w:w="1332" w:type="dxa"/>
          <w:tcBorders>
            <w:top w:val="single" w:sz="6" w:space="0" w:color="auto"/>
            <w:left w:val="single" w:sz="6" w:space="0" w:color="auto"/>
            <w:bottom w:val="single" w:sz="6" w:space="0" w:color="auto"/>
            <w:right w:val="nil"/>
          </w:tcBorders>
          <w:shd w:val="clear" w:color="auto" w:fill="FFFFFF"/>
          <w:vAlign w:val="center"/>
        </w:tcPr>
        <w:p w:rsidR="006C74EB" w:rsidRDefault="006C74EB">
          <w:pPr>
            <w:shd w:val="clear" w:color="auto" w:fill="FFFFFF"/>
            <w:ind w:left="-182" w:firstLine="182"/>
            <w:rPr>
              <w:rFonts w:cs="Arial"/>
              <w:sz w:val="18"/>
              <w:szCs w:val="18"/>
            </w:rPr>
          </w:pPr>
          <w:r>
            <w:rPr>
              <w:rFonts w:cs="Arial"/>
              <w:color w:val="000000"/>
              <w:spacing w:val="-3"/>
              <w:sz w:val="18"/>
              <w:szCs w:val="18"/>
              <w:lang w:val="en-US"/>
            </w:rPr>
            <w:t>Cod document:</w:t>
          </w:r>
        </w:p>
      </w:tc>
      <w:tc>
        <w:tcPr>
          <w:tcW w:w="4320" w:type="dxa"/>
          <w:tcBorders>
            <w:top w:val="single" w:sz="6" w:space="0" w:color="auto"/>
            <w:left w:val="nil"/>
            <w:bottom w:val="single" w:sz="6" w:space="0" w:color="auto"/>
            <w:right w:val="single" w:sz="6" w:space="0" w:color="auto"/>
          </w:tcBorders>
          <w:shd w:val="clear" w:color="auto" w:fill="FFFFFF"/>
          <w:vAlign w:val="center"/>
        </w:tcPr>
        <w:p w:rsidR="006C74EB" w:rsidRDefault="006C74EB">
          <w:pPr>
            <w:shd w:val="clear" w:color="auto" w:fill="FFFFFF"/>
            <w:ind w:left="130"/>
            <w:rPr>
              <w:rFonts w:cs="Arial"/>
              <w:b/>
            </w:rPr>
          </w:pPr>
          <w:r>
            <w:rPr>
              <w:rFonts w:cs="Arial"/>
              <w:b/>
            </w:rPr>
            <w:t>8017/2014-2-S0081862-N0</w:t>
          </w:r>
        </w:p>
      </w:tc>
      <w:tc>
        <w:tcPr>
          <w:tcW w:w="1200" w:type="dxa"/>
          <w:tcBorders>
            <w:top w:val="single" w:sz="6" w:space="0" w:color="auto"/>
            <w:left w:val="single" w:sz="6" w:space="0" w:color="auto"/>
            <w:bottom w:val="single" w:sz="6" w:space="0" w:color="auto"/>
            <w:right w:val="single" w:sz="6" w:space="0" w:color="auto"/>
          </w:tcBorders>
          <w:shd w:val="clear" w:color="auto" w:fill="FFFFFF"/>
          <w:vAlign w:val="center"/>
        </w:tcPr>
        <w:p w:rsidR="006C74EB" w:rsidRDefault="006C74EB">
          <w:pPr>
            <w:shd w:val="clear" w:color="auto" w:fill="FFFFFF"/>
            <w:jc w:val="center"/>
            <w:rPr>
              <w:rFonts w:cs="Arial"/>
              <w:b/>
              <w:sz w:val="20"/>
              <w:szCs w:val="20"/>
            </w:rPr>
          </w:pPr>
          <w:r>
            <w:rPr>
              <w:rFonts w:cs="Arial"/>
              <w:color w:val="000000"/>
              <w:sz w:val="18"/>
              <w:szCs w:val="18"/>
            </w:rPr>
            <w:t>Revizie</w:t>
          </w:r>
          <w:r>
            <w:rPr>
              <w:rFonts w:cs="Arial"/>
              <w:color w:val="000000"/>
              <w:sz w:val="18"/>
              <w:szCs w:val="18"/>
              <w:lang w:val="en-US"/>
            </w:rPr>
            <w:t xml:space="preserve">: </w:t>
          </w:r>
          <w:r>
            <w:rPr>
              <w:rFonts w:cs="Arial"/>
              <w:b/>
              <w:color w:val="000000"/>
              <w:lang w:val="en-US"/>
            </w:rPr>
            <w:t>0</w:t>
          </w:r>
        </w:p>
      </w:tc>
      <w:tc>
        <w:tcPr>
          <w:tcW w:w="1228" w:type="dxa"/>
          <w:tcBorders>
            <w:top w:val="single" w:sz="6" w:space="0" w:color="auto"/>
            <w:left w:val="single" w:sz="6" w:space="0" w:color="auto"/>
            <w:bottom w:val="single" w:sz="6" w:space="0" w:color="auto"/>
            <w:right w:val="single" w:sz="6" w:space="0" w:color="auto"/>
          </w:tcBorders>
          <w:shd w:val="clear" w:color="auto" w:fill="FFFFFF"/>
          <w:vAlign w:val="center"/>
        </w:tcPr>
        <w:p w:rsidR="006C74EB" w:rsidRDefault="006C74EB">
          <w:pPr>
            <w:shd w:val="clear" w:color="auto" w:fill="FFFFFF"/>
            <w:jc w:val="center"/>
            <w:rPr>
              <w:rFonts w:cs="Arial"/>
            </w:rPr>
          </w:pPr>
          <w:r>
            <w:rPr>
              <w:rFonts w:cs="Arial"/>
              <w:color w:val="000000"/>
              <w:spacing w:val="-10"/>
              <w:sz w:val="18"/>
              <w:szCs w:val="18"/>
            </w:rPr>
            <w:t>Pag</w:t>
          </w:r>
          <w:r>
            <w:rPr>
              <w:rFonts w:cs="Arial"/>
              <w:color w:val="000000"/>
              <w:spacing w:val="-10"/>
              <w:sz w:val="18"/>
              <w:szCs w:val="18"/>
              <w:lang w:val="en-US"/>
            </w:rPr>
            <w:t>.</w:t>
          </w:r>
          <w:r>
            <w:rPr>
              <w:rFonts w:cs="Arial"/>
              <w:color w:val="000000"/>
              <w:spacing w:val="-10"/>
              <w:lang w:val="en-US"/>
            </w:rPr>
            <w:t xml:space="preserve"> </w:t>
          </w:r>
          <w:r>
            <w:rPr>
              <w:rFonts w:cs="Arial"/>
              <w:b/>
              <w:color w:val="000000"/>
              <w:spacing w:val="-10"/>
              <w:lang w:val="en-US"/>
            </w:rPr>
            <w:t xml:space="preserve"> </w:t>
          </w:r>
          <w:r>
            <w:rPr>
              <w:rFonts w:cs="Arial"/>
              <w:b/>
              <w:color w:val="000000"/>
              <w:spacing w:val="-10"/>
              <w:lang w:val="en-US"/>
            </w:rPr>
            <w:fldChar w:fldCharType="begin"/>
          </w:r>
          <w:r>
            <w:rPr>
              <w:rFonts w:cs="Arial"/>
              <w:b/>
              <w:color w:val="000000"/>
              <w:spacing w:val="-10"/>
              <w:lang w:val="en-US"/>
            </w:rPr>
            <w:instrText>PAGE   \* MERGEFORMAT</w:instrText>
          </w:r>
          <w:r>
            <w:rPr>
              <w:rFonts w:cs="Arial"/>
              <w:b/>
              <w:color w:val="000000"/>
              <w:spacing w:val="-10"/>
              <w:lang w:val="en-US"/>
            </w:rPr>
            <w:fldChar w:fldCharType="separate"/>
          </w:r>
          <w:r w:rsidR="004A16E2">
            <w:rPr>
              <w:rFonts w:cs="Arial"/>
              <w:b/>
              <w:noProof/>
              <w:color w:val="000000"/>
              <w:spacing w:val="-10"/>
              <w:lang w:val="en-US"/>
            </w:rPr>
            <w:t>23</w:t>
          </w:r>
          <w:r>
            <w:rPr>
              <w:rFonts w:cs="Arial"/>
              <w:b/>
              <w:color w:val="000000"/>
              <w:spacing w:val="-10"/>
              <w:lang w:val="en-US"/>
            </w:rPr>
            <w:fldChar w:fldCharType="end"/>
          </w:r>
        </w:p>
      </w:tc>
    </w:tr>
  </w:tbl>
  <w:p w:rsidR="006C74EB" w:rsidRDefault="006C74EB">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pStyle w:val="Header"/>
      <w:ind w:right="72"/>
      <w:rPr>
        <w:rFonts w:cs="Arial"/>
      </w:rPr>
    </w:pPr>
    <w:r>
      <w:rPr>
        <w:rFonts w:cs="Arial"/>
        <w:noProof/>
        <w:lang w:val="en-GB" w:eastAsia="en-GB"/>
      </w:rPr>
      <w:pict>
        <v:rect id="Rectangle 136" o:spid="_x0000_s2086" style="position:absolute;margin-left:32.6pt;margin-top:39.45pt;width:120.4pt;height:12.1pt;z-index:251649536;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" filled="f" stroked="f" strokeweight="0">
          <v:textbox style="mso-next-textbox:#Rectangle 136" inset="0,0,0,0">
            <w:txbxContent>
              <w:p w:rsidR="006C74EB" w:rsidRDefault="006C74EB">
                <w:pPr>
                  <w:rPr>
                    <w:sz w:val="12"/>
                    <w:szCs w:val="12"/>
                  </w:rPr>
                </w:pPr>
                <w:r>
                  <w:rPr>
                    <w:sz w:val="12"/>
                  </w:rPr>
                  <w:t>Formular cod: FPM-03.01-01-02 Act. 0</w:t>
                </w:r>
              </w:p>
            </w:txbxContent>
          </v:textbox>
          <w10:wrap anchorx="page" anchory="page"/>
          <w10:anchorlock/>
        </v:rect>
      </w:pict>
    </w:r>
    <w:r>
      <w:rPr>
        <w:rFonts w:cs="Arial"/>
        <w:noProof/>
        <w:lang w:val="en-GB" w:eastAsia="en-GB"/>
      </w:rPr>
      <w:pict>
        <v:shapetype id="_x0000_t202" coordsize="21600,21600" o:spt="202" path="m,l,21600r21600,l21600,xe">
          <v:stroke joinstyle="miter"/>
          <v:path gradientshapeok="t" o:connecttype="rect"/>
        </v:shapetype>
        <v:shape id="Casetă text 2" o:spid="_x0000_s2085" type="#_x0000_t202" style="position:absolute;margin-left:749.75pt;margin-top:131.15pt;width:40.95pt;height:414.55pt;z-index:251648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" filled="f" stroked="f">
          <v:textbox style="mso-next-textbox:#Casetă text 2" inset="1mm,1mm,1mm,1mm">
            <w:txbxContent>
              <w:tbl>
                <w:tblPr>
                  <w:tblW w:w="523" w:type="dxa"/>
                  <w:jc w:val="center"/>
                  <w:tblLayout w:type="fixed"/>
                  <w:tblCellMar>
                    <w:left w:w="45" w:type="dxa"/>
                    <w:right w:w="45" w:type="dxa"/>
                  </w:tblCellMar>
                  <w:tblLook w:val="04A0" w:firstRow="1" w:lastRow="0" w:firstColumn="1" w:lastColumn="0" w:noHBand="0" w:noVBand="1"/>
                </w:tblPr>
                <w:tblGrid>
                  <w:gridCol w:w="523"/>
                </w:tblGrid>
                <w:tr w:rsidR="006C74EB">
                  <w:trPr>
                    <w:cantSplit/>
                    <w:trHeight w:hRule="exact" w:val="1503"/>
                    <w:jc w:val="center"/>
                  </w:trPr>
                  <w:tc>
                    <w:tcPr>
                      <w:tcW w:w="523" w:type="dxa"/>
                      <w:tcBorders>
                        <w:top w:val="single" w:sz="4" w:space="0" w:color="auto"/>
                        <w:left w:val="single" w:sz="4" w:space="0" w:color="auto"/>
                        <w:right w:val="single" w:sz="4" w:space="0" w:color="auto"/>
                      </w:tcBorders>
                      <w:shd w:val="clear" w:color="auto" w:fill="FFFFFF"/>
                      <w:textDirection w:val="tbRl"/>
                      <w:vAlign w:val="center"/>
                    </w:tcPr>
                    <w:p w:rsidR="006C74EB" w:rsidRDefault="006C74EB">
                      <w:pPr>
                        <w:ind w:left="-90" w:right="113"/>
                        <w:jc w:val="center"/>
                      </w:pPr>
                      <w:r>
                        <w:rPr>
                          <w:rFonts w:cs="Arial"/>
                          <w:color w:val="000000"/>
                          <w:spacing w:val="-3"/>
                          <w:sz w:val="18"/>
                          <w:szCs w:val="18"/>
                          <w:lang w:val="en-US"/>
                        </w:rPr>
                        <w:t>Cod document</w:t>
                      </w:r>
                    </w:p>
                  </w:tc>
                </w:tr>
                <w:tr w:rsidR="006C74EB">
                  <w:trPr>
                    <w:cantSplit/>
                    <w:trHeight w:hRule="exact" w:val="4321"/>
                    <w:jc w:val="center"/>
                  </w:trPr>
                  <w:tc>
                    <w:tcPr>
                      <w:tcW w:w="523" w:type="dxa"/>
                      <w:tcBorders>
                        <w:left w:val="single" w:sz="4" w:space="0" w:color="auto"/>
                        <w:bottom w:val="single" w:sz="4" w:space="0" w:color="auto"/>
                        <w:right w:val="single" w:sz="4" w:space="0" w:color="auto"/>
                      </w:tcBorders>
                      <w:shd w:val="clear" w:color="auto" w:fill="FFFFFF"/>
                      <w:textDirection w:val="tbRl"/>
                      <w:vAlign w:val="center"/>
                    </w:tcPr>
                    <w:p w:rsidR="006C74EB" w:rsidRDefault="006C74EB">
                      <w:pPr>
                        <w:shd w:val="clear" w:color="auto" w:fill="FFFFFF"/>
                        <w:ind w:left="130" w:right="113"/>
                        <w:rPr>
                          <w:rFonts w:cs="Arial"/>
                          <w:b/>
                        </w:rPr>
                      </w:pPr>
                      <w:r>
                        <w:rPr>
                          <w:rFonts w:cs="Arial"/>
                          <w:b/>
                        </w:rPr>
                        <w:t>8017/2014-2-S0080751-N0</w:t>
                      </w:r>
                    </w:p>
                  </w:tc>
                </w:tr>
                <w:tr w:rsidR="006C74EB">
                  <w:trPr>
                    <w:cantSplit/>
                    <w:trHeight w:hRule="exact" w:val="1202"/>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6C74EB" w:rsidRDefault="006C74EB">
                      <w:pPr>
                        <w:shd w:val="clear" w:color="auto" w:fill="FFFFFF"/>
                        <w:ind w:left="-90" w:right="113"/>
                        <w:jc w:val="center"/>
                        <w:rPr>
                          <w:rFonts w:cs="Arial"/>
                          <w:b/>
                          <w:sz w:val="20"/>
                          <w:szCs w:val="20"/>
                        </w:rPr>
                      </w:pPr>
                      <w:r>
                        <w:rPr>
                          <w:rFonts w:cs="Arial"/>
                          <w:color w:val="000000"/>
                          <w:sz w:val="18"/>
                          <w:szCs w:val="18"/>
                        </w:rPr>
                        <w:t>Revizie</w:t>
                      </w:r>
                      <w:r>
                        <w:rPr>
                          <w:rFonts w:cs="Arial"/>
                          <w:color w:val="000000"/>
                          <w:sz w:val="18"/>
                          <w:szCs w:val="18"/>
                          <w:lang w:val="en-US"/>
                        </w:rPr>
                        <w:t xml:space="preserve">: </w:t>
                      </w:r>
                      <w:r>
                        <w:rPr>
                          <w:rFonts w:cs="Arial"/>
                          <w:b/>
                          <w:color w:val="000000"/>
                          <w:lang w:val="en-US"/>
                        </w:rPr>
                        <w:t>2</w:t>
                      </w:r>
                    </w:p>
                  </w:tc>
                </w:tr>
                <w:tr w:rsidR="006C74EB">
                  <w:trPr>
                    <w:cantSplit/>
                    <w:trHeight w:hRule="exact" w:val="1134"/>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6C74EB" w:rsidRDefault="006C74EB">
                      <w:pPr>
                        <w:shd w:val="clear" w:color="auto" w:fill="FFFFFF"/>
                        <w:ind w:left="-90" w:right="113"/>
                        <w:jc w:val="center"/>
                        <w:rPr>
                          <w:rFonts w:cs="Arial"/>
                          <w:b/>
                          <w:sz w:val="20"/>
                          <w:szCs w:val="20"/>
                        </w:rPr>
                      </w:pPr>
                      <w:r>
                        <w:rPr>
                          <w:rFonts w:cs="Arial"/>
                          <w:color w:val="000000"/>
                          <w:spacing w:val="-10"/>
                          <w:sz w:val="18"/>
                          <w:szCs w:val="18"/>
                        </w:rPr>
                        <w:t>Pag</w:t>
                      </w:r>
                      <w:r>
                        <w:rPr>
                          <w:rFonts w:cs="Arial"/>
                          <w:color w:val="000000"/>
                          <w:spacing w:val="-10"/>
                          <w:sz w:val="18"/>
                          <w:szCs w:val="18"/>
                          <w:lang w:val="en-US"/>
                        </w:rPr>
                        <w:t>.</w:t>
                      </w:r>
                      <w:r>
                        <w:rPr>
                          <w:rFonts w:cs="Arial"/>
                          <w:color w:val="000000"/>
                          <w:spacing w:val="-10"/>
                          <w:lang w:val="en-US"/>
                        </w:rPr>
                        <w:t xml:space="preserve"> </w:t>
                      </w:r>
                      <w:r>
                        <w:rPr>
                          <w:rFonts w:cs="Arial"/>
                          <w:b/>
                          <w:color w:val="000000"/>
                          <w:spacing w:val="-10"/>
                          <w:lang w:val="en-US"/>
                        </w:rPr>
                        <w:t xml:space="preserve"> </w:t>
                      </w:r>
                      <w:r>
                        <w:rPr>
                          <w:rFonts w:cs="Arial"/>
                          <w:b/>
                          <w:color w:val="000000"/>
                          <w:spacing w:val="-10"/>
                          <w:lang w:val="en-US"/>
                        </w:rPr>
                        <w:fldChar w:fldCharType="begin"/>
                      </w:r>
                      <w:r>
                        <w:rPr>
                          <w:rFonts w:cs="Arial"/>
                          <w:b/>
                          <w:color w:val="000000"/>
                          <w:spacing w:val="-10"/>
                          <w:lang w:val="en-US"/>
                        </w:rPr>
                        <w:instrText>PAGE   \* MERGEFORMAT</w:instrText>
                      </w:r>
                      <w:r>
                        <w:rPr>
                          <w:rFonts w:cs="Arial"/>
                          <w:b/>
                          <w:color w:val="000000"/>
                          <w:spacing w:val="-10"/>
                          <w:lang w:val="en-US"/>
                        </w:rPr>
                        <w:fldChar w:fldCharType="separate"/>
                      </w:r>
                      <w:r w:rsidR="004A16E2">
                        <w:rPr>
                          <w:rFonts w:cs="Arial"/>
                          <w:b/>
                          <w:noProof/>
                          <w:color w:val="000000"/>
                          <w:spacing w:val="-10"/>
                          <w:lang w:val="en-US"/>
                        </w:rPr>
                        <w:t>82</w:t>
                      </w:r>
                      <w:r>
                        <w:rPr>
                          <w:rFonts w:cs="Arial"/>
                          <w:b/>
                          <w:color w:val="000000"/>
                          <w:spacing w:val="-10"/>
                          <w:lang w:val="en-US"/>
                        </w:rPr>
                        <w:fldChar w:fldCharType="end"/>
                      </w:r>
                    </w:p>
                  </w:tc>
                </w:tr>
              </w:tbl>
              <w:p w:rsidR="006C74EB" w:rsidRDefault="006C74EB">
                <w:pPr>
                  <w:jc w:val="center"/>
                  <w:rPr>
                    <w:sz w:val="8"/>
                  </w:rPr>
                </w:pPr>
              </w:p>
            </w:txbxContent>
          </v:textbox>
        </v:shape>
      </w:pict>
    </w:r>
    <w:r>
      <w:rPr>
        <w:rFonts w:cs="Arial"/>
        <w:noProof/>
        <w:lang w:val="en-US" w:eastAsia="en-US"/>
      </w:rPr>
      <w:drawing>
        <wp:anchor distT="0" distB="0" distL="114300" distR="114300" simplePos="0" relativeHeight="251654144" behindDoc="0" locked="0" layoutInCell="1" allowOverlap="1" wp14:anchorId="0DC99762" wp14:editId="09C14161">
          <wp:simplePos x="0" y="0"/>
          <wp:positionH relativeFrom="column">
            <wp:posOffset>9467850</wp:posOffset>
          </wp:positionH>
          <wp:positionV relativeFrom="paragraph">
            <wp:posOffset>261620</wp:posOffset>
          </wp:positionV>
          <wp:extent cx="485775" cy="1403985"/>
          <wp:effectExtent l="19050" t="0" r="9525" b="0"/>
          <wp:wrapNone/>
          <wp:docPr id="36" name="Imagine 11" descr="J:\MM\MM\MM documents\Lucru 2014\Sigla ISPE - V - 2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1" descr="J:\MM\MM\MM documents\Lucru 2014\Sigla ISPE - V - 2014.gif"/>
                  <pic:cNvPicPr>
                    <a:picLocks noChangeAspect="1" noChangeArrowheads="1"/>
                  </pic:cNvPicPr>
                </pic:nvPicPr>
                <pic:blipFill>
                  <a:blip r:embed="rId1"/>
                  <a:srcRect/>
                  <a:stretch>
                    <a:fillRect/>
                  </a:stretch>
                </pic:blipFill>
                <pic:spPr bwMode="auto">
                  <a:xfrm>
                    <a:off x="0" y="0"/>
                    <a:ext cx="485775" cy="1403985"/>
                  </a:xfrm>
                  <a:prstGeom prst="rect">
                    <a:avLst/>
                  </a:prstGeom>
                  <a:noFill/>
                  <a:ln w="9525">
                    <a:noFill/>
                    <a:miter lim="800000"/>
                    <a:headEnd/>
                    <a:tailEnd/>
                  </a:ln>
                </pic:spPr>
              </pic:pic>
            </a:graphicData>
          </a:graphic>
        </wp:anchor>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pStyle w:val="Header"/>
      <w:ind w:right="72"/>
      <w:rPr>
        <w:lang w:val="uk-UA"/>
      </w:rPr>
    </w:pPr>
    <w:r>
      <w:rPr>
        <w:lang w:val="uk-UA"/>
      </w:rPr>
      <w:tab/>
    </w:r>
  </w:p>
  <w:tbl>
    <w:tblPr>
      <w:tblW w:w="8080" w:type="dxa"/>
      <w:tblInd w:w="40" w:type="dxa"/>
      <w:tblLayout w:type="fixed"/>
      <w:tblCellMar>
        <w:left w:w="40" w:type="dxa"/>
        <w:right w:w="40" w:type="dxa"/>
      </w:tblCellMar>
      <w:tblLook w:val="0000" w:firstRow="0" w:lastRow="0" w:firstColumn="0" w:lastColumn="0" w:noHBand="0" w:noVBand="0"/>
    </w:tblPr>
    <w:tblGrid>
      <w:gridCol w:w="1332"/>
      <w:gridCol w:w="4320"/>
      <w:gridCol w:w="1200"/>
      <w:gridCol w:w="1228"/>
    </w:tblGrid>
    <w:tr w:rsidR="006C74EB">
      <w:trPr>
        <w:trHeight w:hRule="exact" w:val="595"/>
      </w:trPr>
      <w:tc>
        <w:tcPr>
          <w:tcW w:w="1332" w:type="dxa"/>
          <w:tcBorders>
            <w:top w:val="single" w:sz="6" w:space="0" w:color="auto"/>
            <w:left w:val="single" w:sz="6" w:space="0" w:color="auto"/>
            <w:bottom w:val="single" w:sz="6" w:space="0" w:color="auto"/>
            <w:right w:val="nil"/>
          </w:tcBorders>
          <w:shd w:val="clear" w:color="auto" w:fill="FFFFFF"/>
          <w:vAlign w:val="center"/>
        </w:tcPr>
        <w:p w:rsidR="006C74EB" w:rsidRDefault="006C74EB">
          <w:pPr>
            <w:shd w:val="clear" w:color="auto" w:fill="FFFFFF"/>
            <w:ind w:left="-182" w:firstLine="182"/>
            <w:rPr>
              <w:sz w:val="18"/>
              <w:szCs w:val="18"/>
              <w:lang w:val="uk-UA"/>
            </w:rPr>
          </w:pPr>
          <w:r>
            <w:rPr>
              <w:color w:val="000000"/>
              <w:spacing w:val="-3"/>
              <w:sz w:val="18"/>
              <w:szCs w:val="18"/>
              <w:lang w:val="uk-UA"/>
            </w:rPr>
            <w:t>Код документа:</w:t>
          </w:r>
        </w:p>
      </w:tc>
      <w:tc>
        <w:tcPr>
          <w:tcW w:w="4320" w:type="dxa"/>
          <w:tcBorders>
            <w:top w:val="single" w:sz="6" w:space="0" w:color="auto"/>
            <w:left w:val="nil"/>
            <w:bottom w:val="single" w:sz="6" w:space="0" w:color="auto"/>
            <w:right w:val="single" w:sz="6" w:space="0" w:color="auto"/>
          </w:tcBorders>
          <w:shd w:val="clear" w:color="auto" w:fill="FFFFFF"/>
          <w:vAlign w:val="center"/>
        </w:tcPr>
        <w:p w:rsidR="006C74EB" w:rsidRDefault="006C74EB">
          <w:pPr>
            <w:shd w:val="clear" w:color="auto" w:fill="FFFFFF"/>
            <w:ind w:left="130"/>
            <w:rPr>
              <w:b/>
              <w:bCs/>
              <w:lang w:val="uk-UA"/>
            </w:rPr>
          </w:pPr>
          <w:r>
            <w:rPr>
              <w:b/>
              <w:bCs/>
              <w:lang w:val="uk-UA"/>
            </w:rPr>
            <w:t>8017/2014-2-S0080751-N0</w:t>
          </w:r>
        </w:p>
      </w:tc>
      <w:tc>
        <w:tcPr>
          <w:tcW w:w="1200" w:type="dxa"/>
          <w:tcBorders>
            <w:top w:val="single" w:sz="6" w:space="0" w:color="auto"/>
            <w:left w:val="single" w:sz="6" w:space="0" w:color="auto"/>
            <w:bottom w:val="single" w:sz="6" w:space="0" w:color="auto"/>
            <w:right w:val="single" w:sz="6" w:space="0" w:color="auto"/>
          </w:tcBorders>
          <w:shd w:val="clear" w:color="auto" w:fill="FFFFFF"/>
          <w:vAlign w:val="center"/>
        </w:tcPr>
        <w:p w:rsidR="006C74EB" w:rsidRDefault="006C74EB">
          <w:pPr>
            <w:shd w:val="clear" w:color="auto" w:fill="FFFFFF"/>
            <w:jc w:val="center"/>
            <w:rPr>
              <w:b/>
              <w:bCs/>
              <w:sz w:val="20"/>
              <w:szCs w:val="20"/>
              <w:lang w:val="uk-UA"/>
            </w:rPr>
          </w:pPr>
          <w:r>
            <w:rPr>
              <w:color w:val="000000"/>
              <w:sz w:val="18"/>
              <w:szCs w:val="18"/>
              <w:lang w:val="uk-UA"/>
            </w:rPr>
            <w:t xml:space="preserve">Ревізія: </w:t>
          </w:r>
          <w:r>
            <w:rPr>
              <w:b/>
              <w:bCs/>
              <w:color w:val="000000"/>
              <w:lang w:val="uk-UA"/>
            </w:rPr>
            <w:t>0</w:t>
          </w:r>
        </w:p>
      </w:tc>
      <w:tc>
        <w:tcPr>
          <w:tcW w:w="1228" w:type="dxa"/>
          <w:tcBorders>
            <w:top w:val="single" w:sz="6" w:space="0" w:color="auto"/>
            <w:left w:val="single" w:sz="6" w:space="0" w:color="auto"/>
            <w:bottom w:val="single" w:sz="6" w:space="0" w:color="auto"/>
            <w:right w:val="single" w:sz="6" w:space="0" w:color="auto"/>
          </w:tcBorders>
          <w:shd w:val="clear" w:color="auto" w:fill="FFFFFF"/>
          <w:vAlign w:val="center"/>
        </w:tcPr>
        <w:p w:rsidR="006C74EB" w:rsidRDefault="006C74EB">
          <w:pPr>
            <w:shd w:val="clear" w:color="auto" w:fill="FFFFFF"/>
            <w:jc w:val="center"/>
            <w:rPr>
              <w:lang w:val="uk-UA"/>
            </w:rPr>
          </w:pPr>
          <w:r>
            <w:rPr>
              <w:color w:val="000000"/>
              <w:spacing w:val="-10"/>
              <w:sz w:val="18"/>
              <w:szCs w:val="18"/>
              <w:lang w:val="uk-UA"/>
            </w:rPr>
            <w:t xml:space="preserve">Сторінка </w:t>
          </w:r>
          <w:r>
            <w:rPr>
              <w:b/>
              <w:bCs/>
              <w:color w:val="000000"/>
              <w:spacing w:val="-10"/>
              <w:lang w:val="uk-UA"/>
            </w:rPr>
            <w:fldChar w:fldCharType="begin"/>
          </w:r>
          <w:r>
            <w:rPr>
              <w:b/>
              <w:bCs/>
              <w:color w:val="000000"/>
              <w:spacing w:val="-10"/>
              <w:lang w:val="uk-UA"/>
            </w:rPr>
            <w:instrText>PAGE   \* MERGEFORMAT</w:instrText>
          </w:r>
          <w:r>
            <w:rPr>
              <w:b/>
              <w:bCs/>
              <w:color w:val="000000"/>
              <w:spacing w:val="-10"/>
              <w:lang w:val="uk-UA"/>
            </w:rPr>
            <w:fldChar w:fldCharType="separate"/>
          </w:r>
          <w:r w:rsidR="004A16E2">
            <w:rPr>
              <w:b/>
              <w:bCs/>
              <w:noProof/>
              <w:color w:val="000000"/>
              <w:spacing w:val="-10"/>
              <w:lang w:val="uk-UA"/>
            </w:rPr>
            <w:t>98</w:t>
          </w:r>
          <w:r>
            <w:rPr>
              <w:b/>
              <w:bCs/>
              <w:color w:val="000000"/>
              <w:spacing w:val="-10"/>
              <w:lang w:val="uk-UA"/>
            </w:rPr>
            <w:fldChar w:fldCharType="end"/>
          </w:r>
        </w:p>
      </w:tc>
    </w:tr>
  </w:tbl>
  <w:p w:rsidR="006C74EB" w:rsidRDefault="006C74EB">
    <w:pPr>
      <w:pStyle w:val="Header"/>
      <w:rPr>
        <w:lang w:val="uk-UA"/>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pStyle w:val="Header"/>
      <w:ind w:right="72"/>
    </w:pPr>
    <w:r>
      <w:tab/>
    </w:r>
  </w:p>
  <w:tbl>
    <w:tblPr>
      <w:tblW w:w="8080" w:type="dxa"/>
      <w:tblInd w:w="40" w:type="dxa"/>
      <w:tblLayout w:type="fixed"/>
      <w:tblCellMar>
        <w:left w:w="40" w:type="dxa"/>
        <w:right w:w="40" w:type="dxa"/>
      </w:tblCellMar>
      <w:tblLook w:val="0000" w:firstRow="0" w:lastRow="0" w:firstColumn="0" w:lastColumn="0" w:noHBand="0" w:noVBand="0"/>
    </w:tblPr>
    <w:tblGrid>
      <w:gridCol w:w="1332"/>
      <w:gridCol w:w="4320"/>
      <w:gridCol w:w="1200"/>
      <w:gridCol w:w="1228"/>
    </w:tblGrid>
    <w:tr w:rsidR="006C74EB">
      <w:trPr>
        <w:trHeight w:hRule="exact" w:val="595"/>
      </w:trPr>
      <w:tc>
        <w:tcPr>
          <w:tcW w:w="1332" w:type="dxa"/>
          <w:tcBorders>
            <w:top w:val="single" w:sz="6" w:space="0" w:color="auto"/>
            <w:left w:val="single" w:sz="6" w:space="0" w:color="auto"/>
            <w:bottom w:val="single" w:sz="6" w:space="0" w:color="auto"/>
            <w:right w:val="nil"/>
          </w:tcBorders>
          <w:shd w:val="clear" w:color="auto" w:fill="FFFFFF"/>
          <w:vAlign w:val="center"/>
        </w:tcPr>
        <w:p w:rsidR="006C74EB" w:rsidRDefault="006C74EB">
          <w:pPr>
            <w:shd w:val="clear" w:color="auto" w:fill="FFFFFF"/>
            <w:ind w:left="-182" w:firstLine="182"/>
            <w:rPr>
              <w:sz w:val="18"/>
              <w:szCs w:val="18"/>
            </w:rPr>
          </w:pPr>
          <w:r>
            <w:rPr>
              <w:color w:val="000000"/>
              <w:spacing w:val="-3"/>
              <w:sz w:val="18"/>
              <w:szCs w:val="18"/>
              <w:lang w:val="ru-RU"/>
            </w:rPr>
            <w:t>Код документа</w:t>
          </w:r>
          <w:r>
            <w:rPr>
              <w:color w:val="000000"/>
              <w:spacing w:val="-3"/>
              <w:sz w:val="18"/>
              <w:szCs w:val="18"/>
              <w:lang w:val="en-US"/>
            </w:rPr>
            <w:t>:</w:t>
          </w:r>
        </w:p>
      </w:tc>
      <w:tc>
        <w:tcPr>
          <w:tcW w:w="4320" w:type="dxa"/>
          <w:tcBorders>
            <w:top w:val="single" w:sz="6" w:space="0" w:color="auto"/>
            <w:left w:val="nil"/>
            <w:bottom w:val="single" w:sz="6" w:space="0" w:color="auto"/>
            <w:right w:val="single" w:sz="6" w:space="0" w:color="auto"/>
          </w:tcBorders>
          <w:shd w:val="clear" w:color="auto" w:fill="FFFFFF"/>
          <w:vAlign w:val="center"/>
        </w:tcPr>
        <w:p w:rsidR="006C74EB" w:rsidRDefault="006C74EB">
          <w:pPr>
            <w:shd w:val="clear" w:color="auto" w:fill="FFFFFF"/>
            <w:ind w:left="130"/>
            <w:rPr>
              <w:b/>
              <w:bCs/>
            </w:rPr>
          </w:pPr>
          <w:r>
            <w:rPr>
              <w:b/>
              <w:bCs/>
            </w:rPr>
            <w:t>8017/2014-2-S0080751-N0</w:t>
          </w:r>
        </w:p>
      </w:tc>
      <w:tc>
        <w:tcPr>
          <w:tcW w:w="1200" w:type="dxa"/>
          <w:tcBorders>
            <w:top w:val="single" w:sz="6" w:space="0" w:color="auto"/>
            <w:left w:val="single" w:sz="6" w:space="0" w:color="auto"/>
            <w:bottom w:val="single" w:sz="6" w:space="0" w:color="auto"/>
            <w:right w:val="single" w:sz="6" w:space="0" w:color="auto"/>
          </w:tcBorders>
          <w:shd w:val="clear" w:color="auto" w:fill="FFFFFF"/>
          <w:vAlign w:val="center"/>
        </w:tcPr>
        <w:p w:rsidR="006C74EB" w:rsidRDefault="006C74EB">
          <w:pPr>
            <w:shd w:val="clear" w:color="auto" w:fill="FFFFFF"/>
            <w:jc w:val="center"/>
            <w:rPr>
              <w:b/>
              <w:bCs/>
              <w:sz w:val="20"/>
              <w:szCs w:val="20"/>
            </w:rPr>
          </w:pPr>
          <w:r>
            <w:rPr>
              <w:color w:val="000000"/>
              <w:sz w:val="18"/>
              <w:szCs w:val="18"/>
              <w:lang w:val="ru-RU"/>
            </w:rPr>
            <w:t>Ревизия</w:t>
          </w:r>
          <w:r>
            <w:rPr>
              <w:color w:val="000000"/>
              <w:sz w:val="18"/>
              <w:szCs w:val="18"/>
              <w:lang w:val="en-US"/>
            </w:rPr>
            <w:t xml:space="preserve">: </w:t>
          </w:r>
          <w:r>
            <w:rPr>
              <w:b/>
              <w:bCs/>
              <w:color w:val="000000"/>
              <w:lang w:val="en-US"/>
            </w:rPr>
            <w:t>0</w:t>
          </w:r>
        </w:p>
      </w:tc>
      <w:tc>
        <w:tcPr>
          <w:tcW w:w="1228" w:type="dxa"/>
          <w:tcBorders>
            <w:top w:val="single" w:sz="6" w:space="0" w:color="auto"/>
            <w:left w:val="single" w:sz="6" w:space="0" w:color="auto"/>
            <w:bottom w:val="single" w:sz="6" w:space="0" w:color="auto"/>
            <w:right w:val="single" w:sz="6" w:space="0" w:color="auto"/>
          </w:tcBorders>
          <w:shd w:val="clear" w:color="auto" w:fill="FFFFFF"/>
          <w:vAlign w:val="center"/>
        </w:tcPr>
        <w:p w:rsidR="006C74EB" w:rsidRDefault="006C74EB">
          <w:pPr>
            <w:shd w:val="clear" w:color="auto" w:fill="FFFFFF"/>
            <w:jc w:val="center"/>
          </w:pPr>
          <w:r>
            <w:rPr>
              <w:color w:val="000000"/>
              <w:spacing w:val="-10"/>
              <w:sz w:val="18"/>
              <w:szCs w:val="18"/>
              <w:lang w:val="ru-RU"/>
            </w:rPr>
            <w:t>Страница</w:t>
          </w:r>
          <w:r>
            <w:rPr>
              <w:color w:val="000000"/>
              <w:spacing w:val="-10"/>
              <w:lang w:val="en-US"/>
            </w:rPr>
            <w:t xml:space="preserve"> </w:t>
          </w:r>
          <w:r>
            <w:rPr>
              <w:b/>
              <w:bCs/>
              <w:color w:val="000000"/>
              <w:spacing w:val="-10"/>
              <w:lang w:val="en-US"/>
            </w:rPr>
            <w:t xml:space="preserve"> </w:t>
          </w:r>
          <w:r>
            <w:rPr>
              <w:b/>
              <w:bCs/>
              <w:color w:val="000000"/>
              <w:spacing w:val="-10"/>
              <w:lang w:val="en-US"/>
            </w:rPr>
            <w:fldChar w:fldCharType="begin"/>
          </w:r>
          <w:r>
            <w:rPr>
              <w:b/>
              <w:bCs/>
              <w:color w:val="000000"/>
              <w:spacing w:val="-10"/>
              <w:lang w:val="en-US"/>
            </w:rPr>
            <w:instrText>PAGE   \* MERGEFORMAT</w:instrText>
          </w:r>
          <w:r>
            <w:rPr>
              <w:b/>
              <w:bCs/>
              <w:color w:val="000000"/>
              <w:spacing w:val="-10"/>
              <w:lang w:val="en-US"/>
            </w:rPr>
            <w:fldChar w:fldCharType="separate"/>
          </w:r>
          <w:r w:rsidR="004A16E2">
            <w:rPr>
              <w:b/>
              <w:bCs/>
              <w:noProof/>
              <w:color w:val="000000"/>
              <w:spacing w:val="-10"/>
              <w:lang w:val="en-US"/>
            </w:rPr>
            <w:t>116</w:t>
          </w:r>
          <w:r>
            <w:rPr>
              <w:b/>
              <w:bCs/>
              <w:color w:val="000000"/>
              <w:spacing w:val="-10"/>
              <w:lang w:val="en-US"/>
            </w:rPr>
            <w:fldChar w:fldCharType="end"/>
          </w:r>
        </w:p>
      </w:tc>
    </w:tr>
  </w:tbl>
  <w:p w:rsidR="006C74EB" w:rsidRDefault="006C74EB">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pStyle w:val="Header"/>
      <w:ind w:right="72"/>
      <w:rPr>
        <w:rFonts w:cs="Arial"/>
      </w:rPr>
    </w:pPr>
    <w:r>
      <w:rPr>
        <w:noProof/>
      </w:rPr>
      <w:pict>
        <v:rect id="Rectangle 8" o:spid="_x0000_s2112" style="position:absolute;margin-left:32.6pt;margin-top:39.45pt;width:120.4pt;height:12.1pt;z-index:251668992;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" filled="f" stroked="f" strokeweight="0">
          <v:textbox inset="0,0,0,0">
            <w:txbxContent>
              <w:p w:rsidR="006C74EB" w:rsidRDefault="006C74EB">
                <w:pPr>
                  <w:rPr>
                    <w:sz w:val="12"/>
                    <w:szCs w:val="12"/>
                  </w:rPr>
                </w:pPr>
                <w:r>
                  <w:rPr>
                    <w:sz w:val="12"/>
                  </w:rPr>
                  <w:t>Formular cod: FPM-03.01-01-02 Act. 0</w:t>
                </w:r>
              </w:p>
            </w:txbxContent>
          </v:textbox>
          <w10:wrap anchorx="page" anchory="page"/>
          <w10:anchorlock/>
        </v:rect>
      </w:pict>
    </w:r>
    <w:r>
      <w:rPr>
        <w:noProof/>
      </w:rPr>
      <w:pict>
        <v:shapetype id="_x0000_t202" coordsize="21600,21600" o:spt="202" path="m,l,21600r21600,l21600,xe">
          <v:stroke joinstyle="miter"/>
          <v:path gradientshapeok="t" o:connecttype="rect"/>
        </v:shapetype>
        <v:shape id="Text Box 7" o:spid="_x0000_s2111" type="#_x0000_t202" style="position:absolute;margin-left:749.75pt;margin-top:131.15pt;width:40.95pt;height:414.55pt;z-index:2516679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" filled="f" stroked="f">
          <v:textbox inset="1mm,1mm,1mm,1mm">
            <w:txbxContent>
              <w:tbl>
                <w:tblPr>
                  <w:tblW w:w="523" w:type="dxa"/>
                  <w:jc w:val="center"/>
                  <w:tblLayout w:type="fixed"/>
                  <w:tblCellMar>
                    <w:left w:w="45" w:type="dxa"/>
                    <w:right w:w="45" w:type="dxa"/>
                  </w:tblCellMar>
                  <w:tblLook w:val="04A0" w:firstRow="1" w:lastRow="0" w:firstColumn="1" w:lastColumn="0" w:noHBand="0" w:noVBand="1"/>
                </w:tblPr>
                <w:tblGrid>
                  <w:gridCol w:w="523"/>
                </w:tblGrid>
                <w:tr w:rsidR="006C74EB">
                  <w:trPr>
                    <w:cantSplit/>
                    <w:trHeight w:hRule="exact" w:val="1503"/>
                    <w:jc w:val="center"/>
                  </w:trPr>
                  <w:tc>
                    <w:tcPr>
                      <w:tcW w:w="523" w:type="dxa"/>
                      <w:tcBorders>
                        <w:top w:val="single" w:sz="4" w:space="0" w:color="auto"/>
                        <w:left w:val="single" w:sz="4" w:space="0" w:color="auto"/>
                        <w:right w:val="single" w:sz="4" w:space="0" w:color="auto"/>
                      </w:tcBorders>
                      <w:shd w:val="clear" w:color="auto" w:fill="FFFFFF"/>
                      <w:textDirection w:val="tbRl"/>
                      <w:vAlign w:val="center"/>
                    </w:tcPr>
                    <w:p w:rsidR="006C74EB" w:rsidRDefault="006C74EB">
                      <w:pPr>
                        <w:ind w:left="-90" w:right="113"/>
                        <w:jc w:val="center"/>
                      </w:pPr>
                      <w:r>
                        <w:rPr>
                          <w:rFonts w:cs="Arial"/>
                          <w:color w:val="000000"/>
                          <w:spacing w:val="-3"/>
                          <w:sz w:val="18"/>
                          <w:szCs w:val="18"/>
                        </w:rPr>
                        <w:t>Cod document</w:t>
                      </w:r>
                    </w:p>
                  </w:tc>
                </w:tr>
                <w:tr w:rsidR="006C74EB">
                  <w:trPr>
                    <w:cantSplit/>
                    <w:trHeight w:hRule="exact" w:val="4321"/>
                    <w:jc w:val="center"/>
                  </w:trPr>
                  <w:tc>
                    <w:tcPr>
                      <w:tcW w:w="523" w:type="dxa"/>
                      <w:tcBorders>
                        <w:left w:val="single" w:sz="4" w:space="0" w:color="auto"/>
                        <w:bottom w:val="single" w:sz="4" w:space="0" w:color="auto"/>
                        <w:right w:val="single" w:sz="4" w:space="0" w:color="auto"/>
                      </w:tcBorders>
                      <w:shd w:val="clear" w:color="auto" w:fill="FFFFFF"/>
                      <w:textDirection w:val="tbRl"/>
                      <w:vAlign w:val="center"/>
                    </w:tcPr>
                    <w:p w:rsidR="006C74EB" w:rsidRDefault="006C74EB">
                      <w:pPr>
                        <w:shd w:val="clear" w:color="auto" w:fill="FFFFFF"/>
                        <w:ind w:left="130" w:right="113"/>
                        <w:rPr>
                          <w:rFonts w:cs="Arial"/>
                          <w:b/>
                        </w:rPr>
                      </w:pPr>
                      <w:r>
                        <w:rPr>
                          <w:rFonts w:cs="Arial"/>
                          <w:b/>
                        </w:rPr>
                        <w:t>8017/2014-2-S0080751-N0</w:t>
                      </w:r>
                    </w:p>
                  </w:tc>
                </w:tr>
                <w:tr w:rsidR="006C74EB">
                  <w:trPr>
                    <w:cantSplit/>
                    <w:trHeight w:hRule="exact" w:val="1202"/>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6C74EB" w:rsidRDefault="006C74EB">
                      <w:pPr>
                        <w:shd w:val="clear" w:color="auto" w:fill="FFFFFF"/>
                        <w:ind w:left="-90" w:right="113"/>
                        <w:jc w:val="center"/>
                        <w:rPr>
                          <w:rFonts w:cs="Arial"/>
                          <w:b/>
                          <w:sz w:val="20"/>
                          <w:szCs w:val="20"/>
                        </w:rPr>
                      </w:pPr>
                      <w:r>
                        <w:rPr>
                          <w:rFonts w:cs="Arial"/>
                          <w:color w:val="000000"/>
                          <w:sz w:val="18"/>
                          <w:szCs w:val="18"/>
                        </w:rPr>
                        <w:t xml:space="preserve">Revizie: </w:t>
                      </w:r>
                      <w:r>
                        <w:rPr>
                          <w:rFonts w:cs="Arial"/>
                          <w:b/>
                          <w:color w:val="000000"/>
                        </w:rPr>
                        <w:t>2</w:t>
                      </w:r>
                    </w:p>
                  </w:tc>
                </w:tr>
                <w:tr w:rsidR="006C74EB">
                  <w:trPr>
                    <w:cantSplit/>
                    <w:trHeight w:hRule="exact" w:val="1134"/>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6C74EB" w:rsidRDefault="006C74EB">
                      <w:pPr>
                        <w:shd w:val="clear" w:color="auto" w:fill="FFFFFF"/>
                        <w:ind w:left="-90" w:right="113"/>
                        <w:jc w:val="center"/>
                        <w:rPr>
                          <w:rFonts w:cs="Arial"/>
                          <w:b/>
                          <w:sz w:val="20"/>
                          <w:szCs w:val="20"/>
                        </w:rPr>
                      </w:pPr>
                      <w:r>
                        <w:rPr>
                          <w:rFonts w:cs="Arial"/>
                          <w:color w:val="000000"/>
                          <w:spacing w:val="-10"/>
                          <w:sz w:val="18"/>
                          <w:szCs w:val="18"/>
                        </w:rPr>
                        <w:t>Pag.</w:t>
                      </w:r>
                      <w:r>
                        <w:rPr>
                          <w:rFonts w:cs="Arial"/>
                          <w:b/>
                          <w:color w:val="000000"/>
                          <w:spacing w:val="-10"/>
                        </w:rPr>
                        <w:fldChar w:fldCharType="begin"/>
                      </w:r>
                      <w:r>
                        <w:rPr>
                          <w:rFonts w:cs="Arial"/>
                          <w:b/>
                          <w:color w:val="000000"/>
                          <w:spacing w:val="-10"/>
                        </w:rPr>
                        <w:instrText>PAGE   \* MERGEFORMAT</w:instrText>
                      </w:r>
                      <w:r>
                        <w:rPr>
                          <w:rFonts w:cs="Arial"/>
                          <w:b/>
                          <w:color w:val="000000"/>
                          <w:spacing w:val="-10"/>
                        </w:rPr>
                        <w:fldChar w:fldCharType="separate"/>
                      </w:r>
                      <w:r w:rsidR="004A16E2">
                        <w:rPr>
                          <w:rFonts w:cs="Arial"/>
                          <w:b/>
                          <w:noProof/>
                          <w:color w:val="000000"/>
                          <w:spacing w:val="-10"/>
                        </w:rPr>
                        <w:t>122</w:t>
                      </w:r>
                      <w:r>
                        <w:rPr>
                          <w:rFonts w:cs="Arial"/>
                          <w:b/>
                          <w:color w:val="000000"/>
                          <w:spacing w:val="-10"/>
                        </w:rPr>
                        <w:fldChar w:fldCharType="end"/>
                      </w:r>
                    </w:p>
                  </w:tc>
                </w:tr>
              </w:tbl>
              <w:p w:rsidR="006C74EB" w:rsidRDefault="006C74EB">
                <w:pPr>
                  <w:jc w:val="center"/>
                  <w:rPr>
                    <w:sz w:val="8"/>
                  </w:rPr>
                </w:pPr>
              </w:p>
            </w:txbxContent>
          </v:textbox>
        </v:shape>
      </w:pict>
    </w:r>
    <w:r>
      <w:rPr>
        <w:noProof/>
        <w:lang w:val="en-US" w:eastAsia="en-US"/>
      </w:rPr>
      <w:drawing>
        <wp:anchor distT="0" distB="0" distL="114300" distR="114300" simplePos="0" relativeHeight="251663360" behindDoc="0" locked="0" layoutInCell="1" allowOverlap="1" wp14:anchorId="55F5D13F" wp14:editId="526941C4">
          <wp:simplePos x="0" y="0"/>
          <wp:positionH relativeFrom="column">
            <wp:posOffset>9467850</wp:posOffset>
          </wp:positionH>
          <wp:positionV relativeFrom="paragraph">
            <wp:posOffset>261620</wp:posOffset>
          </wp:positionV>
          <wp:extent cx="485775" cy="1403985"/>
          <wp:effectExtent l="19050" t="0" r="9525" b="0"/>
          <wp:wrapNone/>
          <wp:docPr id="62" name="Picture 6" descr="J:\MM\MM\MM documents\Lucru 2014\Sigla ISPE - V - 2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MM\MM\MM documents\Lucru 2014\Sigla ISPE - V - 2014.gif"/>
                  <pic:cNvPicPr>
                    <a:picLocks noChangeAspect="1" noChangeArrowheads="1"/>
                  </pic:cNvPicPr>
                </pic:nvPicPr>
                <pic:blipFill>
                  <a:blip r:embed="rId1"/>
                  <a:srcRect/>
                  <a:stretch>
                    <a:fillRect/>
                  </a:stretch>
                </pic:blipFill>
                <pic:spPr bwMode="auto">
                  <a:xfrm>
                    <a:off x="0" y="0"/>
                    <a:ext cx="485775" cy="1403985"/>
                  </a:xfrm>
                  <a:prstGeom prst="rect">
                    <a:avLst/>
                  </a:prstGeom>
                  <a:noFill/>
                  <a:ln w="9525">
                    <a:noFill/>
                    <a:miter lim="800000"/>
                    <a:headEnd/>
                    <a:tailEnd/>
                  </a:ln>
                </pic:spPr>
              </pic:pic>
            </a:graphicData>
          </a:graphic>
        </wp:anchor>
      </w:drawing>
    </w:r>
  </w:p>
  <w:p w:rsidR="006C74EB" w:rsidRDefault="006C74EB">
    <w:pPr>
      <w:pStyle w:val="Header"/>
      <w:ind w:right="72"/>
      <w:rPr>
        <w:rFonts w:cs="Arial"/>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pStyle w:val="Header"/>
      <w:ind w:right="72"/>
      <w:rPr>
        <w:rFonts w:cs="Arial"/>
      </w:rPr>
    </w:pPr>
    <w:r>
      <w:rPr>
        <w:noProof/>
        <w:lang w:val="en-US" w:eastAsia="en-US"/>
      </w:rPr>
      <w:drawing>
        <wp:anchor distT="0" distB="0" distL="114300" distR="114300" simplePos="0" relativeHeight="251662336" behindDoc="0" locked="0" layoutInCell="1" allowOverlap="1" wp14:anchorId="53B99015" wp14:editId="10D94B20">
          <wp:simplePos x="0" y="0"/>
          <wp:positionH relativeFrom="column">
            <wp:posOffset>0</wp:posOffset>
          </wp:positionH>
          <wp:positionV relativeFrom="paragraph">
            <wp:posOffset>160655</wp:posOffset>
          </wp:positionV>
          <wp:extent cx="1406525" cy="486410"/>
          <wp:effectExtent l="19050" t="0" r="3175" b="0"/>
          <wp:wrapNone/>
          <wp:docPr id="61" name="Picture 1" descr="Sigla ISPE -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gla ISPE - 2014"/>
                  <pic:cNvPicPr>
                    <a:picLocks noChangeAspect="1" noChangeArrowheads="1"/>
                  </pic:cNvPicPr>
                </pic:nvPicPr>
                <pic:blipFill>
                  <a:blip r:embed="rId1"/>
                  <a:srcRect/>
                  <a:stretch>
                    <a:fillRect/>
                  </a:stretch>
                </pic:blipFill>
                <pic:spPr bwMode="auto">
                  <a:xfrm>
                    <a:off x="0" y="0"/>
                    <a:ext cx="1406525" cy="486410"/>
                  </a:xfrm>
                  <a:prstGeom prst="rect">
                    <a:avLst/>
                  </a:prstGeom>
                  <a:noFill/>
                  <a:ln w="9525">
                    <a:noFill/>
                    <a:miter lim="800000"/>
                    <a:headEnd/>
                    <a:tailEnd/>
                  </a:ln>
                </pic:spPr>
              </pic:pic>
            </a:graphicData>
          </a:graphic>
        </wp:anchor>
      </w:drawing>
    </w:r>
    <w:r>
      <w:tab/>
    </w:r>
  </w:p>
  <w:tbl>
    <w:tblPr>
      <w:tblW w:w="8080" w:type="dxa"/>
      <w:tblInd w:w="2308" w:type="dxa"/>
      <w:tblLayout w:type="fixed"/>
      <w:tblCellMar>
        <w:left w:w="40" w:type="dxa"/>
        <w:right w:w="40" w:type="dxa"/>
      </w:tblCellMar>
      <w:tblLook w:val="0000" w:firstRow="0" w:lastRow="0" w:firstColumn="0" w:lastColumn="0" w:noHBand="0" w:noVBand="0"/>
    </w:tblPr>
    <w:tblGrid>
      <w:gridCol w:w="1332"/>
      <w:gridCol w:w="4320"/>
      <w:gridCol w:w="1200"/>
      <w:gridCol w:w="1228"/>
    </w:tblGrid>
    <w:tr w:rsidR="006C74EB">
      <w:trPr>
        <w:trHeight w:hRule="exact" w:val="595"/>
      </w:trPr>
      <w:tc>
        <w:tcPr>
          <w:tcW w:w="1332" w:type="dxa"/>
          <w:tcBorders>
            <w:top w:val="single" w:sz="6" w:space="0" w:color="auto"/>
            <w:left w:val="single" w:sz="6" w:space="0" w:color="auto"/>
            <w:bottom w:val="single" w:sz="6" w:space="0" w:color="auto"/>
            <w:right w:val="nil"/>
          </w:tcBorders>
          <w:shd w:val="clear" w:color="auto" w:fill="FFFFFF"/>
          <w:vAlign w:val="center"/>
        </w:tcPr>
        <w:p w:rsidR="006C74EB" w:rsidRDefault="006C74EB">
          <w:pPr>
            <w:shd w:val="clear" w:color="auto" w:fill="FFFFFF"/>
            <w:ind w:left="-182" w:firstLine="182"/>
            <w:rPr>
              <w:rFonts w:cs="Arial"/>
              <w:sz w:val="18"/>
              <w:szCs w:val="18"/>
            </w:rPr>
          </w:pPr>
          <w:r>
            <w:rPr>
              <w:color w:val="000000"/>
              <w:spacing w:val="-3"/>
              <w:sz w:val="18"/>
            </w:rPr>
            <w:t>Код документу:</w:t>
          </w:r>
        </w:p>
      </w:tc>
      <w:tc>
        <w:tcPr>
          <w:tcW w:w="4320" w:type="dxa"/>
          <w:tcBorders>
            <w:top w:val="single" w:sz="6" w:space="0" w:color="auto"/>
            <w:left w:val="nil"/>
            <w:bottom w:val="single" w:sz="6" w:space="0" w:color="auto"/>
            <w:right w:val="single" w:sz="6" w:space="0" w:color="auto"/>
          </w:tcBorders>
          <w:shd w:val="clear" w:color="auto" w:fill="FFFFFF"/>
          <w:vAlign w:val="center"/>
        </w:tcPr>
        <w:p w:rsidR="006C74EB" w:rsidRDefault="006C74EB">
          <w:pPr>
            <w:shd w:val="clear" w:color="auto" w:fill="FFFFFF"/>
            <w:ind w:left="130"/>
            <w:rPr>
              <w:rFonts w:cs="Arial"/>
              <w:b/>
            </w:rPr>
          </w:pPr>
          <w:r>
            <w:rPr>
              <w:b/>
            </w:rPr>
            <w:t>8017/2014-2-S0080751-N0</w:t>
          </w:r>
        </w:p>
      </w:tc>
      <w:tc>
        <w:tcPr>
          <w:tcW w:w="1200" w:type="dxa"/>
          <w:tcBorders>
            <w:top w:val="single" w:sz="6" w:space="0" w:color="auto"/>
            <w:left w:val="single" w:sz="6" w:space="0" w:color="auto"/>
            <w:bottom w:val="single" w:sz="6" w:space="0" w:color="auto"/>
            <w:right w:val="single" w:sz="6" w:space="0" w:color="auto"/>
          </w:tcBorders>
          <w:shd w:val="clear" w:color="auto" w:fill="FFFFFF"/>
          <w:vAlign w:val="center"/>
        </w:tcPr>
        <w:p w:rsidR="006C74EB" w:rsidRDefault="006C74EB">
          <w:pPr>
            <w:shd w:val="clear" w:color="auto" w:fill="FFFFFF"/>
            <w:jc w:val="center"/>
            <w:rPr>
              <w:rFonts w:cs="Arial"/>
              <w:b/>
              <w:sz w:val="20"/>
              <w:szCs w:val="20"/>
            </w:rPr>
          </w:pPr>
          <w:r>
            <w:rPr>
              <w:color w:val="000000"/>
              <w:sz w:val="18"/>
            </w:rPr>
            <w:t xml:space="preserve">Перегляд: </w:t>
          </w:r>
          <w:r>
            <w:rPr>
              <w:b/>
              <w:color w:val="000000"/>
            </w:rPr>
            <w:t>0</w:t>
          </w:r>
        </w:p>
      </w:tc>
      <w:tc>
        <w:tcPr>
          <w:tcW w:w="1228" w:type="dxa"/>
          <w:tcBorders>
            <w:top w:val="single" w:sz="6" w:space="0" w:color="auto"/>
            <w:left w:val="single" w:sz="6" w:space="0" w:color="auto"/>
            <w:bottom w:val="single" w:sz="6" w:space="0" w:color="auto"/>
            <w:right w:val="single" w:sz="6" w:space="0" w:color="auto"/>
          </w:tcBorders>
          <w:shd w:val="clear" w:color="auto" w:fill="FFFFFF"/>
          <w:vAlign w:val="center"/>
        </w:tcPr>
        <w:p w:rsidR="006C74EB" w:rsidRDefault="006C74EB">
          <w:pPr>
            <w:shd w:val="clear" w:color="auto" w:fill="FFFFFF"/>
            <w:jc w:val="center"/>
            <w:rPr>
              <w:rFonts w:cs="Arial"/>
            </w:rPr>
          </w:pPr>
          <w:r>
            <w:rPr>
              <w:b/>
              <w:color w:val="000000"/>
              <w:spacing w:val="-10"/>
              <w:sz w:val="18"/>
            </w:rPr>
            <w:t>Стор.</w:t>
          </w:r>
          <w:r>
            <w:rPr>
              <w:color w:val="000000"/>
              <w:spacing w:val="-10"/>
            </w:rPr>
            <w:t xml:space="preserve"> </w:t>
          </w:r>
          <w:r>
            <w:rPr>
              <w:b/>
              <w:color w:val="000000"/>
              <w:spacing w:val="-10"/>
            </w:rPr>
            <w:t xml:space="preserve"> </w:t>
          </w:r>
          <w:r>
            <w:rPr>
              <w:rFonts w:cs="Arial"/>
              <w:b/>
              <w:color w:val="000000"/>
              <w:spacing w:val="-10"/>
            </w:rPr>
            <w:fldChar w:fldCharType="begin"/>
          </w:r>
          <w:r>
            <w:rPr>
              <w:rFonts w:cs="Arial"/>
              <w:b/>
              <w:color w:val="000000"/>
              <w:spacing w:val="-10"/>
            </w:rPr>
            <w:instrText>PAGE   \* MERGEFORMAT</w:instrText>
          </w:r>
          <w:r>
            <w:rPr>
              <w:rFonts w:cs="Arial"/>
              <w:b/>
              <w:color w:val="000000"/>
              <w:spacing w:val="-10"/>
            </w:rPr>
            <w:fldChar w:fldCharType="separate"/>
          </w:r>
          <w:r w:rsidR="004A16E2">
            <w:rPr>
              <w:rFonts w:cs="Arial"/>
              <w:b/>
              <w:noProof/>
              <w:color w:val="000000"/>
              <w:spacing w:val="-10"/>
            </w:rPr>
            <w:t>161</w:t>
          </w:r>
          <w:r>
            <w:rPr>
              <w:rFonts w:cs="Arial"/>
              <w:b/>
              <w:color w:val="000000"/>
              <w:spacing w:val="-10"/>
            </w:rPr>
            <w:fldChar w:fldCharType="end"/>
          </w:r>
        </w:p>
      </w:tc>
    </w:tr>
  </w:tbl>
  <w:p w:rsidR="006C74EB" w:rsidRDefault="006C74EB">
    <w:pPr>
      <w:pStyle w:val="Header"/>
      <w:rPr>
        <w:rFonts w:cs="Arial"/>
      </w:rPr>
    </w:pPr>
  </w:p>
  <w:p w:rsidR="006C74EB" w:rsidRDefault="006C74EB"/>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pStyle w:val="Header"/>
      <w:ind w:right="72"/>
      <w:rPr>
        <w:rFonts w:cs="Arial"/>
      </w:rPr>
    </w:pPr>
    <w:r>
      <w:rPr>
        <w:noProof/>
        <w:lang w:val="en-US" w:eastAsia="en-US"/>
      </w:rPr>
      <w:drawing>
        <wp:anchor distT="0" distB="0" distL="114300" distR="114300" simplePos="0" relativeHeight="251652096" behindDoc="0" locked="0" layoutInCell="1" allowOverlap="1" wp14:anchorId="210A2960" wp14:editId="1DE211AF">
          <wp:simplePos x="0" y="0"/>
          <wp:positionH relativeFrom="column">
            <wp:posOffset>0</wp:posOffset>
          </wp:positionH>
          <wp:positionV relativeFrom="paragraph">
            <wp:posOffset>160655</wp:posOffset>
          </wp:positionV>
          <wp:extent cx="1406525" cy="486410"/>
          <wp:effectExtent l="19050" t="0" r="3175" b="0"/>
          <wp:wrapNone/>
          <wp:docPr id="60" name="Picture 46" descr="Description: Sigla ISPE -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cription: Sigla ISPE - 2014"/>
                  <pic:cNvPicPr>
                    <a:picLocks noChangeAspect="1" noChangeArrowheads="1"/>
                  </pic:cNvPicPr>
                </pic:nvPicPr>
                <pic:blipFill>
                  <a:blip r:embed="rId1"/>
                  <a:srcRect/>
                  <a:stretch>
                    <a:fillRect/>
                  </a:stretch>
                </pic:blipFill>
                <pic:spPr bwMode="auto">
                  <a:xfrm>
                    <a:off x="0" y="0"/>
                    <a:ext cx="1406525" cy="486410"/>
                  </a:xfrm>
                  <a:prstGeom prst="rect">
                    <a:avLst/>
                  </a:prstGeom>
                  <a:noFill/>
                  <a:ln w="9525">
                    <a:noFill/>
                    <a:miter lim="800000"/>
                    <a:headEnd/>
                    <a:tailEnd/>
                  </a:ln>
                </pic:spPr>
              </pic:pic>
            </a:graphicData>
          </a:graphic>
        </wp:anchor>
      </w:drawing>
    </w:r>
    <w:r>
      <w:tab/>
    </w:r>
  </w:p>
  <w:tbl>
    <w:tblPr>
      <w:tblW w:w="8080" w:type="dxa"/>
      <w:tblInd w:w="2308" w:type="dxa"/>
      <w:tblLayout w:type="fixed"/>
      <w:tblCellMar>
        <w:left w:w="40" w:type="dxa"/>
        <w:right w:w="40" w:type="dxa"/>
      </w:tblCellMar>
      <w:tblLook w:val="0000" w:firstRow="0" w:lastRow="0" w:firstColumn="0" w:lastColumn="0" w:noHBand="0" w:noVBand="0"/>
    </w:tblPr>
    <w:tblGrid>
      <w:gridCol w:w="1332"/>
      <w:gridCol w:w="4320"/>
      <w:gridCol w:w="1200"/>
      <w:gridCol w:w="1228"/>
    </w:tblGrid>
    <w:tr w:rsidR="006C74EB">
      <w:trPr>
        <w:trHeight w:hRule="exact" w:val="595"/>
      </w:trPr>
      <w:tc>
        <w:tcPr>
          <w:tcW w:w="1332" w:type="dxa"/>
          <w:tcBorders>
            <w:top w:val="single" w:sz="6" w:space="0" w:color="auto"/>
            <w:left w:val="single" w:sz="6" w:space="0" w:color="auto"/>
            <w:bottom w:val="single" w:sz="6" w:space="0" w:color="auto"/>
            <w:right w:val="nil"/>
          </w:tcBorders>
          <w:shd w:val="clear" w:color="auto" w:fill="FFFFFF"/>
          <w:vAlign w:val="center"/>
        </w:tcPr>
        <w:p w:rsidR="006C74EB" w:rsidRDefault="006C74EB">
          <w:pPr>
            <w:shd w:val="clear" w:color="auto" w:fill="FFFFFF"/>
            <w:ind w:left="-182" w:firstLine="182"/>
            <w:rPr>
              <w:rFonts w:cs="Arial"/>
              <w:sz w:val="18"/>
              <w:szCs w:val="18"/>
            </w:rPr>
          </w:pPr>
          <w:r>
            <w:rPr>
              <w:color w:val="000000"/>
              <w:spacing w:val="-3"/>
              <w:sz w:val="18"/>
            </w:rPr>
            <w:t>Код документу:</w:t>
          </w:r>
        </w:p>
      </w:tc>
      <w:tc>
        <w:tcPr>
          <w:tcW w:w="4320" w:type="dxa"/>
          <w:tcBorders>
            <w:top w:val="single" w:sz="6" w:space="0" w:color="auto"/>
            <w:left w:val="nil"/>
            <w:bottom w:val="single" w:sz="6" w:space="0" w:color="auto"/>
            <w:right w:val="single" w:sz="6" w:space="0" w:color="auto"/>
          </w:tcBorders>
          <w:shd w:val="clear" w:color="auto" w:fill="FFFFFF"/>
          <w:vAlign w:val="center"/>
        </w:tcPr>
        <w:p w:rsidR="006C74EB" w:rsidRDefault="006C74EB">
          <w:pPr>
            <w:shd w:val="clear" w:color="auto" w:fill="FFFFFF"/>
            <w:ind w:left="130"/>
            <w:rPr>
              <w:rFonts w:cs="Arial"/>
              <w:b/>
            </w:rPr>
          </w:pPr>
          <w:r>
            <w:rPr>
              <w:b/>
            </w:rPr>
            <w:t>8017/2014-2-S0080751-N0</w:t>
          </w:r>
        </w:p>
      </w:tc>
      <w:tc>
        <w:tcPr>
          <w:tcW w:w="1200" w:type="dxa"/>
          <w:tcBorders>
            <w:top w:val="single" w:sz="6" w:space="0" w:color="auto"/>
            <w:left w:val="single" w:sz="6" w:space="0" w:color="auto"/>
            <w:bottom w:val="single" w:sz="6" w:space="0" w:color="auto"/>
            <w:right w:val="single" w:sz="6" w:space="0" w:color="auto"/>
          </w:tcBorders>
          <w:shd w:val="clear" w:color="auto" w:fill="FFFFFF"/>
          <w:vAlign w:val="center"/>
        </w:tcPr>
        <w:p w:rsidR="006C74EB" w:rsidRDefault="006C74EB">
          <w:pPr>
            <w:shd w:val="clear" w:color="auto" w:fill="FFFFFF"/>
            <w:jc w:val="center"/>
            <w:rPr>
              <w:rFonts w:cs="Arial"/>
              <w:b/>
              <w:sz w:val="20"/>
              <w:szCs w:val="20"/>
            </w:rPr>
          </w:pPr>
          <w:r>
            <w:rPr>
              <w:color w:val="000000"/>
              <w:sz w:val="18"/>
            </w:rPr>
            <w:t xml:space="preserve">Перегляд: </w:t>
          </w:r>
          <w:r>
            <w:rPr>
              <w:b/>
              <w:color w:val="000000"/>
            </w:rPr>
            <w:t>0</w:t>
          </w:r>
        </w:p>
      </w:tc>
      <w:tc>
        <w:tcPr>
          <w:tcW w:w="1228" w:type="dxa"/>
          <w:tcBorders>
            <w:top w:val="single" w:sz="6" w:space="0" w:color="auto"/>
            <w:left w:val="single" w:sz="6" w:space="0" w:color="auto"/>
            <w:bottom w:val="single" w:sz="6" w:space="0" w:color="auto"/>
            <w:right w:val="single" w:sz="6" w:space="0" w:color="auto"/>
          </w:tcBorders>
          <w:shd w:val="clear" w:color="auto" w:fill="FFFFFF"/>
          <w:vAlign w:val="center"/>
        </w:tcPr>
        <w:p w:rsidR="006C74EB" w:rsidRDefault="006C74EB">
          <w:pPr>
            <w:shd w:val="clear" w:color="auto" w:fill="FFFFFF"/>
            <w:jc w:val="center"/>
            <w:rPr>
              <w:rFonts w:cs="Arial"/>
            </w:rPr>
          </w:pPr>
          <w:r>
            <w:rPr>
              <w:b/>
              <w:color w:val="000000"/>
              <w:spacing w:val="-10"/>
              <w:sz w:val="18"/>
            </w:rPr>
            <w:t>Стор.</w:t>
          </w:r>
          <w:r>
            <w:rPr>
              <w:color w:val="000000"/>
              <w:spacing w:val="-10"/>
            </w:rPr>
            <w:t xml:space="preserve"> </w:t>
          </w:r>
          <w:r>
            <w:rPr>
              <w:b/>
              <w:color w:val="000000"/>
              <w:spacing w:val="-10"/>
            </w:rPr>
            <w:t xml:space="preserve"> </w:t>
          </w:r>
          <w:r>
            <w:rPr>
              <w:rFonts w:cs="Arial"/>
              <w:b/>
              <w:color w:val="000000"/>
              <w:spacing w:val="-10"/>
            </w:rPr>
            <w:fldChar w:fldCharType="begin"/>
          </w:r>
          <w:r>
            <w:rPr>
              <w:rFonts w:cs="Arial"/>
              <w:b/>
              <w:color w:val="000000"/>
              <w:spacing w:val="-10"/>
            </w:rPr>
            <w:instrText>PAGE   \* MERGEFORMAT</w:instrText>
          </w:r>
          <w:r>
            <w:rPr>
              <w:rFonts w:cs="Arial"/>
              <w:b/>
              <w:color w:val="000000"/>
              <w:spacing w:val="-10"/>
            </w:rPr>
            <w:fldChar w:fldCharType="separate"/>
          </w:r>
          <w:r w:rsidR="004A16E2">
            <w:rPr>
              <w:rFonts w:cs="Arial"/>
              <w:b/>
              <w:noProof/>
              <w:color w:val="000000"/>
              <w:spacing w:val="-10"/>
            </w:rPr>
            <w:t>58</w:t>
          </w:r>
          <w:r>
            <w:rPr>
              <w:rFonts w:cs="Arial"/>
              <w:b/>
              <w:color w:val="000000"/>
              <w:spacing w:val="-10"/>
            </w:rPr>
            <w:fldChar w:fldCharType="end"/>
          </w:r>
        </w:p>
      </w:tc>
    </w:tr>
  </w:tbl>
  <w:p w:rsidR="006C74EB" w:rsidRDefault="006C74E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pStyle w:val="Header"/>
      <w:ind w:right="72"/>
      <w:rPr>
        <w:rFonts w:cs="Arial"/>
      </w:rPr>
    </w:pPr>
    <w:r>
      <w:rPr>
        <w:noProof/>
      </w:rPr>
      <w:pict>
        <v:rect id="Rectangle 45" o:spid="_x0000_s2107" style="position:absolute;margin-left:32.6pt;margin-top:39.45pt;width:120.4pt;height:12.1pt;z-index:251653632;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" filled="f" stroked="f" strokeweight="0">
          <v:textbox inset="0,0,0,0">
            <w:txbxContent>
              <w:p w:rsidR="006C74EB" w:rsidRDefault="006C74EB">
                <w:pPr>
                  <w:rPr>
                    <w:sz w:val="12"/>
                    <w:szCs w:val="12"/>
                  </w:rPr>
                </w:pPr>
                <w:r>
                  <w:rPr>
                    <w:sz w:val="12"/>
                  </w:rPr>
                  <w:t>Форма код: FPM-03.01-01-02 Act. 0</w:t>
                </w:r>
              </w:p>
            </w:txbxContent>
          </v:textbox>
          <w10:wrap anchorx="page" anchory="page"/>
          <w10:anchorlock/>
        </v:rect>
      </w:pict>
    </w:r>
    <w:r>
      <w:rPr>
        <w:noProof/>
      </w:rPr>
      <w:pict>
        <v:shapetype id="_x0000_t202" coordsize="21600,21600" o:spt="202" path="m,l,21600r21600,l21600,xe">
          <v:stroke joinstyle="miter"/>
          <v:path gradientshapeok="t" o:connecttype="rect"/>
        </v:shapetype>
        <v:shape id="Text Box 44" o:spid="_x0000_s2106" type="#_x0000_t202" style="position:absolute;margin-left:749.75pt;margin-top:131.15pt;width:40.95pt;height:414.55pt;z-index:251652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" filled="f" stroked="f">
          <v:textbox inset="1mm,1mm,1mm,1mm">
            <w:txbxContent>
              <w:tbl>
                <w:tblPr>
                  <w:tblW w:w="523" w:type="dxa"/>
                  <w:jc w:val="center"/>
                  <w:tblLayout w:type="fixed"/>
                  <w:tblCellMar>
                    <w:left w:w="45" w:type="dxa"/>
                    <w:right w:w="45" w:type="dxa"/>
                  </w:tblCellMar>
                  <w:tblLook w:val="04A0" w:firstRow="1" w:lastRow="0" w:firstColumn="1" w:lastColumn="0" w:noHBand="0" w:noVBand="1"/>
                </w:tblPr>
                <w:tblGrid>
                  <w:gridCol w:w="523"/>
                </w:tblGrid>
                <w:tr w:rsidR="006C74EB">
                  <w:trPr>
                    <w:cantSplit/>
                    <w:trHeight w:hRule="exact" w:val="1503"/>
                    <w:jc w:val="center"/>
                  </w:trPr>
                  <w:tc>
                    <w:tcPr>
                      <w:tcW w:w="523" w:type="dxa"/>
                      <w:tcBorders>
                        <w:top w:val="single" w:sz="4" w:space="0" w:color="auto"/>
                        <w:left w:val="single" w:sz="4" w:space="0" w:color="auto"/>
                        <w:right w:val="single" w:sz="4" w:space="0" w:color="auto"/>
                      </w:tcBorders>
                      <w:shd w:val="clear" w:color="auto" w:fill="FFFFFF"/>
                      <w:textDirection w:val="tbRl"/>
                      <w:vAlign w:val="center"/>
                    </w:tcPr>
                    <w:p w:rsidR="006C74EB" w:rsidRDefault="006C74EB">
                      <w:pPr>
                        <w:ind w:left="-90" w:right="113"/>
                        <w:jc w:val="center"/>
                      </w:pPr>
                      <w:r>
                        <w:rPr>
                          <w:color w:val="000000"/>
                          <w:spacing w:val="-3"/>
                          <w:sz w:val="18"/>
                        </w:rPr>
                        <w:t>Код документу</w:t>
                      </w:r>
                    </w:p>
                  </w:tc>
                </w:tr>
                <w:tr w:rsidR="006C74EB">
                  <w:trPr>
                    <w:cantSplit/>
                    <w:trHeight w:hRule="exact" w:val="4321"/>
                    <w:jc w:val="center"/>
                  </w:trPr>
                  <w:tc>
                    <w:tcPr>
                      <w:tcW w:w="523" w:type="dxa"/>
                      <w:tcBorders>
                        <w:left w:val="single" w:sz="4" w:space="0" w:color="auto"/>
                        <w:bottom w:val="single" w:sz="4" w:space="0" w:color="auto"/>
                        <w:right w:val="single" w:sz="4" w:space="0" w:color="auto"/>
                      </w:tcBorders>
                      <w:shd w:val="clear" w:color="auto" w:fill="FFFFFF"/>
                      <w:textDirection w:val="tbRl"/>
                      <w:vAlign w:val="center"/>
                    </w:tcPr>
                    <w:p w:rsidR="006C74EB" w:rsidRDefault="006C74EB">
                      <w:pPr>
                        <w:shd w:val="clear" w:color="auto" w:fill="FFFFFF"/>
                        <w:ind w:left="130" w:right="113"/>
                        <w:jc w:val="center"/>
                        <w:rPr>
                          <w:rFonts w:cs="Arial"/>
                          <w:b/>
                        </w:rPr>
                      </w:pPr>
                      <w:r>
                        <w:rPr>
                          <w:b/>
                        </w:rPr>
                        <w:t>8017/2014-2-S0080751-N0</w:t>
                      </w:r>
                    </w:p>
                  </w:tc>
                </w:tr>
                <w:tr w:rsidR="006C74EB">
                  <w:trPr>
                    <w:cantSplit/>
                    <w:trHeight w:hRule="exact" w:val="1202"/>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6C74EB" w:rsidRDefault="006C74EB">
                      <w:pPr>
                        <w:shd w:val="clear" w:color="auto" w:fill="FFFFFF"/>
                        <w:ind w:left="-90" w:right="113"/>
                        <w:jc w:val="center"/>
                        <w:rPr>
                          <w:rFonts w:cs="Arial"/>
                          <w:b/>
                          <w:sz w:val="20"/>
                          <w:szCs w:val="20"/>
                        </w:rPr>
                      </w:pPr>
                      <w:r>
                        <w:rPr>
                          <w:color w:val="000000"/>
                          <w:sz w:val="18"/>
                        </w:rPr>
                        <w:t xml:space="preserve">Перегляд: </w:t>
                      </w:r>
                      <w:r>
                        <w:rPr>
                          <w:b/>
                          <w:color w:val="000000"/>
                        </w:rPr>
                        <w:t>2</w:t>
                      </w:r>
                    </w:p>
                  </w:tc>
                </w:tr>
                <w:tr w:rsidR="006C74EB">
                  <w:trPr>
                    <w:cantSplit/>
                    <w:trHeight w:hRule="exact" w:val="1134"/>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6C74EB" w:rsidRDefault="006C74EB">
                      <w:pPr>
                        <w:shd w:val="clear" w:color="auto" w:fill="FFFFFF"/>
                        <w:ind w:left="-90" w:right="113"/>
                        <w:jc w:val="center"/>
                        <w:rPr>
                          <w:rFonts w:cs="Arial"/>
                          <w:b/>
                          <w:sz w:val="20"/>
                          <w:szCs w:val="20"/>
                        </w:rPr>
                      </w:pPr>
                      <w:r>
                        <w:rPr>
                          <w:b/>
                          <w:color w:val="000000"/>
                          <w:spacing w:val="-10"/>
                          <w:sz w:val="18"/>
                        </w:rPr>
                        <w:t>Стор.</w:t>
                      </w:r>
                      <w:r>
                        <w:rPr>
                          <w:color w:val="000000"/>
                          <w:spacing w:val="-10"/>
                        </w:rPr>
                        <w:t xml:space="preserve"> </w:t>
                      </w:r>
                      <w:r>
                        <w:rPr>
                          <w:b/>
                          <w:color w:val="000000"/>
                          <w:spacing w:val="-10"/>
                        </w:rPr>
                        <w:t xml:space="preserve"> </w:t>
                      </w:r>
                      <w:r>
                        <w:rPr>
                          <w:rFonts w:cs="Arial"/>
                          <w:b/>
                          <w:color w:val="000000"/>
                          <w:spacing w:val="-10"/>
                        </w:rPr>
                        <w:fldChar w:fldCharType="begin"/>
                      </w:r>
                      <w:r>
                        <w:rPr>
                          <w:rFonts w:cs="Arial"/>
                          <w:b/>
                          <w:color w:val="000000"/>
                          <w:spacing w:val="-10"/>
                        </w:rPr>
                        <w:instrText>PAGE   \* MERGEFORMAT</w:instrText>
                      </w:r>
                      <w:r>
                        <w:rPr>
                          <w:rFonts w:cs="Arial"/>
                          <w:b/>
                          <w:color w:val="000000"/>
                          <w:spacing w:val="-10"/>
                        </w:rPr>
                        <w:fldChar w:fldCharType="separate"/>
                      </w:r>
                      <w:r w:rsidR="004A16E2">
                        <w:rPr>
                          <w:rFonts w:cs="Arial"/>
                          <w:b/>
                          <w:noProof/>
                          <w:color w:val="000000"/>
                          <w:spacing w:val="-10"/>
                        </w:rPr>
                        <w:t>59</w:t>
                      </w:r>
                      <w:r>
                        <w:rPr>
                          <w:rFonts w:cs="Arial"/>
                          <w:b/>
                          <w:color w:val="000000"/>
                          <w:spacing w:val="-10"/>
                        </w:rPr>
                        <w:fldChar w:fldCharType="end"/>
                      </w:r>
                    </w:p>
                  </w:tc>
                </w:tr>
              </w:tbl>
              <w:p w:rsidR="006C74EB" w:rsidRDefault="006C74EB">
                <w:pPr>
                  <w:jc w:val="center"/>
                  <w:rPr>
                    <w:sz w:val="8"/>
                  </w:rPr>
                </w:pPr>
              </w:p>
            </w:txbxContent>
          </v:textbox>
        </v:shape>
      </w:pict>
    </w:r>
    <w:r>
      <w:rPr>
        <w:noProof/>
        <w:lang w:val="en-US" w:eastAsia="en-US"/>
      </w:rPr>
      <w:drawing>
        <wp:anchor distT="0" distB="0" distL="114300" distR="114300" simplePos="0" relativeHeight="251655168" behindDoc="0" locked="0" layoutInCell="1" allowOverlap="1" wp14:anchorId="04CD16D5" wp14:editId="4AF19BF5">
          <wp:simplePos x="0" y="0"/>
          <wp:positionH relativeFrom="column">
            <wp:posOffset>9467850</wp:posOffset>
          </wp:positionH>
          <wp:positionV relativeFrom="paragraph">
            <wp:posOffset>261620</wp:posOffset>
          </wp:positionV>
          <wp:extent cx="485775" cy="1403985"/>
          <wp:effectExtent l="19050" t="0" r="9525" b="0"/>
          <wp:wrapNone/>
          <wp:docPr id="57" name="Picture 43" descr="Description: J:\MM\MM\MM documents\Lucru 2014\Sigla ISPE - V - 2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cription: J:\MM\MM\MM documents\Lucru 2014\Sigla ISPE - V - 2014.gif"/>
                  <pic:cNvPicPr>
                    <a:picLocks noChangeAspect="1" noChangeArrowheads="1"/>
                  </pic:cNvPicPr>
                </pic:nvPicPr>
                <pic:blipFill>
                  <a:blip r:embed="rId1"/>
                  <a:srcRect/>
                  <a:stretch>
                    <a:fillRect/>
                  </a:stretch>
                </pic:blipFill>
                <pic:spPr bwMode="auto">
                  <a:xfrm>
                    <a:off x="0" y="0"/>
                    <a:ext cx="485775" cy="1403985"/>
                  </a:xfrm>
                  <a:prstGeom prst="rect">
                    <a:avLst/>
                  </a:prstGeom>
                  <a:noFill/>
                  <a:ln w="9525">
                    <a:noFill/>
                    <a:miter lim="800000"/>
                    <a:headEnd/>
                    <a:tailEnd/>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pStyle w:val="Header"/>
      <w:ind w:right="72"/>
      <w:rPr>
        <w:rFonts w:cs="Arial"/>
      </w:rPr>
    </w:pPr>
    <w:r>
      <w:rPr>
        <w:noProof/>
      </w:rPr>
      <w:pict>
        <v:rect id="Rectangle 41" o:spid="_x0000_s2103" style="position:absolute;margin-left:32.6pt;margin-top:39.45pt;width:120.4pt;height:12.1pt;z-index:251657728;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" filled="f" stroked="f" strokeweight="0">
          <v:textbox inset="0,0,0,0">
            <w:txbxContent>
              <w:p w:rsidR="006C74EB" w:rsidRDefault="006C74EB">
                <w:pPr>
                  <w:rPr>
                    <w:sz w:val="12"/>
                    <w:szCs w:val="12"/>
                  </w:rPr>
                </w:pPr>
                <w:r>
                  <w:rPr>
                    <w:sz w:val="12"/>
                  </w:rPr>
                  <w:t>Форма код: FPM-03.01-01-02 Act. 0</w:t>
                </w:r>
              </w:p>
            </w:txbxContent>
          </v:textbox>
          <w10:wrap anchorx="page" anchory="page"/>
          <w10:anchorlock/>
        </v:rect>
      </w:pict>
    </w:r>
    <w:r>
      <w:rPr>
        <w:noProof/>
      </w:rPr>
      <w:pict>
        <v:shapetype id="_x0000_t202" coordsize="21600,21600" o:spt="202" path="m,l,21600r21600,l21600,xe">
          <v:stroke joinstyle="miter"/>
          <v:path gradientshapeok="t" o:connecttype="rect"/>
        </v:shapetype>
        <v:shape id="Text Box 40" o:spid="_x0000_s2102" type="#_x0000_t202" style="position:absolute;margin-left:749.75pt;margin-top:131.15pt;width:40.95pt;height:414.55pt;z-index:251656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" filled="f" stroked="f">
          <v:textbox inset="1mm,1mm,1mm,1mm">
            <w:txbxContent>
              <w:tbl>
                <w:tblPr>
                  <w:tblW w:w="523" w:type="dxa"/>
                  <w:jc w:val="center"/>
                  <w:tblLayout w:type="fixed"/>
                  <w:tblCellMar>
                    <w:left w:w="45" w:type="dxa"/>
                    <w:right w:w="45" w:type="dxa"/>
                  </w:tblCellMar>
                  <w:tblLook w:val="04A0" w:firstRow="1" w:lastRow="0" w:firstColumn="1" w:lastColumn="0" w:noHBand="0" w:noVBand="1"/>
                </w:tblPr>
                <w:tblGrid>
                  <w:gridCol w:w="523"/>
                </w:tblGrid>
                <w:tr w:rsidR="006C74EB">
                  <w:trPr>
                    <w:cantSplit/>
                    <w:trHeight w:hRule="exact" w:val="1503"/>
                    <w:jc w:val="center"/>
                  </w:trPr>
                  <w:tc>
                    <w:tcPr>
                      <w:tcW w:w="523" w:type="dxa"/>
                      <w:tcBorders>
                        <w:top w:val="single" w:sz="4" w:space="0" w:color="auto"/>
                        <w:left w:val="single" w:sz="4" w:space="0" w:color="auto"/>
                        <w:right w:val="single" w:sz="4" w:space="0" w:color="auto"/>
                      </w:tcBorders>
                      <w:shd w:val="clear" w:color="auto" w:fill="FFFFFF"/>
                      <w:textDirection w:val="tbRl"/>
                      <w:vAlign w:val="center"/>
                    </w:tcPr>
                    <w:p w:rsidR="006C74EB" w:rsidRDefault="006C74EB">
                      <w:pPr>
                        <w:ind w:left="-90" w:right="113"/>
                        <w:jc w:val="center"/>
                      </w:pPr>
                      <w:r>
                        <w:rPr>
                          <w:color w:val="000000"/>
                          <w:spacing w:val="-3"/>
                          <w:sz w:val="18"/>
                        </w:rPr>
                        <w:t>Код документу</w:t>
                      </w:r>
                    </w:p>
                  </w:tc>
                </w:tr>
                <w:tr w:rsidR="006C74EB">
                  <w:trPr>
                    <w:cantSplit/>
                    <w:trHeight w:hRule="exact" w:val="4321"/>
                    <w:jc w:val="center"/>
                  </w:trPr>
                  <w:tc>
                    <w:tcPr>
                      <w:tcW w:w="523" w:type="dxa"/>
                      <w:tcBorders>
                        <w:left w:val="single" w:sz="4" w:space="0" w:color="auto"/>
                        <w:bottom w:val="single" w:sz="4" w:space="0" w:color="auto"/>
                        <w:right w:val="single" w:sz="4" w:space="0" w:color="auto"/>
                      </w:tcBorders>
                      <w:shd w:val="clear" w:color="auto" w:fill="FFFFFF"/>
                      <w:textDirection w:val="tbRl"/>
                      <w:vAlign w:val="center"/>
                    </w:tcPr>
                    <w:p w:rsidR="006C74EB" w:rsidRDefault="006C74EB">
                      <w:pPr>
                        <w:shd w:val="clear" w:color="auto" w:fill="FFFFFF"/>
                        <w:ind w:left="130" w:right="113"/>
                        <w:rPr>
                          <w:rFonts w:cs="Arial"/>
                          <w:b/>
                        </w:rPr>
                      </w:pPr>
                      <w:r>
                        <w:rPr>
                          <w:b/>
                        </w:rPr>
                        <w:t>8017/2014-2-S0080751-N0</w:t>
                      </w:r>
                    </w:p>
                  </w:tc>
                </w:tr>
                <w:tr w:rsidR="006C74EB">
                  <w:trPr>
                    <w:cantSplit/>
                    <w:trHeight w:hRule="exact" w:val="1202"/>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6C74EB" w:rsidRDefault="006C74EB">
                      <w:pPr>
                        <w:shd w:val="clear" w:color="auto" w:fill="FFFFFF"/>
                        <w:ind w:left="-90" w:right="113"/>
                        <w:jc w:val="center"/>
                        <w:rPr>
                          <w:rFonts w:cs="Arial"/>
                          <w:b/>
                          <w:sz w:val="20"/>
                          <w:szCs w:val="20"/>
                        </w:rPr>
                      </w:pPr>
                      <w:r>
                        <w:rPr>
                          <w:color w:val="000000"/>
                          <w:sz w:val="18"/>
                        </w:rPr>
                        <w:t xml:space="preserve">Перегляд: </w:t>
                      </w:r>
                      <w:r>
                        <w:rPr>
                          <w:b/>
                          <w:color w:val="000000"/>
                        </w:rPr>
                        <w:t>2</w:t>
                      </w:r>
                    </w:p>
                  </w:tc>
                </w:tr>
                <w:tr w:rsidR="006C74EB">
                  <w:trPr>
                    <w:cantSplit/>
                    <w:trHeight w:hRule="exact" w:val="1134"/>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6C74EB" w:rsidRDefault="006C74EB">
                      <w:pPr>
                        <w:shd w:val="clear" w:color="auto" w:fill="FFFFFF"/>
                        <w:ind w:left="-90" w:right="113"/>
                        <w:jc w:val="center"/>
                        <w:rPr>
                          <w:rFonts w:cs="Arial"/>
                          <w:b/>
                          <w:sz w:val="20"/>
                          <w:szCs w:val="20"/>
                        </w:rPr>
                      </w:pPr>
                      <w:r>
                        <w:rPr>
                          <w:b/>
                          <w:color w:val="000000"/>
                          <w:spacing w:val="-10"/>
                          <w:sz w:val="18"/>
                        </w:rPr>
                        <w:t>Стор.</w:t>
                      </w:r>
                      <w:r>
                        <w:rPr>
                          <w:color w:val="000000"/>
                          <w:spacing w:val="-10"/>
                        </w:rPr>
                        <w:t xml:space="preserve"> </w:t>
                      </w:r>
                      <w:r>
                        <w:rPr>
                          <w:b/>
                          <w:color w:val="000000"/>
                          <w:spacing w:val="-10"/>
                        </w:rPr>
                        <w:t xml:space="preserve"> </w:t>
                      </w:r>
                      <w:r>
                        <w:rPr>
                          <w:rFonts w:cs="Arial"/>
                          <w:b/>
                          <w:color w:val="000000"/>
                          <w:spacing w:val="-10"/>
                        </w:rPr>
                        <w:fldChar w:fldCharType="begin"/>
                      </w:r>
                      <w:r>
                        <w:rPr>
                          <w:rFonts w:cs="Arial"/>
                          <w:b/>
                          <w:color w:val="000000"/>
                          <w:spacing w:val="-10"/>
                        </w:rPr>
                        <w:instrText>PAGE   \* MERGEFORMAT</w:instrText>
                      </w:r>
                      <w:r>
                        <w:rPr>
                          <w:rFonts w:cs="Arial"/>
                          <w:b/>
                          <w:color w:val="000000"/>
                          <w:spacing w:val="-10"/>
                        </w:rPr>
                        <w:fldChar w:fldCharType="separate"/>
                      </w:r>
                      <w:r w:rsidR="004A16E2">
                        <w:rPr>
                          <w:rFonts w:cs="Arial"/>
                          <w:b/>
                          <w:noProof/>
                          <w:color w:val="000000"/>
                          <w:spacing w:val="-10"/>
                        </w:rPr>
                        <w:t>67</w:t>
                      </w:r>
                      <w:r>
                        <w:rPr>
                          <w:rFonts w:cs="Arial"/>
                          <w:b/>
                          <w:color w:val="000000"/>
                          <w:spacing w:val="-10"/>
                        </w:rPr>
                        <w:fldChar w:fldCharType="end"/>
                      </w:r>
                    </w:p>
                  </w:tc>
                </w:tr>
              </w:tbl>
              <w:p w:rsidR="006C74EB" w:rsidRDefault="006C74EB">
                <w:pPr>
                  <w:jc w:val="center"/>
                  <w:rPr>
                    <w:sz w:val="8"/>
                  </w:rPr>
                </w:pPr>
              </w:p>
            </w:txbxContent>
          </v:textbox>
        </v:shape>
      </w:pict>
    </w:r>
    <w:r>
      <w:rPr>
        <w:noProof/>
        <w:lang w:val="en-US" w:eastAsia="en-US"/>
      </w:rPr>
      <w:drawing>
        <wp:anchor distT="0" distB="0" distL="114300" distR="114300" simplePos="0" relativeHeight="251657216" behindDoc="0" locked="0" layoutInCell="1" allowOverlap="1" wp14:anchorId="31F8D0C9" wp14:editId="316E6D23">
          <wp:simplePos x="0" y="0"/>
          <wp:positionH relativeFrom="column">
            <wp:posOffset>9467850</wp:posOffset>
          </wp:positionH>
          <wp:positionV relativeFrom="paragraph">
            <wp:posOffset>261620</wp:posOffset>
          </wp:positionV>
          <wp:extent cx="485775" cy="1403985"/>
          <wp:effectExtent l="19050" t="0" r="9525" b="0"/>
          <wp:wrapNone/>
          <wp:docPr id="53" name="Picture 39" descr="Description: J:\MM\MM\MM documents\Lucru 2014\Sigla ISPE - V - 2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J:\MM\MM\MM documents\Lucru 2014\Sigla ISPE - V - 2014.gif"/>
                  <pic:cNvPicPr>
                    <a:picLocks noChangeAspect="1" noChangeArrowheads="1"/>
                  </pic:cNvPicPr>
                </pic:nvPicPr>
                <pic:blipFill>
                  <a:blip r:embed="rId1"/>
                  <a:srcRect/>
                  <a:stretch>
                    <a:fillRect/>
                  </a:stretch>
                </pic:blipFill>
                <pic:spPr bwMode="auto">
                  <a:xfrm>
                    <a:off x="0" y="0"/>
                    <a:ext cx="485775" cy="1403985"/>
                  </a:xfrm>
                  <a:prstGeom prst="rect">
                    <a:avLst/>
                  </a:prstGeom>
                  <a:noFill/>
                  <a:ln w="9525">
                    <a:noFill/>
                    <a:miter lim="800000"/>
                    <a:headEnd/>
                    <a:tailEnd/>
                  </a:ln>
                </pic:spPr>
              </pic:pic>
            </a:graphicData>
          </a:graphic>
        </wp:anchor>
      </w:drawing>
    </w:r>
  </w:p>
  <w:p w:rsidR="006C74EB" w:rsidRDefault="006C74EB">
    <w:pPr>
      <w:pStyle w:val="Header"/>
      <w:ind w:right="72"/>
      <w:rPr>
        <w:rFonts w:cs="Arial"/>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pStyle w:val="Header"/>
      <w:ind w:right="72"/>
      <w:rPr>
        <w:rFonts w:cs="Arial"/>
      </w:rPr>
    </w:pPr>
    <w:r>
      <w:rPr>
        <w:noProof/>
        <w:lang w:val="en-US" w:eastAsia="en-US"/>
      </w:rPr>
      <w:drawing>
        <wp:anchor distT="0" distB="0" distL="114300" distR="114300" simplePos="0" relativeHeight="251656192" behindDoc="0" locked="0" layoutInCell="1" allowOverlap="1" wp14:anchorId="745DA171" wp14:editId="47076210">
          <wp:simplePos x="0" y="0"/>
          <wp:positionH relativeFrom="column">
            <wp:posOffset>0</wp:posOffset>
          </wp:positionH>
          <wp:positionV relativeFrom="paragraph">
            <wp:posOffset>160655</wp:posOffset>
          </wp:positionV>
          <wp:extent cx="1406525" cy="486410"/>
          <wp:effectExtent l="19050" t="0" r="3175" b="0"/>
          <wp:wrapNone/>
          <wp:docPr id="52" name="Picture 38" descr="Description: Sigla ISPE -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Sigla ISPE - 2014"/>
                  <pic:cNvPicPr>
                    <a:picLocks noChangeAspect="1" noChangeArrowheads="1"/>
                  </pic:cNvPicPr>
                </pic:nvPicPr>
                <pic:blipFill>
                  <a:blip r:embed="rId1"/>
                  <a:srcRect/>
                  <a:stretch>
                    <a:fillRect/>
                  </a:stretch>
                </pic:blipFill>
                <pic:spPr bwMode="auto">
                  <a:xfrm>
                    <a:off x="0" y="0"/>
                    <a:ext cx="1406525" cy="486410"/>
                  </a:xfrm>
                  <a:prstGeom prst="rect">
                    <a:avLst/>
                  </a:prstGeom>
                  <a:noFill/>
                  <a:ln w="9525">
                    <a:noFill/>
                    <a:miter lim="800000"/>
                    <a:headEnd/>
                    <a:tailEnd/>
                  </a:ln>
                </pic:spPr>
              </pic:pic>
            </a:graphicData>
          </a:graphic>
        </wp:anchor>
      </w:drawing>
    </w:r>
    <w:r>
      <w:tab/>
    </w:r>
  </w:p>
  <w:tbl>
    <w:tblPr>
      <w:tblW w:w="8080" w:type="dxa"/>
      <w:tblInd w:w="2308" w:type="dxa"/>
      <w:tblLayout w:type="fixed"/>
      <w:tblCellMar>
        <w:left w:w="40" w:type="dxa"/>
        <w:right w:w="40" w:type="dxa"/>
      </w:tblCellMar>
      <w:tblLook w:val="0000" w:firstRow="0" w:lastRow="0" w:firstColumn="0" w:lastColumn="0" w:noHBand="0" w:noVBand="0"/>
    </w:tblPr>
    <w:tblGrid>
      <w:gridCol w:w="1332"/>
      <w:gridCol w:w="4320"/>
      <w:gridCol w:w="1200"/>
      <w:gridCol w:w="1228"/>
    </w:tblGrid>
    <w:tr w:rsidR="006C74EB">
      <w:trPr>
        <w:trHeight w:hRule="exact" w:val="595"/>
      </w:trPr>
      <w:tc>
        <w:tcPr>
          <w:tcW w:w="1332" w:type="dxa"/>
          <w:tcBorders>
            <w:top w:val="single" w:sz="6" w:space="0" w:color="auto"/>
            <w:left w:val="single" w:sz="6" w:space="0" w:color="auto"/>
            <w:bottom w:val="single" w:sz="6" w:space="0" w:color="auto"/>
            <w:right w:val="nil"/>
          </w:tcBorders>
          <w:shd w:val="clear" w:color="auto" w:fill="FFFFFF"/>
          <w:vAlign w:val="center"/>
        </w:tcPr>
        <w:p w:rsidR="006C74EB" w:rsidRDefault="006C74EB">
          <w:pPr>
            <w:shd w:val="clear" w:color="auto" w:fill="FFFFFF"/>
            <w:ind w:left="-182" w:firstLine="182"/>
            <w:rPr>
              <w:rFonts w:cs="Arial"/>
              <w:sz w:val="18"/>
              <w:szCs w:val="18"/>
            </w:rPr>
          </w:pPr>
          <w:r>
            <w:rPr>
              <w:color w:val="000000"/>
              <w:spacing w:val="-3"/>
              <w:sz w:val="18"/>
            </w:rPr>
            <w:t>Код документу:</w:t>
          </w:r>
        </w:p>
      </w:tc>
      <w:tc>
        <w:tcPr>
          <w:tcW w:w="4320" w:type="dxa"/>
          <w:tcBorders>
            <w:top w:val="single" w:sz="6" w:space="0" w:color="auto"/>
            <w:left w:val="nil"/>
            <w:bottom w:val="single" w:sz="6" w:space="0" w:color="auto"/>
            <w:right w:val="single" w:sz="6" w:space="0" w:color="auto"/>
          </w:tcBorders>
          <w:shd w:val="clear" w:color="auto" w:fill="FFFFFF"/>
          <w:vAlign w:val="center"/>
        </w:tcPr>
        <w:p w:rsidR="006C74EB" w:rsidRDefault="006C74EB">
          <w:pPr>
            <w:shd w:val="clear" w:color="auto" w:fill="FFFFFF"/>
            <w:ind w:left="130"/>
            <w:rPr>
              <w:rFonts w:cs="Arial"/>
              <w:b/>
            </w:rPr>
          </w:pPr>
          <w:r>
            <w:rPr>
              <w:b/>
            </w:rPr>
            <w:t>8017/2014-2-S0080751-N0</w:t>
          </w:r>
        </w:p>
      </w:tc>
      <w:tc>
        <w:tcPr>
          <w:tcW w:w="1200" w:type="dxa"/>
          <w:tcBorders>
            <w:top w:val="single" w:sz="6" w:space="0" w:color="auto"/>
            <w:left w:val="single" w:sz="6" w:space="0" w:color="auto"/>
            <w:bottom w:val="single" w:sz="6" w:space="0" w:color="auto"/>
            <w:right w:val="single" w:sz="6" w:space="0" w:color="auto"/>
          </w:tcBorders>
          <w:shd w:val="clear" w:color="auto" w:fill="FFFFFF"/>
          <w:vAlign w:val="center"/>
        </w:tcPr>
        <w:p w:rsidR="006C74EB" w:rsidRDefault="006C74EB">
          <w:pPr>
            <w:shd w:val="clear" w:color="auto" w:fill="FFFFFF"/>
            <w:jc w:val="center"/>
            <w:rPr>
              <w:rFonts w:cs="Arial"/>
              <w:b/>
              <w:sz w:val="20"/>
              <w:szCs w:val="20"/>
            </w:rPr>
          </w:pPr>
          <w:r>
            <w:rPr>
              <w:color w:val="000000"/>
              <w:sz w:val="18"/>
            </w:rPr>
            <w:t xml:space="preserve">Перегляд: </w:t>
          </w:r>
          <w:r>
            <w:rPr>
              <w:b/>
              <w:color w:val="000000"/>
            </w:rPr>
            <w:t>0</w:t>
          </w:r>
        </w:p>
      </w:tc>
      <w:tc>
        <w:tcPr>
          <w:tcW w:w="1228" w:type="dxa"/>
          <w:tcBorders>
            <w:top w:val="single" w:sz="6" w:space="0" w:color="auto"/>
            <w:left w:val="single" w:sz="6" w:space="0" w:color="auto"/>
            <w:bottom w:val="single" w:sz="6" w:space="0" w:color="auto"/>
            <w:right w:val="single" w:sz="6" w:space="0" w:color="auto"/>
          </w:tcBorders>
          <w:shd w:val="clear" w:color="auto" w:fill="FFFFFF"/>
          <w:vAlign w:val="center"/>
        </w:tcPr>
        <w:p w:rsidR="006C74EB" w:rsidRDefault="006C74EB">
          <w:pPr>
            <w:shd w:val="clear" w:color="auto" w:fill="FFFFFF"/>
            <w:jc w:val="center"/>
            <w:rPr>
              <w:rFonts w:cs="Arial"/>
            </w:rPr>
          </w:pPr>
          <w:r>
            <w:rPr>
              <w:b/>
              <w:color w:val="000000"/>
              <w:spacing w:val="-10"/>
              <w:sz w:val="18"/>
            </w:rPr>
            <w:t>Стор.</w:t>
          </w:r>
          <w:r>
            <w:rPr>
              <w:color w:val="000000"/>
              <w:spacing w:val="-10"/>
            </w:rPr>
            <w:t xml:space="preserve"> </w:t>
          </w:r>
          <w:r>
            <w:rPr>
              <w:b/>
              <w:color w:val="000000"/>
              <w:spacing w:val="-10"/>
            </w:rPr>
            <w:t xml:space="preserve"> </w:t>
          </w:r>
          <w:r>
            <w:rPr>
              <w:rFonts w:cs="Arial"/>
              <w:b/>
              <w:color w:val="000000"/>
              <w:spacing w:val="-10"/>
            </w:rPr>
            <w:fldChar w:fldCharType="begin"/>
          </w:r>
          <w:r>
            <w:rPr>
              <w:rFonts w:cs="Arial"/>
              <w:b/>
              <w:color w:val="000000"/>
              <w:spacing w:val="-10"/>
            </w:rPr>
            <w:instrText>PAGE   \* MERGEFORMAT</w:instrText>
          </w:r>
          <w:r>
            <w:rPr>
              <w:rFonts w:cs="Arial"/>
              <w:b/>
              <w:color w:val="000000"/>
              <w:spacing w:val="-10"/>
            </w:rPr>
            <w:fldChar w:fldCharType="separate"/>
          </w:r>
          <w:r w:rsidR="004A16E2">
            <w:rPr>
              <w:rFonts w:cs="Arial"/>
              <w:b/>
              <w:noProof/>
              <w:color w:val="000000"/>
              <w:spacing w:val="-10"/>
            </w:rPr>
            <w:t>69</w:t>
          </w:r>
          <w:r>
            <w:rPr>
              <w:rFonts w:cs="Arial"/>
              <w:b/>
              <w:color w:val="000000"/>
              <w:spacing w:val="-10"/>
            </w:rPr>
            <w:fldChar w:fldCharType="end"/>
          </w:r>
        </w:p>
      </w:tc>
    </w:tr>
  </w:tbl>
  <w:p w:rsidR="006C74EB" w:rsidRDefault="006C74EB">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pStyle w:val="Header"/>
      <w:ind w:right="72"/>
      <w:rPr>
        <w:rFonts w:cs="Arial"/>
      </w:rPr>
    </w:pPr>
    <w:r>
      <w:rPr>
        <w:noProof/>
      </w:rPr>
      <w:pict>
        <v:rect id="Rectangle 37" o:spid="_x0000_s2099" style="position:absolute;margin-left:32.6pt;margin-top:39.45pt;width:120.4pt;height:12.1pt;z-index:251661824;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" filled="f" stroked="f" strokeweight="0">
          <v:textbox inset="0,0,0,0">
            <w:txbxContent>
              <w:p w:rsidR="006C74EB" w:rsidRDefault="006C74EB">
                <w:pPr>
                  <w:rPr>
                    <w:sz w:val="12"/>
                    <w:szCs w:val="12"/>
                  </w:rPr>
                </w:pPr>
                <w:r>
                  <w:rPr>
                    <w:sz w:val="12"/>
                  </w:rPr>
                  <w:t>Форма код: FPM-03.01-01-02 Act. 0</w:t>
                </w:r>
              </w:p>
            </w:txbxContent>
          </v:textbox>
          <w10:wrap anchorx="page" anchory="page"/>
          <w10:anchorlock/>
        </v:rect>
      </w:pict>
    </w:r>
    <w:r>
      <w:rPr>
        <w:noProof/>
      </w:rPr>
      <w:pict>
        <v:shapetype id="_x0000_t202" coordsize="21600,21600" o:spt="202" path="m,l,21600r21600,l21600,xe">
          <v:stroke joinstyle="miter"/>
          <v:path gradientshapeok="t" o:connecttype="rect"/>
        </v:shapetype>
        <v:shape id="Text Box 36" o:spid="_x0000_s2098" type="#_x0000_t202" style="position:absolute;margin-left:749.75pt;margin-top:131.15pt;width:40.95pt;height:414.55pt;z-index:251660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" filled="f" stroked="f">
          <v:textbox inset="1mm,1mm,1mm,1mm">
            <w:txbxContent>
              <w:tbl>
                <w:tblPr>
                  <w:tblW w:w="523" w:type="dxa"/>
                  <w:jc w:val="center"/>
                  <w:tblLayout w:type="fixed"/>
                  <w:tblCellMar>
                    <w:left w:w="45" w:type="dxa"/>
                    <w:right w:w="45" w:type="dxa"/>
                  </w:tblCellMar>
                  <w:tblLook w:val="04A0" w:firstRow="1" w:lastRow="0" w:firstColumn="1" w:lastColumn="0" w:noHBand="0" w:noVBand="1"/>
                </w:tblPr>
                <w:tblGrid>
                  <w:gridCol w:w="523"/>
                </w:tblGrid>
                <w:tr w:rsidR="006C74EB">
                  <w:trPr>
                    <w:cantSplit/>
                    <w:trHeight w:hRule="exact" w:val="1503"/>
                    <w:jc w:val="center"/>
                  </w:trPr>
                  <w:tc>
                    <w:tcPr>
                      <w:tcW w:w="523" w:type="dxa"/>
                      <w:tcBorders>
                        <w:top w:val="single" w:sz="4" w:space="0" w:color="auto"/>
                        <w:left w:val="single" w:sz="4" w:space="0" w:color="auto"/>
                        <w:right w:val="single" w:sz="4" w:space="0" w:color="auto"/>
                      </w:tcBorders>
                      <w:shd w:val="clear" w:color="auto" w:fill="FFFFFF"/>
                      <w:textDirection w:val="tbRl"/>
                      <w:vAlign w:val="center"/>
                    </w:tcPr>
                    <w:p w:rsidR="006C74EB" w:rsidRDefault="006C74EB">
                      <w:pPr>
                        <w:ind w:left="-90" w:right="113"/>
                        <w:jc w:val="center"/>
                      </w:pPr>
                      <w:r>
                        <w:rPr>
                          <w:color w:val="000000"/>
                          <w:spacing w:val="-3"/>
                          <w:sz w:val="18"/>
                        </w:rPr>
                        <w:t>Код документу</w:t>
                      </w:r>
                    </w:p>
                  </w:tc>
                </w:tr>
                <w:tr w:rsidR="006C74EB">
                  <w:trPr>
                    <w:cantSplit/>
                    <w:trHeight w:hRule="exact" w:val="4321"/>
                    <w:jc w:val="center"/>
                  </w:trPr>
                  <w:tc>
                    <w:tcPr>
                      <w:tcW w:w="523" w:type="dxa"/>
                      <w:tcBorders>
                        <w:left w:val="single" w:sz="4" w:space="0" w:color="auto"/>
                        <w:bottom w:val="single" w:sz="4" w:space="0" w:color="auto"/>
                        <w:right w:val="single" w:sz="4" w:space="0" w:color="auto"/>
                      </w:tcBorders>
                      <w:shd w:val="clear" w:color="auto" w:fill="FFFFFF"/>
                      <w:textDirection w:val="tbRl"/>
                      <w:vAlign w:val="center"/>
                    </w:tcPr>
                    <w:p w:rsidR="006C74EB" w:rsidRDefault="006C74EB">
                      <w:pPr>
                        <w:shd w:val="clear" w:color="auto" w:fill="FFFFFF"/>
                        <w:ind w:left="130" w:right="113"/>
                        <w:rPr>
                          <w:rFonts w:cs="Arial"/>
                          <w:b/>
                        </w:rPr>
                      </w:pPr>
                      <w:r>
                        <w:rPr>
                          <w:b/>
                        </w:rPr>
                        <w:t>8017/2014-2-S0080751-N0</w:t>
                      </w:r>
                    </w:p>
                  </w:tc>
                </w:tr>
                <w:tr w:rsidR="006C74EB">
                  <w:trPr>
                    <w:cantSplit/>
                    <w:trHeight w:hRule="exact" w:val="1202"/>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6C74EB" w:rsidRDefault="006C74EB">
                      <w:pPr>
                        <w:shd w:val="clear" w:color="auto" w:fill="FFFFFF"/>
                        <w:ind w:left="-90" w:right="113"/>
                        <w:jc w:val="center"/>
                        <w:rPr>
                          <w:rFonts w:cs="Arial"/>
                          <w:b/>
                          <w:sz w:val="20"/>
                          <w:szCs w:val="20"/>
                        </w:rPr>
                      </w:pPr>
                      <w:r>
                        <w:rPr>
                          <w:color w:val="000000"/>
                          <w:sz w:val="18"/>
                        </w:rPr>
                        <w:t xml:space="preserve">Перегляд: </w:t>
                      </w:r>
                      <w:r>
                        <w:rPr>
                          <w:b/>
                          <w:color w:val="000000"/>
                        </w:rPr>
                        <w:t>2</w:t>
                      </w:r>
                    </w:p>
                  </w:tc>
                </w:tr>
                <w:tr w:rsidR="006C74EB">
                  <w:trPr>
                    <w:cantSplit/>
                    <w:trHeight w:hRule="exact" w:val="1134"/>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6C74EB" w:rsidRDefault="006C74EB">
                      <w:pPr>
                        <w:shd w:val="clear" w:color="auto" w:fill="FFFFFF"/>
                        <w:ind w:left="-90" w:right="113"/>
                        <w:jc w:val="center"/>
                        <w:rPr>
                          <w:rFonts w:cs="Arial"/>
                          <w:b/>
                          <w:sz w:val="20"/>
                          <w:szCs w:val="20"/>
                        </w:rPr>
                      </w:pPr>
                      <w:r>
                        <w:rPr>
                          <w:b/>
                          <w:color w:val="000000"/>
                          <w:spacing w:val="-10"/>
                          <w:sz w:val="18"/>
                        </w:rPr>
                        <w:t>Стор.</w:t>
                      </w:r>
                      <w:r>
                        <w:rPr>
                          <w:color w:val="000000"/>
                          <w:spacing w:val="-10"/>
                        </w:rPr>
                        <w:t xml:space="preserve"> </w:t>
                      </w:r>
                      <w:r>
                        <w:rPr>
                          <w:b/>
                          <w:color w:val="000000"/>
                          <w:spacing w:val="-10"/>
                        </w:rPr>
                        <w:t xml:space="preserve"> </w:t>
                      </w:r>
                      <w:r>
                        <w:rPr>
                          <w:rFonts w:cs="Arial"/>
                          <w:b/>
                          <w:color w:val="000000"/>
                          <w:spacing w:val="-10"/>
                        </w:rPr>
                        <w:fldChar w:fldCharType="begin"/>
                      </w:r>
                      <w:r>
                        <w:rPr>
                          <w:rFonts w:cs="Arial"/>
                          <w:b/>
                          <w:color w:val="000000"/>
                          <w:spacing w:val="-10"/>
                        </w:rPr>
                        <w:instrText>PAGE   \* MERGEFORMAT</w:instrText>
                      </w:r>
                      <w:r>
                        <w:rPr>
                          <w:rFonts w:cs="Arial"/>
                          <w:b/>
                          <w:color w:val="000000"/>
                          <w:spacing w:val="-10"/>
                        </w:rPr>
                        <w:fldChar w:fldCharType="separate"/>
                      </w:r>
                      <w:r w:rsidR="004A16E2">
                        <w:rPr>
                          <w:rFonts w:cs="Arial"/>
                          <w:b/>
                          <w:noProof/>
                          <w:color w:val="000000"/>
                          <w:spacing w:val="-10"/>
                        </w:rPr>
                        <w:t>70</w:t>
                      </w:r>
                      <w:r>
                        <w:rPr>
                          <w:rFonts w:cs="Arial"/>
                          <w:b/>
                          <w:color w:val="000000"/>
                          <w:spacing w:val="-10"/>
                        </w:rPr>
                        <w:fldChar w:fldCharType="end"/>
                      </w:r>
                    </w:p>
                  </w:tc>
                </w:tr>
              </w:tbl>
              <w:p w:rsidR="006C74EB" w:rsidRDefault="006C74EB">
                <w:pPr>
                  <w:jc w:val="center"/>
                  <w:rPr>
                    <w:sz w:val="8"/>
                  </w:rPr>
                </w:pPr>
              </w:p>
            </w:txbxContent>
          </v:textbox>
        </v:shape>
      </w:pict>
    </w:r>
    <w:r>
      <w:rPr>
        <w:noProof/>
        <w:lang w:val="en-US" w:eastAsia="en-US"/>
      </w:rPr>
      <w:drawing>
        <wp:anchor distT="0" distB="0" distL="114300" distR="114300" simplePos="0" relativeHeight="251660288" behindDoc="0" locked="0" layoutInCell="1" allowOverlap="1" wp14:anchorId="0149DCF4" wp14:editId="09AE27A7">
          <wp:simplePos x="0" y="0"/>
          <wp:positionH relativeFrom="column">
            <wp:posOffset>9467850</wp:posOffset>
          </wp:positionH>
          <wp:positionV relativeFrom="paragraph">
            <wp:posOffset>261620</wp:posOffset>
          </wp:positionV>
          <wp:extent cx="485775" cy="1403985"/>
          <wp:effectExtent l="19050" t="0" r="9525" b="0"/>
          <wp:wrapNone/>
          <wp:docPr id="49" name="Picture 47" descr="Description: J:\MM\MM\MM documents\Lucru 2014\Sigla ISPE - V - 2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J:\MM\MM\MM documents\Lucru 2014\Sigla ISPE - V - 2014.gif"/>
                  <pic:cNvPicPr>
                    <a:picLocks noChangeAspect="1" noChangeArrowheads="1"/>
                  </pic:cNvPicPr>
                </pic:nvPicPr>
                <pic:blipFill>
                  <a:blip r:embed="rId1"/>
                  <a:srcRect/>
                  <a:stretch>
                    <a:fillRect/>
                  </a:stretch>
                </pic:blipFill>
                <pic:spPr bwMode="auto">
                  <a:xfrm>
                    <a:off x="0" y="0"/>
                    <a:ext cx="485775" cy="1403985"/>
                  </a:xfrm>
                  <a:prstGeom prst="rect">
                    <a:avLst/>
                  </a:prstGeom>
                  <a:noFill/>
                  <a:ln w="9525">
                    <a:noFill/>
                    <a:miter lim="800000"/>
                    <a:headEnd/>
                    <a:tailEnd/>
                  </a:ln>
                </pic:spPr>
              </pic:pic>
            </a:graphicData>
          </a:graphic>
        </wp:anchor>
      </w:drawing>
    </w:r>
  </w:p>
  <w:p w:rsidR="006C74EB" w:rsidRDefault="006C74EB">
    <w:pPr>
      <w:pStyle w:val="Header"/>
      <w:ind w:right="72"/>
      <w:rPr>
        <w:rFonts w:cs="Arial"/>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pStyle w:val="Header"/>
      <w:ind w:right="72"/>
      <w:rPr>
        <w:rFonts w:cs="Arial"/>
      </w:rPr>
    </w:pPr>
    <w:r>
      <w:rPr>
        <w:noProof/>
        <w:lang w:val="en-US" w:eastAsia="en-US"/>
      </w:rPr>
      <w:drawing>
        <wp:anchor distT="0" distB="0" distL="114300" distR="114300" simplePos="0" relativeHeight="251658240" behindDoc="0" locked="0" layoutInCell="1" allowOverlap="1" wp14:anchorId="7933EF2F" wp14:editId="586BC849">
          <wp:simplePos x="0" y="0"/>
          <wp:positionH relativeFrom="column">
            <wp:posOffset>0</wp:posOffset>
          </wp:positionH>
          <wp:positionV relativeFrom="paragraph">
            <wp:posOffset>160655</wp:posOffset>
          </wp:positionV>
          <wp:extent cx="1406525" cy="486410"/>
          <wp:effectExtent l="19050" t="0" r="3175" b="0"/>
          <wp:wrapNone/>
          <wp:docPr id="48" name="Picture 48" descr="Description: Sigla ISPE -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scription: Sigla ISPE - 2014"/>
                  <pic:cNvPicPr>
                    <a:picLocks noChangeAspect="1" noChangeArrowheads="1"/>
                  </pic:cNvPicPr>
                </pic:nvPicPr>
                <pic:blipFill>
                  <a:blip r:embed="rId1"/>
                  <a:srcRect/>
                  <a:stretch>
                    <a:fillRect/>
                  </a:stretch>
                </pic:blipFill>
                <pic:spPr bwMode="auto">
                  <a:xfrm>
                    <a:off x="0" y="0"/>
                    <a:ext cx="1406525" cy="486410"/>
                  </a:xfrm>
                  <a:prstGeom prst="rect">
                    <a:avLst/>
                  </a:prstGeom>
                  <a:noFill/>
                  <a:ln w="9525">
                    <a:noFill/>
                    <a:miter lim="800000"/>
                    <a:headEnd/>
                    <a:tailEnd/>
                  </a:ln>
                </pic:spPr>
              </pic:pic>
            </a:graphicData>
          </a:graphic>
        </wp:anchor>
      </w:drawing>
    </w:r>
    <w:r>
      <w:tab/>
    </w:r>
  </w:p>
  <w:tbl>
    <w:tblPr>
      <w:tblW w:w="8080" w:type="dxa"/>
      <w:tblInd w:w="2308" w:type="dxa"/>
      <w:tblLayout w:type="fixed"/>
      <w:tblCellMar>
        <w:left w:w="40" w:type="dxa"/>
        <w:right w:w="40" w:type="dxa"/>
      </w:tblCellMar>
      <w:tblLook w:val="0000" w:firstRow="0" w:lastRow="0" w:firstColumn="0" w:lastColumn="0" w:noHBand="0" w:noVBand="0"/>
    </w:tblPr>
    <w:tblGrid>
      <w:gridCol w:w="1332"/>
      <w:gridCol w:w="4320"/>
      <w:gridCol w:w="1200"/>
      <w:gridCol w:w="1228"/>
    </w:tblGrid>
    <w:tr w:rsidR="006C74EB">
      <w:trPr>
        <w:trHeight w:hRule="exact" w:val="595"/>
      </w:trPr>
      <w:tc>
        <w:tcPr>
          <w:tcW w:w="1332" w:type="dxa"/>
          <w:tcBorders>
            <w:top w:val="single" w:sz="6" w:space="0" w:color="auto"/>
            <w:left w:val="single" w:sz="6" w:space="0" w:color="auto"/>
            <w:bottom w:val="single" w:sz="6" w:space="0" w:color="auto"/>
            <w:right w:val="nil"/>
          </w:tcBorders>
          <w:shd w:val="clear" w:color="auto" w:fill="FFFFFF"/>
          <w:vAlign w:val="center"/>
        </w:tcPr>
        <w:p w:rsidR="006C74EB" w:rsidRDefault="006C74EB">
          <w:pPr>
            <w:shd w:val="clear" w:color="auto" w:fill="FFFFFF"/>
            <w:ind w:left="-182" w:firstLine="182"/>
            <w:rPr>
              <w:rFonts w:cs="Arial"/>
              <w:sz w:val="18"/>
              <w:szCs w:val="18"/>
            </w:rPr>
          </w:pPr>
          <w:r>
            <w:rPr>
              <w:color w:val="000000"/>
              <w:spacing w:val="-3"/>
              <w:sz w:val="18"/>
            </w:rPr>
            <w:t>Код документу:</w:t>
          </w:r>
        </w:p>
      </w:tc>
      <w:tc>
        <w:tcPr>
          <w:tcW w:w="4320" w:type="dxa"/>
          <w:tcBorders>
            <w:top w:val="single" w:sz="6" w:space="0" w:color="auto"/>
            <w:left w:val="nil"/>
            <w:bottom w:val="single" w:sz="6" w:space="0" w:color="auto"/>
            <w:right w:val="single" w:sz="6" w:space="0" w:color="auto"/>
          </w:tcBorders>
          <w:shd w:val="clear" w:color="auto" w:fill="FFFFFF"/>
          <w:vAlign w:val="center"/>
        </w:tcPr>
        <w:p w:rsidR="006C74EB" w:rsidRDefault="006C74EB">
          <w:pPr>
            <w:shd w:val="clear" w:color="auto" w:fill="FFFFFF"/>
            <w:ind w:left="130"/>
            <w:rPr>
              <w:rFonts w:cs="Arial"/>
              <w:b/>
            </w:rPr>
          </w:pPr>
          <w:r>
            <w:rPr>
              <w:b/>
            </w:rPr>
            <w:t>8017/2014-2-S0080751-N0</w:t>
          </w:r>
        </w:p>
      </w:tc>
      <w:tc>
        <w:tcPr>
          <w:tcW w:w="1200" w:type="dxa"/>
          <w:tcBorders>
            <w:top w:val="single" w:sz="6" w:space="0" w:color="auto"/>
            <w:left w:val="single" w:sz="6" w:space="0" w:color="auto"/>
            <w:bottom w:val="single" w:sz="6" w:space="0" w:color="auto"/>
            <w:right w:val="single" w:sz="6" w:space="0" w:color="auto"/>
          </w:tcBorders>
          <w:shd w:val="clear" w:color="auto" w:fill="FFFFFF"/>
          <w:vAlign w:val="center"/>
        </w:tcPr>
        <w:p w:rsidR="006C74EB" w:rsidRDefault="006C74EB">
          <w:pPr>
            <w:shd w:val="clear" w:color="auto" w:fill="FFFFFF"/>
            <w:jc w:val="center"/>
            <w:rPr>
              <w:rFonts w:cs="Arial"/>
              <w:b/>
              <w:sz w:val="20"/>
              <w:szCs w:val="20"/>
            </w:rPr>
          </w:pPr>
          <w:r>
            <w:rPr>
              <w:color w:val="000000"/>
              <w:sz w:val="18"/>
            </w:rPr>
            <w:t xml:space="preserve">Перегляд: </w:t>
          </w:r>
          <w:r>
            <w:rPr>
              <w:b/>
              <w:color w:val="000000"/>
            </w:rPr>
            <w:t>0</w:t>
          </w:r>
        </w:p>
      </w:tc>
      <w:tc>
        <w:tcPr>
          <w:tcW w:w="1228" w:type="dxa"/>
          <w:tcBorders>
            <w:top w:val="single" w:sz="6" w:space="0" w:color="auto"/>
            <w:left w:val="single" w:sz="6" w:space="0" w:color="auto"/>
            <w:bottom w:val="single" w:sz="6" w:space="0" w:color="auto"/>
            <w:right w:val="single" w:sz="6" w:space="0" w:color="auto"/>
          </w:tcBorders>
          <w:shd w:val="clear" w:color="auto" w:fill="FFFFFF"/>
          <w:vAlign w:val="center"/>
        </w:tcPr>
        <w:p w:rsidR="006C74EB" w:rsidRDefault="006C74EB">
          <w:pPr>
            <w:shd w:val="clear" w:color="auto" w:fill="FFFFFF"/>
            <w:jc w:val="center"/>
            <w:rPr>
              <w:rFonts w:cs="Arial"/>
            </w:rPr>
          </w:pPr>
          <w:r>
            <w:rPr>
              <w:b/>
              <w:color w:val="000000"/>
              <w:spacing w:val="-10"/>
              <w:sz w:val="18"/>
            </w:rPr>
            <w:t>Стор.</w:t>
          </w:r>
          <w:r>
            <w:rPr>
              <w:color w:val="000000"/>
              <w:spacing w:val="-10"/>
            </w:rPr>
            <w:t xml:space="preserve"> </w:t>
          </w:r>
          <w:r>
            <w:rPr>
              <w:b/>
              <w:color w:val="000000"/>
              <w:spacing w:val="-10"/>
            </w:rPr>
            <w:t xml:space="preserve"> </w:t>
          </w:r>
          <w:r>
            <w:rPr>
              <w:rFonts w:cs="Arial"/>
              <w:b/>
              <w:color w:val="000000"/>
              <w:spacing w:val="-10"/>
            </w:rPr>
            <w:fldChar w:fldCharType="begin"/>
          </w:r>
          <w:r>
            <w:rPr>
              <w:rFonts w:cs="Arial"/>
              <w:b/>
              <w:color w:val="000000"/>
              <w:spacing w:val="-10"/>
            </w:rPr>
            <w:instrText>PAGE   \* MERGEFORMAT</w:instrText>
          </w:r>
          <w:r>
            <w:rPr>
              <w:rFonts w:cs="Arial"/>
              <w:b/>
              <w:color w:val="000000"/>
              <w:spacing w:val="-10"/>
            </w:rPr>
            <w:fldChar w:fldCharType="separate"/>
          </w:r>
          <w:r w:rsidR="004A16E2">
            <w:rPr>
              <w:rFonts w:cs="Arial"/>
              <w:b/>
              <w:noProof/>
              <w:color w:val="000000"/>
              <w:spacing w:val="-10"/>
            </w:rPr>
            <w:t>76</w:t>
          </w:r>
          <w:r>
            <w:rPr>
              <w:rFonts w:cs="Arial"/>
              <w:b/>
              <w:color w:val="000000"/>
              <w:spacing w:val="-10"/>
            </w:rPr>
            <w:fldChar w:fldCharType="end"/>
          </w:r>
        </w:p>
      </w:tc>
    </w:tr>
  </w:tbl>
  <w:p w:rsidR="006C74EB" w:rsidRDefault="006C74EB">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pStyle w:val="Header"/>
      <w:ind w:right="72"/>
      <w:rPr>
        <w:rFonts w:cs="Arial"/>
      </w:rPr>
    </w:pPr>
    <w:r>
      <w:rPr>
        <w:noProof/>
      </w:rPr>
      <w:pict>
        <v:rect id="Rectangle 33" o:spid="_x0000_s2095" style="position:absolute;margin-left:32.6pt;margin-top:39.45pt;width:120.4pt;height:12.1pt;z-index:251664896;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" filled="f" stroked="f" strokeweight="0">
          <v:textbox style="mso-next-textbox:#Rectangle 33" inset="0,0,0,0">
            <w:txbxContent>
              <w:p w:rsidR="006C74EB" w:rsidRDefault="006C74EB">
                <w:pPr>
                  <w:rPr>
                    <w:sz w:val="12"/>
                    <w:szCs w:val="12"/>
                  </w:rPr>
                </w:pPr>
                <w:r>
                  <w:rPr>
                    <w:sz w:val="12"/>
                  </w:rPr>
                  <w:t>Форма код: FPM-03.01-01-02 Act. 0</w:t>
                </w:r>
              </w:p>
            </w:txbxContent>
          </v:textbox>
          <w10:wrap anchorx="page" anchory="page"/>
          <w10:anchorlock/>
        </v:rect>
      </w:pict>
    </w:r>
    <w:r>
      <w:rPr>
        <w:noProof/>
      </w:rPr>
      <w:pict>
        <v:shapetype id="_x0000_t202" coordsize="21600,21600" o:spt="202" path="m,l,21600r21600,l21600,xe">
          <v:stroke joinstyle="miter"/>
          <v:path gradientshapeok="t" o:connecttype="rect"/>
        </v:shapetype>
        <v:shape id="Text Box 32" o:spid="_x0000_s2094" type="#_x0000_t202" style="position:absolute;margin-left:749.75pt;margin-top:131.15pt;width:40.95pt;height:414.55pt;z-index:251663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" filled="f" stroked="f">
          <v:textbox style="mso-next-textbox:#Text Box 32" inset="1mm,1mm,1mm,1mm">
            <w:txbxContent>
              <w:tbl>
                <w:tblPr>
                  <w:tblW w:w="523" w:type="dxa"/>
                  <w:jc w:val="center"/>
                  <w:tblLayout w:type="fixed"/>
                  <w:tblCellMar>
                    <w:left w:w="45" w:type="dxa"/>
                    <w:right w:w="45" w:type="dxa"/>
                  </w:tblCellMar>
                  <w:tblLook w:val="04A0" w:firstRow="1" w:lastRow="0" w:firstColumn="1" w:lastColumn="0" w:noHBand="0" w:noVBand="1"/>
                </w:tblPr>
                <w:tblGrid>
                  <w:gridCol w:w="523"/>
                </w:tblGrid>
                <w:tr w:rsidR="006C74EB">
                  <w:trPr>
                    <w:cantSplit/>
                    <w:trHeight w:hRule="exact" w:val="1503"/>
                    <w:jc w:val="center"/>
                  </w:trPr>
                  <w:tc>
                    <w:tcPr>
                      <w:tcW w:w="523" w:type="dxa"/>
                      <w:tcBorders>
                        <w:top w:val="single" w:sz="4" w:space="0" w:color="auto"/>
                        <w:left w:val="single" w:sz="4" w:space="0" w:color="auto"/>
                        <w:right w:val="single" w:sz="4" w:space="0" w:color="auto"/>
                      </w:tcBorders>
                      <w:shd w:val="clear" w:color="auto" w:fill="FFFFFF"/>
                      <w:textDirection w:val="tbRl"/>
                      <w:vAlign w:val="center"/>
                    </w:tcPr>
                    <w:p w:rsidR="006C74EB" w:rsidRDefault="006C74EB">
                      <w:pPr>
                        <w:ind w:left="-90" w:right="113"/>
                        <w:jc w:val="center"/>
                      </w:pPr>
                      <w:r>
                        <w:rPr>
                          <w:color w:val="000000"/>
                          <w:spacing w:val="-3"/>
                          <w:sz w:val="18"/>
                        </w:rPr>
                        <w:t>Код документу</w:t>
                      </w:r>
                    </w:p>
                  </w:tc>
                </w:tr>
                <w:tr w:rsidR="006C74EB">
                  <w:trPr>
                    <w:cantSplit/>
                    <w:trHeight w:hRule="exact" w:val="4321"/>
                    <w:jc w:val="center"/>
                  </w:trPr>
                  <w:tc>
                    <w:tcPr>
                      <w:tcW w:w="523" w:type="dxa"/>
                      <w:tcBorders>
                        <w:left w:val="single" w:sz="4" w:space="0" w:color="auto"/>
                        <w:bottom w:val="single" w:sz="4" w:space="0" w:color="auto"/>
                        <w:right w:val="single" w:sz="4" w:space="0" w:color="auto"/>
                      </w:tcBorders>
                      <w:shd w:val="clear" w:color="auto" w:fill="FFFFFF"/>
                      <w:textDirection w:val="tbRl"/>
                      <w:vAlign w:val="center"/>
                    </w:tcPr>
                    <w:p w:rsidR="006C74EB" w:rsidRDefault="006C74EB">
                      <w:pPr>
                        <w:shd w:val="clear" w:color="auto" w:fill="FFFFFF"/>
                        <w:ind w:left="130" w:right="113"/>
                        <w:rPr>
                          <w:rFonts w:cs="Arial"/>
                          <w:b/>
                        </w:rPr>
                      </w:pPr>
                      <w:r>
                        <w:rPr>
                          <w:b/>
                        </w:rPr>
                        <w:t>8017/2014-2-S0080751-N0</w:t>
                      </w:r>
                    </w:p>
                  </w:tc>
                </w:tr>
                <w:tr w:rsidR="006C74EB">
                  <w:trPr>
                    <w:cantSplit/>
                    <w:trHeight w:hRule="exact" w:val="1202"/>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6C74EB" w:rsidRDefault="006C74EB">
                      <w:pPr>
                        <w:shd w:val="clear" w:color="auto" w:fill="FFFFFF"/>
                        <w:ind w:left="-90" w:right="113"/>
                        <w:jc w:val="center"/>
                        <w:rPr>
                          <w:rFonts w:cs="Arial"/>
                          <w:b/>
                          <w:sz w:val="20"/>
                          <w:szCs w:val="20"/>
                        </w:rPr>
                      </w:pPr>
                      <w:r>
                        <w:rPr>
                          <w:color w:val="000000"/>
                          <w:sz w:val="18"/>
                        </w:rPr>
                        <w:t xml:space="preserve">Перегляд: </w:t>
                      </w:r>
                      <w:r>
                        <w:rPr>
                          <w:b/>
                          <w:color w:val="000000"/>
                        </w:rPr>
                        <w:t>2</w:t>
                      </w:r>
                    </w:p>
                  </w:tc>
                </w:tr>
                <w:tr w:rsidR="006C74EB">
                  <w:trPr>
                    <w:cantSplit/>
                    <w:trHeight w:hRule="exact" w:val="1134"/>
                    <w:jc w:val="center"/>
                  </w:trPr>
                  <w:tc>
                    <w:tcPr>
                      <w:tcW w:w="523" w:type="dxa"/>
                      <w:tcBorders>
                        <w:top w:val="single" w:sz="4" w:space="0" w:color="auto"/>
                        <w:left w:val="single" w:sz="4" w:space="0" w:color="auto"/>
                        <w:bottom w:val="single" w:sz="4" w:space="0" w:color="auto"/>
                        <w:right w:val="single" w:sz="4" w:space="0" w:color="auto"/>
                      </w:tcBorders>
                      <w:shd w:val="clear" w:color="auto" w:fill="FFFFFF"/>
                      <w:textDirection w:val="tbRl"/>
                      <w:vAlign w:val="center"/>
                    </w:tcPr>
                    <w:p w:rsidR="006C74EB" w:rsidRDefault="006C74EB">
                      <w:pPr>
                        <w:shd w:val="clear" w:color="auto" w:fill="FFFFFF"/>
                        <w:ind w:left="-90" w:right="113"/>
                        <w:jc w:val="center"/>
                        <w:rPr>
                          <w:rFonts w:cs="Arial"/>
                          <w:b/>
                          <w:sz w:val="20"/>
                          <w:szCs w:val="20"/>
                        </w:rPr>
                      </w:pPr>
                      <w:r>
                        <w:rPr>
                          <w:b/>
                          <w:color w:val="000000"/>
                          <w:spacing w:val="-10"/>
                          <w:sz w:val="18"/>
                        </w:rPr>
                        <w:t>Стор.</w:t>
                      </w:r>
                      <w:r>
                        <w:rPr>
                          <w:color w:val="000000"/>
                          <w:spacing w:val="-10"/>
                        </w:rPr>
                        <w:t xml:space="preserve"> </w:t>
                      </w:r>
                      <w:r>
                        <w:rPr>
                          <w:b/>
                          <w:color w:val="000000"/>
                          <w:spacing w:val="-10"/>
                        </w:rPr>
                        <w:t xml:space="preserve"> </w:t>
                      </w:r>
                      <w:r>
                        <w:rPr>
                          <w:rFonts w:cs="Arial"/>
                          <w:b/>
                          <w:color w:val="000000"/>
                          <w:spacing w:val="-10"/>
                        </w:rPr>
                        <w:fldChar w:fldCharType="begin"/>
                      </w:r>
                      <w:r>
                        <w:rPr>
                          <w:rFonts w:cs="Arial"/>
                          <w:b/>
                          <w:color w:val="000000"/>
                          <w:spacing w:val="-10"/>
                        </w:rPr>
                        <w:instrText>PAGE   \* MERGEFORMAT</w:instrText>
                      </w:r>
                      <w:r>
                        <w:rPr>
                          <w:rFonts w:cs="Arial"/>
                          <w:b/>
                          <w:color w:val="000000"/>
                          <w:spacing w:val="-10"/>
                        </w:rPr>
                        <w:fldChar w:fldCharType="separate"/>
                      </w:r>
                      <w:r w:rsidR="004A16E2">
                        <w:rPr>
                          <w:rFonts w:cs="Arial"/>
                          <w:b/>
                          <w:noProof/>
                          <w:color w:val="000000"/>
                          <w:spacing w:val="-10"/>
                        </w:rPr>
                        <w:t>77</w:t>
                      </w:r>
                      <w:r>
                        <w:rPr>
                          <w:rFonts w:cs="Arial"/>
                          <w:b/>
                          <w:color w:val="000000"/>
                          <w:spacing w:val="-10"/>
                        </w:rPr>
                        <w:fldChar w:fldCharType="end"/>
                      </w:r>
                    </w:p>
                  </w:tc>
                </w:tr>
              </w:tbl>
              <w:p w:rsidR="006C74EB" w:rsidRDefault="006C74EB">
                <w:pPr>
                  <w:jc w:val="center"/>
                  <w:rPr>
                    <w:sz w:val="8"/>
                  </w:rPr>
                </w:pPr>
              </w:p>
            </w:txbxContent>
          </v:textbox>
        </v:shape>
      </w:pict>
    </w:r>
    <w:r>
      <w:rPr>
        <w:noProof/>
        <w:lang w:val="en-US" w:eastAsia="en-US"/>
      </w:rPr>
      <w:drawing>
        <wp:anchor distT="0" distB="0" distL="114300" distR="114300" simplePos="0" relativeHeight="251661312" behindDoc="0" locked="0" layoutInCell="1" allowOverlap="1" wp14:anchorId="39EF7176" wp14:editId="31E086A6">
          <wp:simplePos x="0" y="0"/>
          <wp:positionH relativeFrom="column">
            <wp:posOffset>9467850</wp:posOffset>
          </wp:positionH>
          <wp:positionV relativeFrom="paragraph">
            <wp:posOffset>261620</wp:posOffset>
          </wp:positionV>
          <wp:extent cx="485775" cy="1403985"/>
          <wp:effectExtent l="19050" t="0" r="9525" b="0"/>
          <wp:wrapNone/>
          <wp:docPr id="45" name="Picture 49" descr="Description: J:\MM\MM\MM documents\Lucru 2014\Sigla ISPE - V - 2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cription: J:\MM\MM\MM documents\Lucru 2014\Sigla ISPE - V - 2014.gif"/>
                  <pic:cNvPicPr>
                    <a:picLocks noChangeAspect="1" noChangeArrowheads="1"/>
                  </pic:cNvPicPr>
                </pic:nvPicPr>
                <pic:blipFill>
                  <a:blip r:embed="rId1"/>
                  <a:srcRect/>
                  <a:stretch>
                    <a:fillRect/>
                  </a:stretch>
                </pic:blipFill>
                <pic:spPr bwMode="auto">
                  <a:xfrm>
                    <a:off x="0" y="0"/>
                    <a:ext cx="485775" cy="1403985"/>
                  </a:xfrm>
                  <a:prstGeom prst="rect">
                    <a:avLst/>
                  </a:prstGeom>
                  <a:noFill/>
                  <a:ln w="9525">
                    <a:noFill/>
                    <a:miter lim="800000"/>
                    <a:headEnd/>
                    <a:tailEnd/>
                  </a:ln>
                </pic:spPr>
              </pic:pic>
            </a:graphicData>
          </a:graphic>
        </wp:anchor>
      </w:drawing>
    </w:r>
  </w:p>
  <w:p w:rsidR="006C74EB" w:rsidRDefault="006C74EB">
    <w:pPr>
      <w:pStyle w:val="Header"/>
      <w:ind w:right="72"/>
      <w:rPr>
        <w:rFonts w:cs="Arial"/>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4EB" w:rsidRDefault="006C74EB">
    <w:pPr>
      <w:pStyle w:val="Header"/>
      <w:ind w:right="72"/>
      <w:rPr>
        <w:rFonts w:cs="Arial"/>
      </w:rPr>
    </w:pPr>
    <w:r>
      <w:rPr>
        <w:rFonts w:cs="Arial"/>
        <w:noProof/>
        <w:lang w:val="en-US" w:eastAsia="en-US"/>
      </w:rPr>
      <w:drawing>
        <wp:anchor distT="0" distB="0" distL="114300" distR="114300" simplePos="0" relativeHeight="251653120" behindDoc="0" locked="0" layoutInCell="1" allowOverlap="1" wp14:anchorId="0D9A4C6C" wp14:editId="737294F6">
          <wp:simplePos x="0" y="0"/>
          <wp:positionH relativeFrom="column">
            <wp:posOffset>0</wp:posOffset>
          </wp:positionH>
          <wp:positionV relativeFrom="paragraph">
            <wp:posOffset>160655</wp:posOffset>
          </wp:positionV>
          <wp:extent cx="1406525" cy="486410"/>
          <wp:effectExtent l="19050" t="0" r="3175" b="0"/>
          <wp:wrapNone/>
          <wp:docPr id="31" name="Рисунок 31" descr="Sigla ISPE -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igla ISPE - 2014"/>
                  <pic:cNvPicPr>
                    <a:picLocks noChangeAspect="1" noChangeArrowheads="1"/>
                  </pic:cNvPicPr>
                </pic:nvPicPr>
                <pic:blipFill>
                  <a:blip r:embed="rId1"/>
                  <a:srcRect/>
                  <a:stretch>
                    <a:fillRect/>
                  </a:stretch>
                </pic:blipFill>
                <pic:spPr bwMode="auto">
                  <a:xfrm>
                    <a:off x="0" y="0"/>
                    <a:ext cx="1406525" cy="486410"/>
                  </a:xfrm>
                  <a:prstGeom prst="rect">
                    <a:avLst/>
                  </a:prstGeom>
                  <a:noFill/>
                  <a:ln w="9525">
                    <a:noFill/>
                    <a:miter lim="800000"/>
                    <a:headEnd/>
                    <a:tailEnd/>
                  </a:ln>
                </pic:spPr>
              </pic:pic>
            </a:graphicData>
          </a:graphic>
        </wp:anchor>
      </w:drawing>
    </w:r>
    <w:r>
      <w:rPr>
        <w:rFonts w:cs="Arial"/>
      </w:rPr>
      <w:tab/>
    </w:r>
  </w:p>
  <w:tbl>
    <w:tblPr>
      <w:tblW w:w="8080" w:type="dxa"/>
      <w:tblInd w:w="2308" w:type="dxa"/>
      <w:tblLayout w:type="fixed"/>
      <w:tblCellMar>
        <w:left w:w="40" w:type="dxa"/>
        <w:right w:w="40" w:type="dxa"/>
      </w:tblCellMar>
      <w:tblLook w:val="0000" w:firstRow="0" w:lastRow="0" w:firstColumn="0" w:lastColumn="0" w:noHBand="0" w:noVBand="0"/>
    </w:tblPr>
    <w:tblGrid>
      <w:gridCol w:w="1332"/>
      <w:gridCol w:w="4320"/>
      <w:gridCol w:w="1200"/>
      <w:gridCol w:w="1228"/>
    </w:tblGrid>
    <w:tr w:rsidR="006C74EB">
      <w:trPr>
        <w:trHeight w:hRule="exact" w:val="595"/>
      </w:trPr>
      <w:tc>
        <w:tcPr>
          <w:tcW w:w="1332" w:type="dxa"/>
          <w:tcBorders>
            <w:top w:val="single" w:sz="6" w:space="0" w:color="auto"/>
            <w:left w:val="single" w:sz="6" w:space="0" w:color="auto"/>
            <w:bottom w:val="single" w:sz="6" w:space="0" w:color="auto"/>
            <w:right w:val="nil"/>
          </w:tcBorders>
          <w:shd w:val="clear" w:color="auto" w:fill="FFFFFF"/>
          <w:vAlign w:val="center"/>
        </w:tcPr>
        <w:p w:rsidR="006C74EB" w:rsidRDefault="006C74EB">
          <w:pPr>
            <w:shd w:val="clear" w:color="auto" w:fill="FFFFFF"/>
            <w:ind w:left="-182" w:firstLine="182"/>
            <w:rPr>
              <w:rFonts w:cs="Arial"/>
              <w:sz w:val="18"/>
              <w:szCs w:val="18"/>
            </w:rPr>
          </w:pPr>
          <w:r>
            <w:rPr>
              <w:rFonts w:cs="Arial"/>
              <w:color w:val="000000"/>
              <w:spacing w:val="-3"/>
              <w:sz w:val="18"/>
              <w:szCs w:val="18"/>
              <w:lang w:val="en-US"/>
            </w:rPr>
            <w:t>Cod document:</w:t>
          </w:r>
        </w:p>
      </w:tc>
      <w:tc>
        <w:tcPr>
          <w:tcW w:w="4320" w:type="dxa"/>
          <w:tcBorders>
            <w:top w:val="single" w:sz="6" w:space="0" w:color="auto"/>
            <w:left w:val="nil"/>
            <w:bottom w:val="single" w:sz="6" w:space="0" w:color="auto"/>
            <w:right w:val="single" w:sz="6" w:space="0" w:color="auto"/>
          </w:tcBorders>
          <w:shd w:val="clear" w:color="auto" w:fill="FFFFFF"/>
          <w:vAlign w:val="center"/>
        </w:tcPr>
        <w:p w:rsidR="006C74EB" w:rsidRDefault="006C74EB">
          <w:pPr>
            <w:shd w:val="clear" w:color="auto" w:fill="FFFFFF"/>
            <w:ind w:left="130"/>
            <w:rPr>
              <w:rFonts w:cs="Arial"/>
              <w:b/>
            </w:rPr>
          </w:pPr>
          <w:r>
            <w:rPr>
              <w:rFonts w:cs="Arial"/>
              <w:b/>
            </w:rPr>
            <w:t>8017/2014-2-S0080751-N0</w:t>
          </w:r>
        </w:p>
      </w:tc>
      <w:tc>
        <w:tcPr>
          <w:tcW w:w="1200" w:type="dxa"/>
          <w:tcBorders>
            <w:top w:val="single" w:sz="6" w:space="0" w:color="auto"/>
            <w:left w:val="single" w:sz="6" w:space="0" w:color="auto"/>
            <w:bottom w:val="single" w:sz="6" w:space="0" w:color="auto"/>
            <w:right w:val="single" w:sz="6" w:space="0" w:color="auto"/>
          </w:tcBorders>
          <w:shd w:val="clear" w:color="auto" w:fill="FFFFFF"/>
          <w:vAlign w:val="center"/>
        </w:tcPr>
        <w:p w:rsidR="006C74EB" w:rsidRDefault="006C74EB">
          <w:pPr>
            <w:shd w:val="clear" w:color="auto" w:fill="FFFFFF"/>
            <w:jc w:val="center"/>
            <w:rPr>
              <w:rFonts w:cs="Arial"/>
              <w:b/>
              <w:sz w:val="20"/>
              <w:szCs w:val="20"/>
            </w:rPr>
          </w:pPr>
          <w:r>
            <w:rPr>
              <w:rFonts w:cs="Arial"/>
              <w:color w:val="000000"/>
              <w:sz w:val="18"/>
              <w:szCs w:val="18"/>
            </w:rPr>
            <w:t>Revizie</w:t>
          </w:r>
          <w:r>
            <w:rPr>
              <w:rFonts w:cs="Arial"/>
              <w:color w:val="000000"/>
              <w:sz w:val="18"/>
              <w:szCs w:val="18"/>
              <w:lang w:val="en-US"/>
            </w:rPr>
            <w:t xml:space="preserve">: </w:t>
          </w:r>
          <w:r>
            <w:rPr>
              <w:rFonts w:cs="Arial"/>
              <w:b/>
              <w:color w:val="000000"/>
              <w:lang w:val="en-US"/>
            </w:rPr>
            <w:t>0</w:t>
          </w:r>
        </w:p>
      </w:tc>
      <w:tc>
        <w:tcPr>
          <w:tcW w:w="1228" w:type="dxa"/>
          <w:tcBorders>
            <w:top w:val="single" w:sz="6" w:space="0" w:color="auto"/>
            <w:left w:val="single" w:sz="6" w:space="0" w:color="auto"/>
            <w:bottom w:val="single" w:sz="6" w:space="0" w:color="auto"/>
            <w:right w:val="single" w:sz="6" w:space="0" w:color="auto"/>
          </w:tcBorders>
          <w:shd w:val="clear" w:color="auto" w:fill="FFFFFF"/>
          <w:vAlign w:val="center"/>
        </w:tcPr>
        <w:p w:rsidR="006C74EB" w:rsidRDefault="006C74EB">
          <w:pPr>
            <w:shd w:val="clear" w:color="auto" w:fill="FFFFFF"/>
            <w:jc w:val="center"/>
            <w:rPr>
              <w:rFonts w:cs="Arial"/>
            </w:rPr>
          </w:pPr>
          <w:r>
            <w:rPr>
              <w:rFonts w:cs="Arial"/>
              <w:color w:val="000000"/>
              <w:spacing w:val="-10"/>
              <w:sz w:val="18"/>
              <w:szCs w:val="18"/>
            </w:rPr>
            <w:t>Pag</w:t>
          </w:r>
          <w:r>
            <w:rPr>
              <w:rFonts w:cs="Arial"/>
              <w:color w:val="000000"/>
              <w:spacing w:val="-10"/>
              <w:sz w:val="18"/>
              <w:szCs w:val="18"/>
              <w:lang w:val="en-US"/>
            </w:rPr>
            <w:t>.</w:t>
          </w:r>
          <w:r>
            <w:rPr>
              <w:rFonts w:cs="Arial"/>
              <w:color w:val="000000"/>
              <w:spacing w:val="-10"/>
              <w:lang w:val="en-US"/>
            </w:rPr>
            <w:t xml:space="preserve"> </w:t>
          </w:r>
          <w:r>
            <w:rPr>
              <w:rFonts w:cs="Arial"/>
              <w:b/>
              <w:color w:val="000000"/>
              <w:spacing w:val="-10"/>
              <w:lang w:val="en-US"/>
            </w:rPr>
            <w:t xml:space="preserve"> </w:t>
          </w:r>
          <w:r>
            <w:rPr>
              <w:rFonts w:cs="Arial"/>
              <w:b/>
              <w:color w:val="000000"/>
              <w:spacing w:val="-10"/>
              <w:lang w:val="en-US"/>
            </w:rPr>
            <w:fldChar w:fldCharType="begin"/>
          </w:r>
          <w:r>
            <w:rPr>
              <w:rFonts w:cs="Arial"/>
              <w:b/>
              <w:color w:val="000000"/>
              <w:spacing w:val="-10"/>
              <w:lang w:val="en-US"/>
            </w:rPr>
            <w:instrText>PAGE   \* MERGEFORMAT</w:instrText>
          </w:r>
          <w:r>
            <w:rPr>
              <w:rFonts w:cs="Arial"/>
              <w:b/>
              <w:color w:val="000000"/>
              <w:spacing w:val="-10"/>
              <w:lang w:val="en-US"/>
            </w:rPr>
            <w:fldChar w:fldCharType="separate"/>
          </w:r>
          <w:r w:rsidR="004A16E2">
            <w:rPr>
              <w:rFonts w:cs="Arial"/>
              <w:b/>
              <w:noProof/>
              <w:color w:val="000000"/>
              <w:spacing w:val="-10"/>
              <w:lang w:val="en-US"/>
            </w:rPr>
            <w:t>81</w:t>
          </w:r>
          <w:r>
            <w:rPr>
              <w:rFonts w:cs="Arial"/>
              <w:b/>
              <w:color w:val="000000"/>
              <w:spacing w:val="-10"/>
              <w:lang w:val="en-US"/>
            </w:rPr>
            <w:fldChar w:fldCharType="end"/>
          </w:r>
        </w:p>
      </w:tc>
    </w:tr>
  </w:tbl>
  <w:p w:rsidR="006C74EB" w:rsidRDefault="006C74E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11.3pt;height:11.3pt" o:bullet="t">
        <v:imagedata r:id="rId1" o:title="BD10298_"/>
      </v:shape>
    </w:pict>
  </w:numPicBullet>
  <w:abstractNum w:abstractNumId="0">
    <w:nsid w:val="00000005"/>
    <w:multiLevelType w:val="multilevel"/>
    <w:tmpl w:val="0000000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nsid w:val="00000006"/>
    <w:multiLevelType w:val="multilevel"/>
    <w:tmpl w:val="0000000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
    <w:nsid w:val="02355A92"/>
    <w:multiLevelType w:val="hybridMultilevel"/>
    <w:tmpl w:val="C032CC6C"/>
    <w:lvl w:ilvl="0" w:tplc="0409000B">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
    <w:nsid w:val="02A35F37"/>
    <w:multiLevelType w:val="hybridMultilevel"/>
    <w:tmpl w:val="A87AC1DC"/>
    <w:lvl w:ilvl="0" w:tplc="0418000B">
      <w:start w:val="1"/>
      <w:numFmt w:val="bullet"/>
      <w:lvlText w:val=""/>
      <w:lvlJc w:val="left"/>
      <w:pPr>
        <w:ind w:left="117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nsid w:val="051053BB"/>
    <w:multiLevelType w:val="hybridMultilevel"/>
    <w:tmpl w:val="CEA09082"/>
    <w:lvl w:ilvl="0" w:tplc="0409000B">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5">
    <w:nsid w:val="0835163C"/>
    <w:multiLevelType w:val="hybridMultilevel"/>
    <w:tmpl w:val="64E4E4F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8705FDC"/>
    <w:multiLevelType w:val="hybridMultilevel"/>
    <w:tmpl w:val="A8DA1F16"/>
    <w:lvl w:ilvl="0" w:tplc="04090015">
      <w:start w:val="1"/>
      <w:numFmt w:val="upperLetter"/>
      <w:lvlText w:val="%1."/>
      <w:lvlJc w:val="left"/>
      <w:pPr>
        <w:ind w:left="1440" w:hanging="360"/>
      </w:pPr>
      <w:rPr>
        <w:rFont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7">
    <w:nsid w:val="09E96315"/>
    <w:multiLevelType w:val="hybridMultilevel"/>
    <w:tmpl w:val="ADE26574"/>
    <w:lvl w:ilvl="0" w:tplc="0409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nsid w:val="0A2D07BE"/>
    <w:multiLevelType w:val="hybridMultilevel"/>
    <w:tmpl w:val="58C4C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AD94DA1"/>
    <w:multiLevelType w:val="multilevel"/>
    <w:tmpl w:val="17905B28"/>
    <w:lvl w:ilvl="0">
      <w:start w:val="1"/>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1800" w:hanging="1440"/>
      </w:pPr>
    </w:lvl>
  </w:abstractNum>
  <w:abstractNum w:abstractNumId="10">
    <w:nsid w:val="0BC535CC"/>
    <w:multiLevelType w:val="hybridMultilevel"/>
    <w:tmpl w:val="E4B45602"/>
    <w:lvl w:ilvl="0" w:tplc="4702A734">
      <w:start w:val="1"/>
      <w:numFmt w:val="upperRoman"/>
      <w:lvlText w:val="%1."/>
      <w:lvlJc w:val="left"/>
      <w:pPr>
        <w:ind w:left="1080" w:hanging="72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1">
    <w:nsid w:val="0D4424A3"/>
    <w:multiLevelType w:val="hybridMultilevel"/>
    <w:tmpl w:val="C1DCBF14"/>
    <w:lvl w:ilvl="0" w:tplc="4702A734">
      <w:start w:val="1"/>
      <w:numFmt w:val="upp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2">
    <w:nsid w:val="0D762C9A"/>
    <w:multiLevelType w:val="hybridMultilevel"/>
    <w:tmpl w:val="8D5440D6"/>
    <w:lvl w:ilvl="0" w:tplc="E26C07F2">
      <w:start w:val="1"/>
      <w:numFmt w:val="bullet"/>
      <w:lvlText w:val=""/>
      <w:lvlJc w:val="left"/>
      <w:pPr>
        <w:tabs>
          <w:tab w:val="num" w:pos="720"/>
        </w:tabs>
        <w:ind w:left="720" w:hanging="360"/>
      </w:pPr>
      <w:rPr>
        <w:rFonts w:ascii="Wingdings" w:hAnsi="Wingdings" w:hint="default"/>
      </w:rPr>
    </w:lvl>
    <w:lvl w:ilvl="1" w:tplc="1648225C">
      <w:start w:val="1"/>
      <w:numFmt w:val="bullet"/>
      <w:lvlText w:val=""/>
      <w:lvlJc w:val="left"/>
      <w:pPr>
        <w:tabs>
          <w:tab w:val="num" w:pos="1440"/>
        </w:tabs>
        <w:ind w:left="1440" w:hanging="360"/>
      </w:pPr>
      <w:rPr>
        <w:rFonts w:ascii="Wingdings" w:hAnsi="Wingdings" w:hint="default"/>
      </w:rPr>
    </w:lvl>
    <w:lvl w:ilvl="2" w:tplc="9ACE75C8" w:tentative="1">
      <w:start w:val="1"/>
      <w:numFmt w:val="bullet"/>
      <w:lvlText w:val=""/>
      <w:lvlJc w:val="left"/>
      <w:pPr>
        <w:tabs>
          <w:tab w:val="num" w:pos="2160"/>
        </w:tabs>
        <w:ind w:left="2160" w:hanging="360"/>
      </w:pPr>
      <w:rPr>
        <w:rFonts w:ascii="Wingdings" w:hAnsi="Wingdings" w:hint="default"/>
      </w:rPr>
    </w:lvl>
    <w:lvl w:ilvl="3" w:tplc="F8D23388" w:tentative="1">
      <w:start w:val="1"/>
      <w:numFmt w:val="bullet"/>
      <w:lvlText w:val=""/>
      <w:lvlJc w:val="left"/>
      <w:pPr>
        <w:tabs>
          <w:tab w:val="num" w:pos="2880"/>
        </w:tabs>
        <w:ind w:left="2880" w:hanging="360"/>
      </w:pPr>
      <w:rPr>
        <w:rFonts w:ascii="Wingdings" w:hAnsi="Wingdings" w:hint="default"/>
      </w:rPr>
    </w:lvl>
    <w:lvl w:ilvl="4" w:tplc="50542680" w:tentative="1">
      <w:start w:val="1"/>
      <w:numFmt w:val="bullet"/>
      <w:lvlText w:val=""/>
      <w:lvlJc w:val="left"/>
      <w:pPr>
        <w:tabs>
          <w:tab w:val="num" w:pos="3600"/>
        </w:tabs>
        <w:ind w:left="3600" w:hanging="360"/>
      </w:pPr>
      <w:rPr>
        <w:rFonts w:ascii="Wingdings" w:hAnsi="Wingdings" w:hint="default"/>
      </w:rPr>
    </w:lvl>
    <w:lvl w:ilvl="5" w:tplc="6E5641B2" w:tentative="1">
      <w:start w:val="1"/>
      <w:numFmt w:val="bullet"/>
      <w:lvlText w:val=""/>
      <w:lvlJc w:val="left"/>
      <w:pPr>
        <w:tabs>
          <w:tab w:val="num" w:pos="4320"/>
        </w:tabs>
        <w:ind w:left="4320" w:hanging="360"/>
      </w:pPr>
      <w:rPr>
        <w:rFonts w:ascii="Wingdings" w:hAnsi="Wingdings" w:hint="default"/>
      </w:rPr>
    </w:lvl>
    <w:lvl w:ilvl="6" w:tplc="BAD4E2FC" w:tentative="1">
      <w:start w:val="1"/>
      <w:numFmt w:val="bullet"/>
      <w:lvlText w:val=""/>
      <w:lvlJc w:val="left"/>
      <w:pPr>
        <w:tabs>
          <w:tab w:val="num" w:pos="5040"/>
        </w:tabs>
        <w:ind w:left="5040" w:hanging="360"/>
      </w:pPr>
      <w:rPr>
        <w:rFonts w:ascii="Wingdings" w:hAnsi="Wingdings" w:hint="default"/>
      </w:rPr>
    </w:lvl>
    <w:lvl w:ilvl="7" w:tplc="6C601472" w:tentative="1">
      <w:start w:val="1"/>
      <w:numFmt w:val="bullet"/>
      <w:lvlText w:val=""/>
      <w:lvlJc w:val="left"/>
      <w:pPr>
        <w:tabs>
          <w:tab w:val="num" w:pos="5760"/>
        </w:tabs>
        <w:ind w:left="5760" w:hanging="360"/>
      </w:pPr>
      <w:rPr>
        <w:rFonts w:ascii="Wingdings" w:hAnsi="Wingdings" w:hint="default"/>
      </w:rPr>
    </w:lvl>
    <w:lvl w:ilvl="8" w:tplc="CD62D0A0" w:tentative="1">
      <w:start w:val="1"/>
      <w:numFmt w:val="bullet"/>
      <w:lvlText w:val=""/>
      <w:lvlJc w:val="left"/>
      <w:pPr>
        <w:tabs>
          <w:tab w:val="num" w:pos="6480"/>
        </w:tabs>
        <w:ind w:left="6480" w:hanging="360"/>
      </w:pPr>
      <w:rPr>
        <w:rFonts w:ascii="Wingdings" w:hAnsi="Wingdings" w:hint="default"/>
      </w:rPr>
    </w:lvl>
  </w:abstractNum>
  <w:abstractNum w:abstractNumId="13">
    <w:nsid w:val="11800674"/>
    <w:multiLevelType w:val="hybridMultilevel"/>
    <w:tmpl w:val="6EF6325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4">
    <w:nsid w:val="11D24CA4"/>
    <w:multiLevelType w:val="hybridMultilevel"/>
    <w:tmpl w:val="D0DC3D0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20F0526"/>
    <w:multiLevelType w:val="hybridMultilevel"/>
    <w:tmpl w:val="870091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2755897"/>
    <w:multiLevelType w:val="hybridMultilevel"/>
    <w:tmpl w:val="4D669956"/>
    <w:lvl w:ilvl="0" w:tplc="0409000B">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2B31779"/>
    <w:multiLevelType w:val="hybridMultilevel"/>
    <w:tmpl w:val="76981E7C"/>
    <w:lvl w:ilvl="0" w:tplc="4702A734">
      <w:start w:val="1"/>
      <w:numFmt w:val="upp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8">
    <w:nsid w:val="138D2CC9"/>
    <w:multiLevelType w:val="hybridMultilevel"/>
    <w:tmpl w:val="C34E1B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nsid w:val="19592B69"/>
    <w:multiLevelType w:val="hybridMultilevel"/>
    <w:tmpl w:val="7CF66D5A"/>
    <w:lvl w:ilvl="0" w:tplc="0BA4F9AA">
      <w:start w:val="4"/>
      <w:numFmt w:val="bullet"/>
      <w:lvlText w:val="-"/>
      <w:lvlJc w:val="left"/>
      <w:pPr>
        <w:ind w:left="720" w:hanging="360"/>
      </w:pPr>
      <w:rPr>
        <w:rFonts w:ascii="Arial" w:eastAsia="Times New Roman" w:hAnsi="Arial" w:cs="Arial" w:hint="default"/>
        <w:sz w:val="24"/>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nsid w:val="198F39B5"/>
    <w:multiLevelType w:val="hybridMultilevel"/>
    <w:tmpl w:val="4E92BA62"/>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1">
    <w:nsid w:val="1ACD4E45"/>
    <w:multiLevelType w:val="hybridMultilevel"/>
    <w:tmpl w:val="F0045260"/>
    <w:lvl w:ilvl="0" w:tplc="0409000B">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22">
    <w:nsid w:val="1BD01FEA"/>
    <w:multiLevelType w:val="hybridMultilevel"/>
    <w:tmpl w:val="05A61CA2"/>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
    <w:nsid w:val="1D6A2990"/>
    <w:multiLevelType w:val="hybridMultilevel"/>
    <w:tmpl w:val="6A407EE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EA736AD"/>
    <w:multiLevelType w:val="hybridMultilevel"/>
    <w:tmpl w:val="A238EF7E"/>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nsid w:val="215877A5"/>
    <w:multiLevelType w:val="hybridMultilevel"/>
    <w:tmpl w:val="8714B046"/>
    <w:lvl w:ilvl="0" w:tplc="0409000B">
      <w:start w:val="1"/>
      <w:numFmt w:val="bullet"/>
      <w:lvlText w:val=""/>
      <w:lvlJc w:val="left"/>
      <w:pPr>
        <w:ind w:left="1353" w:hanging="360"/>
      </w:pPr>
      <w:rPr>
        <w:rFonts w:ascii="Wingdings" w:hAnsi="Wingdings" w:hint="default"/>
      </w:rPr>
    </w:lvl>
    <w:lvl w:ilvl="1" w:tplc="04090003" w:tentative="1">
      <w:start w:val="1"/>
      <w:numFmt w:val="bullet"/>
      <w:lvlText w:val="o"/>
      <w:lvlJc w:val="left"/>
      <w:pPr>
        <w:ind w:left="3012" w:hanging="360"/>
      </w:pPr>
      <w:rPr>
        <w:rFonts w:ascii="Courier New" w:hAnsi="Courier New" w:cs="Courier New" w:hint="default"/>
      </w:rPr>
    </w:lvl>
    <w:lvl w:ilvl="2" w:tplc="04090005" w:tentative="1">
      <w:start w:val="1"/>
      <w:numFmt w:val="bullet"/>
      <w:lvlText w:val=""/>
      <w:lvlJc w:val="left"/>
      <w:pPr>
        <w:ind w:left="3732" w:hanging="360"/>
      </w:pPr>
      <w:rPr>
        <w:rFonts w:ascii="Wingdings" w:hAnsi="Wingdings" w:hint="default"/>
      </w:rPr>
    </w:lvl>
    <w:lvl w:ilvl="3" w:tplc="04090001" w:tentative="1">
      <w:start w:val="1"/>
      <w:numFmt w:val="bullet"/>
      <w:lvlText w:val=""/>
      <w:lvlJc w:val="left"/>
      <w:pPr>
        <w:ind w:left="4452" w:hanging="360"/>
      </w:pPr>
      <w:rPr>
        <w:rFonts w:ascii="Symbol" w:hAnsi="Symbol" w:hint="default"/>
      </w:rPr>
    </w:lvl>
    <w:lvl w:ilvl="4" w:tplc="04090003" w:tentative="1">
      <w:start w:val="1"/>
      <w:numFmt w:val="bullet"/>
      <w:lvlText w:val="o"/>
      <w:lvlJc w:val="left"/>
      <w:pPr>
        <w:ind w:left="5172" w:hanging="360"/>
      </w:pPr>
      <w:rPr>
        <w:rFonts w:ascii="Courier New" w:hAnsi="Courier New" w:cs="Courier New" w:hint="default"/>
      </w:rPr>
    </w:lvl>
    <w:lvl w:ilvl="5" w:tplc="04090005" w:tentative="1">
      <w:start w:val="1"/>
      <w:numFmt w:val="bullet"/>
      <w:lvlText w:val=""/>
      <w:lvlJc w:val="left"/>
      <w:pPr>
        <w:ind w:left="5892" w:hanging="360"/>
      </w:pPr>
      <w:rPr>
        <w:rFonts w:ascii="Wingdings" w:hAnsi="Wingdings" w:hint="default"/>
      </w:rPr>
    </w:lvl>
    <w:lvl w:ilvl="6" w:tplc="04090001" w:tentative="1">
      <w:start w:val="1"/>
      <w:numFmt w:val="bullet"/>
      <w:lvlText w:val=""/>
      <w:lvlJc w:val="left"/>
      <w:pPr>
        <w:ind w:left="6612" w:hanging="360"/>
      </w:pPr>
      <w:rPr>
        <w:rFonts w:ascii="Symbol" w:hAnsi="Symbol" w:hint="default"/>
      </w:rPr>
    </w:lvl>
    <w:lvl w:ilvl="7" w:tplc="04090003" w:tentative="1">
      <w:start w:val="1"/>
      <w:numFmt w:val="bullet"/>
      <w:lvlText w:val="o"/>
      <w:lvlJc w:val="left"/>
      <w:pPr>
        <w:ind w:left="7332" w:hanging="360"/>
      </w:pPr>
      <w:rPr>
        <w:rFonts w:ascii="Courier New" w:hAnsi="Courier New" w:cs="Courier New" w:hint="default"/>
      </w:rPr>
    </w:lvl>
    <w:lvl w:ilvl="8" w:tplc="04090005" w:tentative="1">
      <w:start w:val="1"/>
      <w:numFmt w:val="bullet"/>
      <w:lvlText w:val=""/>
      <w:lvlJc w:val="left"/>
      <w:pPr>
        <w:ind w:left="8052" w:hanging="360"/>
      </w:pPr>
      <w:rPr>
        <w:rFonts w:ascii="Wingdings" w:hAnsi="Wingdings" w:hint="default"/>
      </w:rPr>
    </w:lvl>
  </w:abstractNum>
  <w:abstractNum w:abstractNumId="26">
    <w:nsid w:val="218A6FE9"/>
    <w:multiLevelType w:val="hybridMultilevel"/>
    <w:tmpl w:val="1318C5C6"/>
    <w:lvl w:ilvl="0" w:tplc="0409000B">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27">
    <w:nsid w:val="21BA2015"/>
    <w:multiLevelType w:val="hybridMultilevel"/>
    <w:tmpl w:val="D200D40E"/>
    <w:lvl w:ilvl="0" w:tplc="F75ACE1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264107F"/>
    <w:multiLevelType w:val="multilevel"/>
    <w:tmpl w:val="1B82C484"/>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ind w:left="1440" w:hanging="360"/>
      </w:pPr>
      <w:rPr>
        <w:rFonts w:ascii="Arial" w:eastAsia="Times New Roman" w:hAnsi="Arial" w:cs="Aria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22BE7FC4"/>
    <w:multiLevelType w:val="multilevel"/>
    <w:tmpl w:val="C2A00B80"/>
    <w:lvl w:ilvl="0">
      <w:start w:val="1"/>
      <w:numFmt w:val="bullet"/>
      <w:lvlText w:val="■"/>
      <w:lvlJc w:val="left"/>
      <w:rPr>
        <w:rFonts w:ascii="Microsoft Sans Serif" w:eastAsia="Microsoft Sans Serif" w:hAnsi="Microsoft Sans Serif" w:cs="Microsoft Sans Serif"/>
        <w:b w:val="0"/>
        <w:bCs w:val="0"/>
        <w:i w:val="0"/>
        <w:iCs w:val="0"/>
        <w:smallCaps w:val="0"/>
        <w:strike w:val="0"/>
        <w:color w:val="000000"/>
        <w:spacing w:val="0"/>
        <w:w w:val="100"/>
        <w:position w:val="0"/>
        <w:sz w:val="17"/>
        <w:szCs w:val="17"/>
        <w:u w:val="none"/>
        <w:lang w:val="ro-RO" w:eastAsia="ro-RO" w:bidi="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23B50BB2"/>
    <w:multiLevelType w:val="multilevel"/>
    <w:tmpl w:val="B1626940"/>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ind w:left="1440" w:hanging="360"/>
      </w:pPr>
      <w:rPr>
        <w:rFonts w:ascii="Arial" w:eastAsia="Times New Roman" w:hAnsi="Arial" w:cs="Aria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23D67F4B"/>
    <w:multiLevelType w:val="hybridMultilevel"/>
    <w:tmpl w:val="881659E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2">
    <w:nsid w:val="249815DB"/>
    <w:multiLevelType w:val="hybridMultilevel"/>
    <w:tmpl w:val="3F167A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8F74C0D"/>
    <w:multiLevelType w:val="hybridMultilevel"/>
    <w:tmpl w:val="C2DACAD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9293CDD"/>
    <w:multiLevelType w:val="hybridMultilevel"/>
    <w:tmpl w:val="4CE204E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2D7A6C85"/>
    <w:multiLevelType w:val="hybridMultilevel"/>
    <w:tmpl w:val="E2EE64DA"/>
    <w:lvl w:ilvl="0" w:tplc="0BA4F9AA">
      <w:start w:val="4"/>
      <w:numFmt w:val="bullet"/>
      <w:lvlText w:val="-"/>
      <w:lvlJc w:val="left"/>
      <w:pPr>
        <w:ind w:left="1440" w:hanging="360"/>
      </w:pPr>
      <w:rPr>
        <w:rFonts w:ascii="Arial" w:eastAsia="Times New Roman" w:hAnsi="Arial" w:cs="Arial" w:hint="default"/>
        <w:sz w:val="24"/>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6">
    <w:nsid w:val="2D9F77C3"/>
    <w:multiLevelType w:val="hybridMultilevel"/>
    <w:tmpl w:val="9F10DA94"/>
    <w:lvl w:ilvl="0" w:tplc="0BA4F9AA">
      <w:start w:val="4"/>
      <w:numFmt w:val="bullet"/>
      <w:lvlText w:val="-"/>
      <w:lvlJc w:val="left"/>
      <w:pPr>
        <w:ind w:left="1440" w:hanging="360"/>
      </w:pPr>
      <w:rPr>
        <w:rFonts w:ascii="Arial" w:eastAsia="Times New Roman" w:hAnsi="Arial" w:cs="Arial" w:hint="default"/>
        <w:sz w:val="24"/>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7">
    <w:nsid w:val="2E51249D"/>
    <w:multiLevelType w:val="hybridMultilevel"/>
    <w:tmpl w:val="CB9827CC"/>
    <w:lvl w:ilvl="0" w:tplc="0409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8">
    <w:nsid w:val="2F9B1306"/>
    <w:multiLevelType w:val="hybridMultilevel"/>
    <w:tmpl w:val="D8886254"/>
    <w:lvl w:ilvl="0" w:tplc="04090009">
      <w:start w:val="1"/>
      <w:numFmt w:val="bullet"/>
      <w:lvlText w:val=""/>
      <w:lvlJc w:val="left"/>
      <w:pPr>
        <w:ind w:left="720" w:hanging="360"/>
      </w:pPr>
      <w:rPr>
        <w:rFonts w:ascii="Wingdings" w:hAnsi="Wingdings" w:hint="default"/>
      </w:rPr>
    </w:lvl>
    <w:lvl w:ilvl="1" w:tplc="C854C25C">
      <w:numFmt w:val="bullet"/>
      <w:lvlText w:val="•"/>
      <w:lvlJc w:val="left"/>
      <w:pPr>
        <w:ind w:left="1440" w:hanging="360"/>
      </w:pPr>
      <w:rPr>
        <w:rFonts w:ascii="Arial" w:eastAsia="EUAlbertina-Regular-Identity-H" w:hAnsi="Arial" w:cs="Arial" w:hint="default"/>
        <w:b/>
        <w:i/>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9">
    <w:nsid w:val="32203785"/>
    <w:multiLevelType w:val="hybridMultilevel"/>
    <w:tmpl w:val="43DA83E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27731A2"/>
    <w:multiLevelType w:val="hybridMultilevel"/>
    <w:tmpl w:val="90D0E0DC"/>
    <w:lvl w:ilvl="0" w:tplc="04090001">
      <w:start w:val="1"/>
      <w:numFmt w:val="bullet"/>
      <w:lvlText w:val=""/>
      <w:lvlJc w:val="left"/>
      <w:pPr>
        <w:ind w:left="1429" w:hanging="360"/>
      </w:pPr>
      <w:rPr>
        <w:rFonts w:ascii="Symbol" w:hAnsi="Symbol"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41">
    <w:nsid w:val="336146BE"/>
    <w:multiLevelType w:val="hybridMultilevel"/>
    <w:tmpl w:val="5E22D7AE"/>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2">
    <w:nsid w:val="33AA362D"/>
    <w:multiLevelType w:val="hybridMultilevel"/>
    <w:tmpl w:val="59AC80C8"/>
    <w:lvl w:ilvl="0" w:tplc="0409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3">
    <w:nsid w:val="366B7772"/>
    <w:multiLevelType w:val="hybridMultilevel"/>
    <w:tmpl w:val="68A4CAFE"/>
    <w:lvl w:ilvl="0" w:tplc="0409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4">
    <w:nsid w:val="3BA84D32"/>
    <w:multiLevelType w:val="hybridMultilevel"/>
    <w:tmpl w:val="7004BD26"/>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5">
    <w:nsid w:val="3BD50B1E"/>
    <w:multiLevelType w:val="hybridMultilevel"/>
    <w:tmpl w:val="750606E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3BFC6599"/>
    <w:multiLevelType w:val="hybridMultilevel"/>
    <w:tmpl w:val="1256C490"/>
    <w:lvl w:ilvl="0" w:tplc="F2BA87D8">
      <w:start w:val="3"/>
      <w:numFmt w:val="bullet"/>
      <w:lvlText w:val="-"/>
      <w:lvlJc w:val="left"/>
      <w:pPr>
        <w:ind w:left="990" w:hanging="360"/>
      </w:pPr>
      <w:rPr>
        <w:rFonts w:ascii="Times New Roman" w:eastAsia="Times New Roman" w:hAnsi="Times New Roman" w:cs="Times New Roman" w:hint="default"/>
      </w:rPr>
    </w:lvl>
    <w:lvl w:ilvl="1" w:tplc="04180003">
      <w:start w:val="1"/>
      <w:numFmt w:val="bullet"/>
      <w:lvlText w:val="o"/>
      <w:lvlJc w:val="left"/>
      <w:pPr>
        <w:ind w:left="1710" w:hanging="360"/>
      </w:pPr>
      <w:rPr>
        <w:rFonts w:ascii="Courier New" w:hAnsi="Courier New" w:cs="Courier New" w:hint="default"/>
      </w:rPr>
    </w:lvl>
    <w:lvl w:ilvl="2" w:tplc="04180005" w:tentative="1">
      <w:start w:val="1"/>
      <w:numFmt w:val="bullet"/>
      <w:lvlText w:val=""/>
      <w:lvlJc w:val="left"/>
      <w:pPr>
        <w:ind w:left="2430" w:hanging="360"/>
      </w:pPr>
      <w:rPr>
        <w:rFonts w:ascii="Wingdings" w:hAnsi="Wingdings" w:hint="default"/>
      </w:rPr>
    </w:lvl>
    <w:lvl w:ilvl="3" w:tplc="04180001" w:tentative="1">
      <w:start w:val="1"/>
      <w:numFmt w:val="bullet"/>
      <w:lvlText w:val=""/>
      <w:lvlJc w:val="left"/>
      <w:pPr>
        <w:ind w:left="3150" w:hanging="360"/>
      </w:pPr>
      <w:rPr>
        <w:rFonts w:ascii="Symbol" w:hAnsi="Symbol" w:hint="default"/>
      </w:rPr>
    </w:lvl>
    <w:lvl w:ilvl="4" w:tplc="04180003" w:tentative="1">
      <w:start w:val="1"/>
      <w:numFmt w:val="bullet"/>
      <w:lvlText w:val="o"/>
      <w:lvlJc w:val="left"/>
      <w:pPr>
        <w:ind w:left="3870" w:hanging="360"/>
      </w:pPr>
      <w:rPr>
        <w:rFonts w:ascii="Courier New" w:hAnsi="Courier New" w:cs="Courier New" w:hint="default"/>
      </w:rPr>
    </w:lvl>
    <w:lvl w:ilvl="5" w:tplc="04180005" w:tentative="1">
      <w:start w:val="1"/>
      <w:numFmt w:val="bullet"/>
      <w:lvlText w:val=""/>
      <w:lvlJc w:val="left"/>
      <w:pPr>
        <w:ind w:left="4590" w:hanging="360"/>
      </w:pPr>
      <w:rPr>
        <w:rFonts w:ascii="Wingdings" w:hAnsi="Wingdings" w:hint="default"/>
      </w:rPr>
    </w:lvl>
    <w:lvl w:ilvl="6" w:tplc="04180001" w:tentative="1">
      <w:start w:val="1"/>
      <w:numFmt w:val="bullet"/>
      <w:lvlText w:val=""/>
      <w:lvlJc w:val="left"/>
      <w:pPr>
        <w:ind w:left="5310" w:hanging="360"/>
      </w:pPr>
      <w:rPr>
        <w:rFonts w:ascii="Symbol" w:hAnsi="Symbol" w:hint="default"/>
      </w:rPr>
    </w:lvl>
    <w:lvl w:ilvl="7" w:tplc="04180003" w:tentative="1">
      <w:start w:val="1"/>
      <w:numFmt w:val="bullet"/>
      <w:lvlText w:val="o"/>
      <w:lvlJc w:val="left"/>
      <w:pPr>
        <w:ind w:left="6030" w:hanging="360"/>
      </w:pPr>
      <w:rPr>
        <w:rFonts w:ascii="Courier New" w:hAnsi="Courier New" w:cs="Courier New" w:hint="default"/>
      </w:rPr>
    </w:lvl>
    <w:lvl w:ilvl="8" w:tplc="04180005" w:tentative="1">
      <w:start w:val="1"/>
      <w:numFmt w:val="bullet"/>
      <w:lvlText w:val=""/>
      <w:lvlJc w:val="left"/>
      <w:pPr>
        <w:ind w:left="6750" w:hanging="360"/>
      </w:pPr>
      <w:rPr>
        <w:rFonts w:ascii="Wingdings" w:hAnsi="Wingdings" w:hint="default"/>
      </w:rPr>
    </w:lvl>
  </w:abstractNum>
  <w:abstractNum w:abstractNumId="47">
    <w:nsid w:val="3C3A3376"/>
    <w:multiLevelType w:val="hybridMultilevel"/>
    <w:tmpl w:val="6D52847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C5D7479"/>
    <w:multiLevelType w:val="hybridMultilevel"/>
    <w:tmpl w:val="34B2EF8A"/>
    <w:lvl w:ilvl="0" w:tplc="04180001">
      <w:start w:val="1"/>
      <w:numFmt w:val="bullet"/>
      <w:lvlText w:val=""/>
      <w:lvlJc w:val="left"/>
      <w:pPr>
        <w:ind w:left="1485" w:hanging="360"/>
      </w:pPr>
      <w:rPr>
        <w:rFonts w:ascii="Symbol" w:hAnsi="Symbol" w:hint="default"/>
      </w:rPr>
    </w:lvl>
    <w:lvl w:ilvl="1" w:tplc="04180003" w:tentative="1">
      <w:start w:val="1"/>
      <w:numFmt w:val="bullet"/>
      <w:lvlText w:val="o"/>
      <w:lvlJc w:val="left"/>
      <w:pPr>
        <w:ind w:left="2205" w:hanging="360"/>
      </w:pPr>
      <w:rPr>
        <w:rFonts w:ascii="Courier New" w:hAnsi="Courier New" w:cs="Courier New" w:hint="default"/>
      </w:rPr>
    </w:lvl>
    <w:lvl w:ilvl="2" w:tplc="04180005" w:tentative="1">
      <w:start w:val="1"/>
      <w:numFmt w:val="bullet"/>
      <w:lvlText w:val=""/>
      <w:lvlJc w:val="left"/>
      <w:pPr>
        <w:ind w:left="2925" w:hanging="360"/>
      </w:pPr>
      <w:rPr>
        <w:rFonts w:ascii="Wingdings" w:hAnsi="Wingdings" w:hint="default"/>
      </w:rPr>
    </w:lvl>
    <w:lvl w:ilvl="3" w:tplc="04180001" w:tentative="1">
      <w:start w:val="1"/>
      <w:numFmt w:val="bullet"/>
      <w:lvlText w:val=""/>
      <w:lvlJc w:val="left"/>
      <w:pPr>
        <w:ind w:left="3645" w:hanging="360"/>
      </w:pPr>
      <w:rPr>
        <w:rFonts w:ascii="Symbol" w:hAnsi="Symbol" w:hint="default"/>
      </w:rPr>
    </w:lvl>
    <w:lvl w:ilvl="4" w:tplc="04180003" w:tentative="1">
      <w:start w:val="1"/>
      <w:numFmt w:val="bullet"/>
      <w:lvlText w:val="o"/>
      <w:lvlJc w:val="left"/>
      <w:pPr>
        <w:ind w:left="4365" w:hanging="360"/>
      </w:pPr>
      <w:rPr>
        <w:rFonts w:ascii="Courier New" w:hAnsi="Courier New" w:cs="Courier New" w:hint="default"/>
      </w:rPr>
    </w:lvl>
    <w:lvl w:ilvl="5" w:tplc="04180005" w:tentative="1">
      <w:start w:val="1"/>
      <w:numFmt w:val="bullet"/>
      <w:lvlText w:val=""/>
      <w:lvlJc w:val="left"/>
      <w:pPr>
        <w:ind w:left="5085" w:hanging="360"/>
      </w:pPr>
      <w:rPr>
        <w:rFonts w:ascii="Wingdings" w:hAnsi="Wingdings" w:hint="default"/>
      </w:rPr>
    </w:lvl>
    <w:lvl w:ilvl="6" w:tplc="04180001" w:tentative="1">
      <w:start w:val="1"/>
      <w:numFmt w:val="bullet"/>
      <w:lvlText w:val=""/>
      <w:lvlJc w:val="left"/>
      <w:pPr>
        <w:ind w:left="5805" w:hanging="360"/>
      </w:pPr>
      <w:rPr>
        <w:rFonts w:ascii="Symbol" w:hAnsi="Symbol" w:hint="default"/>
      </w:rPr>
    </w:lvl>
    <w:lvl w:ilvl="7" w:tplc="04180003" w:tentative="1">
      <w:start w:val="1"/>
      <w:numFmt w:val="bullet"/>
      <w:lvlText w:val="o"/>
      <w:lvlJc w:val="left"/>
      <w:pPr>
        <w:ind w:left="6525" w:hanging="360"/>
      </w:pPr>
      <w:rPr>
        <w:rFonts w:ascii="Courier New" w:hAnsi="Courier New" w:cs="Courier New" w:hint="default"/>
      </w:rPr>
    </w:lvl>
    <w:lvl w:ilvl="8" w:tplc="04180005" w:tentative="1">
      <w:start w:val="1"/>
      <w:numFmt w:val="bullet"/>
      <w:lvlText w:val=""/>
      <w:lvlJc w:val="left"/>
      <w:pPr>
        <w:ind w:left="7245" w:hanging="360"/>
      </w:pPr>
      <w:rPr>
        <w:rFonts w:ascii="Wingdings" w:hAnsi="Wingdings" w:hint="default"/>
      </w:rPr>
    </w:lvl>
  </w:abstractNum>
  <w:abstractNum w:abstractNumId="49">
    <w:nsid w:val="3DFB101E"/>
    <w:multiLevelType w:val="hybridMultilevel"/>
    <w:tmpl w:val="EFAC49BC"/>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0">
    <w:nsid w:val="45807A72"/>
    <w:multiLevelType w:val="hybridMultilevel"/>
    <w:tmpl w:val="706C4A8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8B63CB5"/>
    <w:multiLevelType w:val="hybridMultilevel"/>
    <w:tmpl w:val="BFD6E4C6"/>
    <w:lvl w:ilvl="0" w:tplc="4702A734">
      <w:start w:val="1"/>
      <w:numFmt w:val="upp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2">
    <w:nsid w:val="4B554BCA"/>
    <w:multiLevelType w:val="hybridMultilevel"/>
    <w:tmpl w:val="9AC6041C"/>
    <w:lvl w:ilvl="0" w:tplc="197283EC">
      <w:start w:val="1"/>
      <w:numFmt w:val="bullet"/>
      <w:lvlText w:val=""/>
      <w:lvlJc w:val="left"/>
      <w:pPr>
        <w:tabs>
          <w:tab w:val="num" w:pos="720"/>
        </w:tabs>
        <w:ind w:left="720" w:hanging="360"/>
      </w:pPr>
      <w:rPr>
        <w:rFonts w:ascii="Wingdings" w:hAnsi="Wingdings" w:hint="default"/>
      </w:rPr>
    </w:lvl>
    <w:lvl w:ilvl="1" w:tplc="6FBA9DC4">
      <w:start w:val="1"/>
      <w:numFmt w:val="bullet"/>
      <w:lvlText w:val=""/>
      <w:lvlJc w:val="left"/>
      <w:pPr>
        <w:tabs>
          <w:tab w:val="num" w:pos="1440"/>
        </w:tabs>
        <w:ind w:left="1440" w:hanging="360"/>
      </w:pPr>
      <w:rPr>
        <w:rFonts w:ascii="Wingdings" w:hAnsi="Wingdings" w:hint="default"/>
      </w:rPr>
    </w:lvl>
    <w:lvl w:ilvl="2" w:tplc="FCD40D28" w:tentative="1">
      <w:start w:val="1"/>
      <w:numFmt w:val="bullet"/>
      <w:lvlText w:val=""/>
      <w:lvlJc w:val="left"/>
      <w:pPr>
        <w:tabs>
          <w:tab w:val="num" w:pos="2160"/>
        </w:tabs>
        <w:ind w:left="2160" w:hanging="360"/>
      </w:pPr>
      <w:rPr>
        <w:rFonts w:ascii="Wingdings" w:hAnsi="Wingdings" w:hint="default"/>
      </w:rPr>
    </w:lvl>
    <w:lvl w:ilvl="3" w:tplc="3CAAB9DE" w:tentative="1">
      <w:start w:val="1"/>
      <w:numFmt w:val="bullet"/>
      <w:lvlText w:val=""/>
      <w:lvlJc w:val="left"/>
      <w:pPr>
        <w:tabs>
          <w:tab w:val="num" w:pos="2880"/>
        </w:tabs>
        <w:ind w:left="2880" w:hanging="360"/>
      </w:pPr>
      <w:rPr>
        <w:rFonts w:ascii="Wingdings" w:hAnsi="Wingdings" w:hint="default"/>
      </w:rPr>
    </w:lvl>
    <w:lvl w:ilvl="4" w:tplc="0040DCDA" w:tentative="1">
      <w:start w:val="1"/>
      <w:numFmt w:val="bullet"/>
      <w:lvlText w:val=""/>
      <w:lvlJc w:val="left"/>
      <w:pPr>
        <w:tabs>
          <w:tab w:val="num" w:pos="3600"/>
        </w:tabs>
        <w:ind w:left="3600" w:hanging="360"/>
      </w:pPr>
      <w:rPr>
        <w:rFonts w:ascii="Wingdings" w:hAnsi="Wingdings" w:hint="default"/>
      </w:rPr>
    </w:lvl>
    <w:lvl w:ilvl="5" w:tplc="358206F4" w:tentative="1">
      <w:start w:val="1"/>
      <w:numFmt w:val="bullet"/>
      <w:lvlText w:val=""/>
      <w:lvlJc w:val="left"/>
      <w:pPr>
        <w:tabs>
          <w:tab w:val="num" w:pos="4320"/>
        </w:tabs>
        <w:ind w:left="4320" w:hanging="360"/>
      </w:pPr>
      <w:rPr>
        <w:rFonts w:ascii="Wingdings" w:hAnsi="Wingdings" w:hint="default"/>
      </w:rPr>
    </w:lvl>
    <w:lvl w:ilvl="6" w:tplc="26E6BD64" w:tentative="1">
      <w:start w:val="1"/>
      <w:numFmt w:val="bullet"/>
      <w:lvlText w:val=""/>
      <w:lvlJc w:val="left"/>
      <w:pPr>
        <w:tabs>
          <w:tab w:val="num" w:pos="5040"/>
        </w:tabs>
        <w:ind w:left="5040" w:hanging="360"/>
      </w:pPr>
      <w:rPr>
        <w:rFonts w:ascii="Wingdings" w:hAnsi="Wingdings" w:hint="default"/>
      </w:rPr>
    </w:lvl>
    <w:lvl w:ilvl="7" w:tplc="1E1C6838" w:tentative="1">
      <w:start w:val="1"/>
      <w:numFmt w:val="bullet"/>
      <w:lvlText w:val=""/>
      <w:lvlJc w:val="left"/>
      <w:pPr>
        <w:tabs>
          <w:tab w:val="num" w:pos="5760"/>
        </w:tabs>
        <w:ind w:left="5760" w:hanging="360"/>
      </w:pPr>
      <w:rPr>
        <w:rFonts w:ascii="Wingdings" w:hAnsi="Wingdings" w:hint="default"/>
      </w:rPr>
    </w:lvl>
    <w:lvl w:ilvl="8" w:tplc="B1C69298" w:tentative="1">
      <w:start w:val="1"/>
      <w:numFmt w:val="bullet"/>
      <w:lvlText w:val=""/>
      <w:lvlJc w:val="left"/>
      <w:pPr>
        <w:tabs>
          <w:tab w:val="num" w:pos="6480"/>
        </w:tabs>
        <w:ind w:left="6480" w:hanging="360"/>
      </w:pPr>
      <w:rPr>
        <w:rFonts w:ascii="Wingdings" w:hAnsi="Wingdings" w:hint="default"/>
      </w:rPr>
    </w:lvl>
  </w:abstractNum>
  <w:abstractNum w:abstractNumId="53">
    <w:nsid w:val="4C244A56"/>
    <w:multiLevelType w:val="hybridMultilevel"/>
    <w:tmpl w:val="1B7E05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4C371E30"/>
    <w:multiLevelType w:val="hybridMultilevel"/>
    <w:tmpl w:val="82380936"/>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5">
    <w:nsid w:val="4D0A3E98"/>
    <w:multiLevelType w:val="hybridMultilevel"/>
    <w:tmpl w:val="3192F70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53983951"/>
    <w:multiLevelType w:val="hybridMultilevel"/>
    <w:tmpl w:val="3594DC9C"/>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55724A37"/>
    <w:multiLevelType w:val="hybridMultilevel"/>
    <w:tmpl w:val="DD42E224"/>
    <w:lvl w:ilvl="0" w:tplc="0409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8">
    <w:nsid w:val="55BF5404"/>
    <w:multiLevelType w:val="hybridMultilevel"/>
    <w:tmpl w:val="BEF41CC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7FC1452"/>
    <w:multiLevelType w:val="hybridMultilevel"/>
    <w:tmpl w:val="7160E86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0">
    <w:nsid w:val="5A8E4C53"/>
    <w:multiLevelType w:val="hybridMultilevel"/>
    <w:tmpl w:val="ACFEF7C0"/>
    <w:lvl w:ilvl="0" w:tplc="232832B4">
      <w:start w:val="1"/>
      <w:numFmt w:val="bullet"/>
      <w:lvlText w:val="•"/>
      <w:lvlJc w:val="left"/>
      <w:pPr>
        <w:tabs>
          <w:tab w:val="num" w:pos="720"/>
        </w:tabs>
        <w:ind w:left="720" w:hanging="360"/>
      </w:pPr>
      <w:rPr>
        <w:rFonts w:ascii="Times New Roman" w:hAnsi="Times New Roman" w:hint="default"/>
      </w:rPr>
    </w:lvl>
    <w:lvl w:ilvl="1" w:tplc="9FC26402" w:tentative="1">
      <w:start w:val="1"/>
      <w:numFmt w:val="bullet"/>
      <w:lvlText w:val="•"/>
      <w:lvlJc w:val="left"/>
      <w:pPr>
        <w:tabs>
          <w:tab w:val="num" w:pos="1440"/>
        </w:tabs>
        <w:ind w:left="1440" w:hanging="360"/>
      </w:pPr>
      <w:rPr>
        <w:rFonts w:ascii="Times New Roman" w:hAnsi="Times New Roman" w:hint="default"/>
      </w:rPr>
    </w:lvl>
    <w:lvl w:ilvl="2" w:tplc="2ECC9884" w:tentative="1">
      <w:start w:val="1"/>
      <w:numFmt w:val="bullet"/>
      <w:lvlText w:val="•"/>
      <w:lvlJc w:val="left"/>
      <w:pPr>
        <w:tabs>
          <w:tab w:val="num" w:pos="2160"/>
        </w:tabs>
        <w:ind w:left="2160" w:hanging="360"/>
      </w:pPr>
      <w:rPr>
        <w:rFonts w:ascii="Times New Roman" w:hAnsi="Times New Roman" w:hint="default"/>
      </w:rPr>
    </w:lvl>
    <w:lvl w:ilvl="3" w:tplc="9140D16C" w:tentative="1">
      <w:start w:val="1"/>
      <w:numFmt w:val="bullet"/>
      <w:lvlText w:val="•"/>
      <w:lvlJc w:val="left"/>
      <w:pPr>
        <w:tabs>
          <w:tab w:val="num" w:pos="2880"/>
        </w:tabs>
        <w:ind w:left="2880" w:hanging="360"/>
      </w:pPr>
      <w:rPr>
        <w:rFonts w:ascii="Times New Roman" w:hAnsi="Times New Roman" w:hint="default"/>
      </w:rPr>
    </w:lvl>
    <w:lvl w:ilvl="4" w:tplc="D77E8B10" w:tentative="1">
      <w:start w:val="1"/>
      <w:numFmt w:val="bullet"/>
      <w:lvlText w:val="•"/>
      <w:lvlJc w:val="left"/>
      <w:pPr>
        <w:tabs>
          <w:tab w:val="num" w:pos="3600"/>
        </w:tabs>
        <w:ind w:left="3600" w:hanging="360"/>
      </w:pPr>
      <w:rPr>
        <w:rFonts w:ascii="Times New Roman" w:hAnsi="Times New Roman" w:hint="default"/>
      </w:rPr>
    </w:lvl>
    <w:lvl w:ilvl="5" w:tplc="725A7206" w:tentative="1">
      <w:start w:val="1"/>
      <w:numFmt w:val="bullet"/>
      <w:lvlText w:val="•"/>
      <w:lvlJc w:val="left"/>
      <w:pPr>
        <w:tabs>
          <w:tab w:val="num" w:pos="4320"/>
        </w:tabs>
        <w:ind w:left="4320" w:hanging="360"/>
      </w:pPr>
      <w:rPr>
        <w:rFonts w:ascii="Times New Roman" w:hAnsi="Times New Roman" w:hint="default"/>
      </w:rPr>
    </w:lvl>
    <w:lvl w:ilvl="6" w:tplc="EE4EAA4A" w:tentative="1">
      <w:start w:val="1"/>
      <w:numFmt w:val="bullet"/>
      <w:lvlText w:val="•"/>
      <w:lvlJc w:val="left"/>
      <w:pPr>
        <w:tabs>
          <w:tab w:val="num" w:pos="5040"/>
        </w:tabs>
        <w:ind w:left="5040" w:hanging="360"/>
      </w:pPr>
      <w:rPr>
        <w:rFonts w:ascii="Times New Roman" w:hAnsi="Times New Roman" w:hint="default"/>
      </w:rPr>
    </w:lvl>
    <w:lvl w:ilvl="7" w:tplc="5A76D03E" w:tentative="1">
      <w:start w:val="1"/>
      <w:numFmt w:val="bullet"/>
      <w:lvlText w:val="•"/>
      <w:lvlJc w:val="left"/>
      <w:pPr>
        <w:tabs>
          <w:tab w:val="num" w:pos="5760"/>
        </w:tabs>
        <w:ind w:left="5760" w:hanging="360"/>
      </w:pPr>
      <w:rPr>
        <w:rFonts w:ascii="Times New Roman" w:hAnsi="Times New Roman" w:hint="default"/>
      </w:rPr>
    </w:lvl>
    <w:lvl w:ilvl="8" w:tplc="5C16290E" w:tentative="1">
      <w:start w:val="1"/>
      <w:numFmt w:val="bullet"/>
      <w:lvlText w:val="•"/>
      <w:lvlJc w:val="left"/>
      <w:pPr>
        <w:tabs>
          <w:tab w:val="num" w:pos="6480"/>
        </w:tabs>
        <w:ind w:left="6480" w:hanging="360"/>
      </w:pPr>
      <w:rPr>
        <w:rFonts w:ascii="Times New Roman" w:hAnsi="Times New Roman" w:hint="default"/>
      </w:rPr>
    </w:lvl>
  </w:abstractNum>
  <w:abstractNum w:abstractNumId="61">
    <w:nsid w:val="5BC570F4"/>
    <w:multiLevelType w:val="hybridMultilevel"/>
    <w:tmpl w:val="14BCF4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DD46917"/>
    <w:multiLevelType w:val="hybridMultilevel"/>
    <w:tmpl w:val="E740477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nsid w:val="645B42AA"/>
    <w:multiLevelType w:val="hybridMultilevel"/>
    <w:tmpl w:val="5CCA36DE"/>
    <w:lvl w:ilvl="0" w:tplc="699AA52C">
      <w:start w:val="1"/>
      <w:numFmt w:val="bullet"/>
      <w:lvlText w:val=""/>
      <w:lvlJc w:val="left"/>
      <w:pPr>
        <w:tabs>
          <w:tab w:val="num" w:pos="720"/>
        </w:tabs>
        <w:ind w:left="720" w:hanging="360"/>
      </w:pPr>
      <w:rPr>
        <w:rFonts w:ascii="Wingdings" w:hAnsi="Wingdings" w:hint="default"/>
      </w:rPr>
    </w:lvl>
    <w:lvl w:ilvl="1" w:tplc="2DEAE700">
      <w:start w:val="1"/>
      <w:numFmt w:val="bullet"/>
      <w:lvlText w:val=""/>
      <w:lvlJc w:val="left"/>
      <w:pPr>
        <w:tabs>
          <w:tab w:val="num" w:pos="1440"/>
        </w:tabs>
        <w:ind w:left="1440" w:hanging="360"/>
      </w:pPr>
      <w:rPr>
        <w:rFonts w:ascii="Wingdings" w:hAnsi="Wingdings" w:hint="default"/>
      </w:rPr>
    </w:lvl>
    <w:lvl w:ilvl="2" w:tplc="7B20096C" w:tentative="1">
      <w:start w:val="1"/>
      <w:numFmt w:val="bullet"/>
      <w:lvlText w:val=""/>
      <w:lvlJc w:val="left"/>
      <w:pPr>
        <w:tabs>
          <w:tab w:val="num" w:pos="2160"/>
        </w:tabs>
        <w:ind w:left="2160" w:hanging="360"/>
      </w:pPr>
      <w:rPr>
        <w:rFonts w:ascii="Wingdings" w:hAnsi="Wingdings" w:hint="default"/>
      </w:rPr>
    </w:lvl>
    <w:lvl w:ilvl="3" w:tplc="EB6E57EC" w:tentative="1">
      <w:start w:val="1"/>
      <w:numFmt w:val="bullet"/>
      <w:lvlText w:val=""/>
      <w:lvlJc w:val="left"/>
      <w:pPr>
        <w:tabs>
          <w:tab w:val="num" w:pos="2880"/>
        </w:tabs>
        <w:ind w:left="2880" w:hanging="360"/>
      </w:pPr>
      <w:rPr>
        <w:rFonts w:ascii="Wingdings" w:hAnsi="Wingdings" w:hint="default"/>
      </w:rPr>
    </w:lvl>
    <w:lvl w:ilvl="4" w:tplc="60C498C6" w:tentative="1">
      <w:start w:val="1"/>
      <w:numFmt w:val="bullet"/>
      <w:lvlText w:val=""/>
      <w:lvlJc w:val="left"/>
      <w:pPr>
        <w:tabs>
          <w:tab w:val="num" w:pos="3600"/>
        </w:tabs>
        <w:ind w:left="3600" w:hanging="360"/>
      </w:pPr>
      <w:rPr>
        <w:rFonts w:ascii="Wingdings" w:hAnsi="Wingdings" w:hint="default"/>
      </w:rPr>
    </w:lvl>
    <w:lvl w:ilvl="5" w:tplc="784C9928" w:tentative="1">
      <w:start w:val="1"/>
      <w:numFmt w:val="bullet"/>
      <w:lvlText w:val=""/>
      <w:lvlJc w:val="left"/>
      <w:pPr>
        <w:tabs>
          <w:tab w:val="num" w:pos="4320"/>
        </w:tabs>
        <w:ind w:left="4320" w:hanging="360"/>
      </w:pPr>
      <w:rPr>
        <w:rFonts w:ascii="Wingdings" w:hAnsi="Wingdings" w:hint="default"/>
      </w:rPr>
    </w:lvl>
    <w:lvl w:ilvl="6" w:tplc="370C4066" w:tentative="1">
      <w:start w:val="1"/>
      <w:numFmt w:val="bullet"/>
      <w:lvlText w:val=""/>
      <w:lvlJc w:val="left"/>
      <w:pPr>
        <w:tabs>
          <w:tab w:val="num" w:pos="5040"/>
        </w:tabs>
        <w:ind w:left="5040" w:hanging="360"/>
      </w:pPr>
      <w:rPr>
        <w:rFonts w:ascii="Wingdings" w:hAnsi="Wingdings" w:hint="default"/>
      </w:rPr>
    </w:lvl>
    <w:lvl w:ilvl="7" w:tplc="D59A03A8" w:tentative="1">
      <w:start w:val="1"/>
      <w:numFmt w:val="bullet"/>
      <w:lvlText w:val=""/>
      <w:lvlJc w:val="left"/>
      <w:pPr>
        <w:tabs>
          <w:tab w:val="num" w:pos="5760"/>
        </w:tabs>
        <w:ind w:left="5760" w:hanging="360"/>
      </w:pPr>
      <w:rPr>
        <w:rFonts w:ascii="Wingdings" w:hAnsi="Wingdings" w:hint="default"/>
      </w:rPr>
    </w:lvl>
    <w:lvl w:ilvl="8" w:tplc="93D4A8CE" w:tentative="1">
      <w:start w:val="1"/>
      <w:numFmt w:val="bullet"/>
      <w:lvlText w:val=""/>
      <w:lvlJc w:val="left"/>
      <w:pPr>
        <w:tabs>
          <w:tab w:val="num" w:pos="6480"/>
        </w:tabs>
        <w:ind w:left="6480" w:hanging="360"/>
      </w:pPr>
      <w:rPr>
        <w:rFonts w:ascii="Wingdings" w:hAnsi="Wingdings" w:hint="default"/>
      </w:rPr>
    </w:lvl>
  </w:abstractNum>
  <w:abstractNum w:abstractNumId="64">
    <w:nsid w:val="64E74B08"/>
    <w:multiLevelType w:val="hybridMultilevel"/>
    <w:tmpl w:val="343C59A6"/>
    <w:lvl w:ilvl="0" w:tplc="0409000B">
      <w:start w:val="1"/>
      <w:numFmt w:val="bullet"/>
      <w:lvlText w:val=""/>
      <w:lvlJc w:val="left"/>
      <w:pPr>
        <w:ind w:left="1080" w:hanging="360"/>
      </w:pPr>
      <w:rPr>
        <w:rFonts w:ascii="Wingdings" w:hAnsi="Wingdings" w:hint="default"/>
      </w:rPr>
    </w:lvl>
    <w:lvl w:ilvl="1" w:tplc="B25E32DA">
      <w:start w:val="10"/>
      <w:numFmt w:val="bullet"/>
      <w:lvlText w:val="•"/>
      <w:lvlJc w:val="left"/>
      <w:pPr>
        <w:ind w:left="1800" w:hanging="360"/>
      </w:pPr>
      <w:rPr>
        <w:rFonts w:ascii="Arial" w:eastAsia="Times New Roman" w:hAnsi="Arial"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nsid w:val="66824469"/>
    <w:multiLevelType w:val="hybridMultilevel"/>
    <w:tmpl w:val="4E826644"/>
    <w:lvl w:ilvl="0" w:tplc="D41CD16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7E17AF5"/>
    <w:multiLevelType w:val="hybridMultilevel"/>
    <w:tmpl w:val="75C69A9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7F27AC1"/>
    <w:multiLevelType w:val="hybridMultilevel"/>
    <w:tmpl w:val="57B8C796"/>
    <w:lvl w:ilvl="0" w:tplc="04090003">
      <w:start w:val="1"/>
      <w:numFmt w:val="bullet"/>
      <w:lvlText w:val="o"/>
      <w:lvlJc w:val="left"/>
      <w:pPr>
        <w:ind w:left="2160" w:hanging="360"/>
      </w:pPr>
      <w:rPr>
        <w:rFonts w:ascii="Courier New" w:hAnsi="Courier New" w:cs="Courier New" w:hint="default"/>
      </w:rPr>
    </w:lvl>
    <w:lvl w:ilvl="1" w:tplc="04180003" w:tentative="1">
      <w:start w:val="1"/>
      <w:numFmt w:val="bullet"/>
      <w:lvlText w:val="o"/>
      <w:lvlJc w:val="left"/>
      <w:pPr>
        <w:ind w:left="2880" w:hanging="360"/>
      </w:pPr>
      <w:rPr>
        <w:rFonts w:ascii="Courier New" w:hAnsi="Courier New" w:cs="Courier New" w:hint="default"/>
      </w:rPr>
    </w:lvl>
    <w:lvl w:ilvl="2" w:tplc="04180005" w:tentative="1">
      <w:start w:val="1"/>
      <w:numFmt w:val="bullet"/>
      <w:lvlText w:val=""/>
      <w:lvlJc w:val="left"/>
      <w:pPr>
        <w:ind w:left="3600" w:hanging="360"/>
      </w:pPr>
      <w:rPr>
        <w:rFonts w:ascii="Wingdings" w:hAnsi="Wingdings" w:hint="default"/>
      </w:rPr>
    </w:lvl>
    <w:lvl w:ilvl="3" w:tplc="04180001" w:tentative="1">
      <w:start w:val="1"/>
      <w:numFmt w:val="bullet"/>
      <w:lvlText w:val=""/>
      <w:lvlJc w:val="left"/>
      <w:pPr>
        <w:ind w:left="4320" w:hanging="360"/>
      </w:pPr>
      <w:rPr>
        <w:rFonts w:ascii="Symbol" w:hAnsi="Symbol" w:hint="default"/>
      </w:rPr>
    </w:lvl>
    <w:lvl w:ilvl="4" w:tplc="04180003" w:tentative="1">
      <w:start w:val="1"/>
      <w:numFmt w:val="bullet"/>
      <w:lvlText w:val="o"/>
      <w:lvlJc w:val="left"/>
      <w:pPr>
        <w:ind w:left="5040" w:hanging="360"/>
      </w:pPr>
      <w:rPr>
        <w:rFonts w:ascii="Courier New" w:hAnsi="Courier New" w:cs="Courier New" w:hint="default"/>
      </w:rPr>
    </w:lvl>
    <w:lvl w:ilvl="5" w:tplc="04180005" w:tentative="1">
      <w:start w:val="1"/>
      <w:numFmt w:val="bullet"/>
      <w:lvlText w:val=""/>
      <w:lvlJc w:val="left"/>
      <w:pPr>
        <w:ind w:left="5760" w:hanging="360"/>
      </w:pPr>
      <w:rPr>
        <w:rFonts w:ascii="Wingdings" w:hAnsi="Wingdings" w:hint="default"/>
      </w:rPr>
    </w:lvl>
    <w:lvl w:ilvl="6" w:tplc="04180001" w:tentative="1">
      <w:start w:val="1"/>
      <w:numFmt w:val="bullet"/>
      <w:lvlText w:val=""/>
      <w:lvlJc w:val="left"/>
      <w:pPr>
        <w:ind w:left="6480" w:hanging="360"/>
      </w:pPr>
      <w:rPr>
        <w:rFonts w:ascii="Symbol" w:hAnsi="Symbol" w:hint="default"/>
      </w:rPr>
    </w:lvl>
    <w:lvl w:ilvl="7" w:tplc="04180003" w:tentative="1">
      <w:start w:val="1"/>
      <w:numFmt w:val="bullet"/>
      <w:lvlText w:val="o"/>
      <w:lvlJc w:val="left"/>
      <w:pPr>
        <w:ind w:left="7200" w:hanging="360"/>
      </w:pPr>
      <w:rPr>
        <w:rFonts w:ascii="Courier New" w:hAnsi="Courier New" w:cs="Courier New" w:hint="default"/>
      </w:rPr>
    </w:lvl>
    <w:lvl w:ilvl="8" w:tplc="04180005" w:tentative="1">
      <w:start w:val="1"/>
      <w:numFmt w:val="bullet"/>
      <w:lvlText w:val=""/>
      <w:lvlJc w:val="left"/>
      <w:pPr>
        <w:ind w:left="7920" w:hanging="360"/>
      </w:pPr>
      <w:rPr>
        <w:rFonts w:ascii="Wingdings" w:hAnsi="Wingdings" w:hint="default"/>
      </w:rPr>
    </w:lvl>
  </w:abstractNum>
  <w:abstractNum w:abstractNumId="68">
    <w:nsid w:val="6828250B"/>
    <w:multiLevelType w:val="hybridMultilevel"/>
    <w:tmpl w:val="4EAEDCC6"/>
    <w:lvl w:ilvl="0" w:tplc="32C65EA4">
      <w:start w:val="1"/>
      <w:numFmt w:val="upperRoman"/>
      <w:lvlText w:val="%1."/>
      <w:lvlJc w:val="left"/>
      <w:pPr>
        <w:ind w:left="1080" w:hanging="720"/>
      </w:pPr>
      <w:rPr>
        <w:rFonts w:ascii="Arial" w:eastAsia="Times New Roman" w:hAnsi="Arial" w:hint="default"/>
        <w:b/>
        <w:sz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9">
    <w:nsid w:val="684D15B2"/>
    <w:multiLevelType w:val="hybridMultilevel"/>
    <w:tmpl w:val="57F4A5D4"/>
    <w:lvl w:ilvl="0" w:tplc="63BA75FE">
      <w:start w:val="2"/>
      <w:numFmt w:val="bullet"/>
      <w:lvlText w:val="-"/>
      <w:lvlJc w:val="left"/>
      <w:pPr>
        <w:ind w:left="990" w:hanging="360"/>
      </w:pPr>
      <w:rPr>
        <w:rFonts w:ascii="Times New Roman" w:eastAsia="Times New Roman" w:hAnsi="Times New Roman" w:cs="Times New Roman" w:hint="default"/>
        <w:color w:val="auto"/>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0">
    <w:nsid w:val="6B3470DB"/>
    <w:multiLevelType w:val="hybridMultilevel"/>
    <w:tmpl w:val="A4C4A08C"/>
    <w:lvl w:ilvl="0" w:tplc="04090003">
      <w:start w:val="1"/>
      <w:numFmt w:val="bullet"/>
      <w:lvlText w:val="o"/>
      <w:lvlJc w:val="left"/>
      <w:pPr>
        <w:ind w:left="2160" w:hanging="360"/>
      </w:pPr>
      <w:rPr>
        <w:rFonts w:ascii="Courier New" w:hAnsi="Courier New" w:cs="Courier New" w:hint="default"/>
      </w:rPr>
    </w:lvl>
    <w:lvl w:ilvl="1" w:tplc="04180003" w:tentative="1">
      <w:start w:val="1"/>
      <w:numFmt w:val="bullet"/>
      <w:lvlText w:val="o"/>
      <w:lvlJc w:val="left"/>
      <w:pPr>
        <w:ind w:left="2880" w:hanging="360"/>
      </w:pPr>
      <w:rPr>
        <w:rFonts w:ascii="Courier New" w:hAnsi="Courier New" w:cs="Courier New" w:hint="default"/>
      </w:rPr>
    </w:lvl>
    <w:lvl w:ilvl="2" w:tplc="04180005" w:tentative="1">
      <w:start w:val="1"/>
      <w:numFmt w:val="bullet"/>
      <w:lvlText w:val=""/>
      <w:lvlJc w:val="left"/>
      <w:pPr>
        <w:ind w:left="3600" w:hanging="360"/>
      </w:pPr>
      <w:rPr>
        <w:rFonts w:ascii="Wingdings" w:hAnsi="Wingdings" w:hint="default"/>
      </w:rPr>
    </w:lvl>
    <w:lvl w:ilvl="3" w:tplc="04180001" w:tentative="1">
      <w:start w:val="1"/>
      <w:numFmt w:val="bullet"/>
      <w:lvlText w:val=""/>
      <w:lvlJc w:val="left"/>
      <w:pPr>
        <w:ind w:left="4320" w:hanging="360"/>
      </w:pPr>
      <w:rPr>
        <w:rFonts w:ascii="Symbol" w:hAnsi="Symbol" w:hint="default"/>
      </w:rPr>
    </w:lvl>
    <w:lvl w:ilvl="4" w:tplc="04180003" w:tentative="1">
      <w:start w:val="1"/>
      <w:numFmt w:val="bullet"/>
      <w:lvlText w:val="o"/>
      <w:lvlJc w:val="left"/>
      <w:pPr>
        <w:ind w:left="5040" w:hanging="360"/>
      </w:pPr>
      <w:rPr>
        <w:rFonts w:ascii="Courier New" w:hAnsi="Courier New" w:cs="Courier New" w:hint="default"/>
      </w:rPr>
    </w:lvl>
    <w:lvl w:ilvl="5" w:tplc="04180005" w:tentative="1">
      <w:start w:val="1"/>
      <w:numFmt w:val="bullet"/>
      <w:lvlText w:val=""/>
      <w:lvlJc w:val="left"/>
      <w:pPr>
        <w:ind w:left="5760" w:hanging="360"/>
      </w:pPr>
      <w:rPr>
        <w:rFonts w:ascii="Wingdings" w:hAnsi="Wingdings" w:hint="default"/>
      </w:rPr>
    </w:lvl>
    <w:lvl w:ilvl="6" w:tplc="04180001" w:tentative="1">
      <w:start w:val="1"/>
      <w:numFmt w:val="bullet"/>
      <w:lvlText w:val=""/>
      <w:lvlJc w:val="left"/>
      <w:pPr>
        <w:ind w:left="6480" w:hanging="360"/>
      </w:pPr>
      <w:rPr>
        <w:rFonts w:ascii="Symbol" w:hAnsi="Symbol" w:hint="default"/>
      </w:rPr>
    </w:lvl>
    <w:lvl w:ilvl="7" w:tplc="04180003" w:tentative="1">
      <w:start w:val="1"/>
      <w:numFmt w:val="bullet"/>
      <w:lvlText w:val="o"/>
      <w:lvlJc w:val="left"/>
      <w:pPr>
        <w:ind w:left="7200" w:hanging="360"/>
      </w:pPr>
      <w:rPr>
        <w:rFonts w:ascii="Courier New" w:hAnsi="Courier New" w:cs="Courier New" w:hint="default"/>
      </w:rPr>
    </w:lvl>
    <w:lvl w:ilvl="8" w:tplc="04180005" w:tentative="1">
      <w:start w:val="1"/>
      <w:numFmt w:val="bullet"/>
      <w:lvlText w:val=""/>
      <w:lvlJc w:val="left"/>
      <w:pPr>
        <w:ind w:left="7920" w:hanging="360"/>
      </w:pPr>
      <w:rPr>
        <w:rFonts w:ascii="Wingdings" w:hAnsi="Wingdings" w:hint="default"/>
      </w:rPr>
    </w:lvl>
  </w:abstractNum>
  <w:abstractNum w:abstractNumId="71">
    <w:nsid w:val="6BA038BC"/>
    <w:multiLevelType w:val="hybridMultilevel"/>
    <w:tmpl w:val="6C7A083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BF14223"/>
    <w:multiLevelType w:val="multilevel"/>
    <w:tmpl w:val="F272B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6D082A56"/>
    <w:multiLevelType w:val="hybridMultilevel"/>
    <w:tmpl w:val="B09E3A40"/>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4">
    <w:nsid w:val="6DF80581"/>
    <w:multiLevelType w:val="hybridMultilevel"/>
    <w:tmpl w:val="CD329D2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7088530C"/>
    <w:multiLevelType w:val="multilevel"/>
    <w:tmpl w:val="839209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70DB49FE"/>
    <w:multiLevelType w:val="hybridMultilevel"/>
    <w:tmpl w:val="C68C6866"/>
    <w:lvl w:ilvl="0" w:tplc="04090003">
      <w:start w:val="1"/>
      <w:numFmt w:val="bullet"/>
      <w:lvlText w:val="o"/>
      <w:lvlJc w:val="left"/>
      <w:pPr>
        <w:ind w:left="1004" w:hanging="360"/>
      </w:pPr>
      <w:rPr>
        <w:rFonts w:ascii="Courier New" w:hAnsi="Courier New" w:cs="Courier New" w:hint="default"/>
      </w:rPr>
    </w:lvl>
    <w:lvl w:ilvl="1" w:tplc="04180003" w:tentative="1">
      <w:start w:val="1"/>
      <w:numFmt w:val="bullet"/>
      <w:lvlText w:val="o"/>
      <w:lvlJc w:val="left"/>
      <w:pPr>
        <w:ind w:left="1724" w:hanging="360"/>
      </w:pPr>
      <w:rPr>
        <w:rFonts w:ascii="Courier New" w:hAnsi="Courier New" w:cs="Courier New" w:hint="default"/>
      </w:rPr>
    </w:lvl>
    <w:lvl w:ilvl="2" w:tplc="04180005" w:tentative="1">
      <w:start w:val="1"/>
      <w:numFmt w:val="bullet"/>
      <w:lvlText w:val=""/>
      <w:lvlJc w:val="left"/>
      <w:pPr>
        <w:ind w:left="2444" w:hanging="360"/>
      </w:pPr>
      <w:rPr>
        <w:rFonts w:ascii="Wingdings" w:hAnsi="Wingdings" w:hint="default"/>
      </w:rPr>
    </w:lvl>
    <w:lvl w:ilvl="3" w:tplc="04180001" w:tentative="1">
      <w:start w:val="1"/>
      <w:numFmt w:val="bullet"/>
      <w:lvlText w:val=""/>
      <w:lvlJc w:val="left"/>
      <w:pPr>
        <w:ind w:left="3164" w:hanging="360"/>
      </w:pPr>
      <w:rPr>
        <w:rFonts w:ascii="Symbol" w:hAnsi="Symbol" w:hint="default"/>
      </w:rPr>
    </w:lvl>
    <w:lvl w:ilvl="4" w:tplc="04180003" w:tentative="1">
      <w:start w:val="1"/>
      <w:numFmt w:val="bullet"/>
      <w:lvlText w:val="o"/>
      <w:lvlJc w:val="left"/>
      <w:pPr>
        <w:ind w:left="3884" w:hanging="360"/>
      </w:pPr>
      <w:rPr>
        <w:rFonts w:ascii="Courier New" w:hAnsi="Courier New" w:cs="Courier New" w:hint="default"/>
      </w:rPr>
    </w:lvl>
    <w:lvl w:ilvl="5" w:tplc="04180005" w:tentative="1">
      <w:start w:val="1"/>
      <w:numFmt w:val="bullet"/>
      <w:lvlText w:val=""/>
      <w:lvlJc w:val="left"/>
      <w:pPr>
        <w:ind w:left="4604" w:hanging="360"/>
      </w:pPr>
      <w:rPr>
        <w:rFonts w:ascii="Wingdings" w:hAnsi="Wingdings" w:hint="default"/>
      </w:rPr>
    </w:lvl>
    <w:lvl w:ilvl="6" w:tplc="04180001" w:tentative="1">
      <w:start w:val="1"/>
      <w:numFmt w:val="bullet"/>
      <w:lvlText w:val=""/>
      <w:lvlJc w:val="left"/>
      <w:pPr>
        <w:ind w:left="5324" w:hanging="360"/>
      </w:pPr>
      <w:rPr>
        <w:rFonts w:ascii="Symbol" w:hAnsi="Symbol" w:hint="default"/>
      </w:rPr>
    </w:lvl>
    <w:lvl w:ilvl="7" w:tplc="04180003" w:tentative="1">
      <w:start w:val="1"/>
      <w:numFmt w:val="bullet"/>
      <w:lvlText w:val="o"/>
      <w:lvlJc w:val="left"/>
      <w:pPr>
        <w:ind w:left="6044" w:hanging="360"/>
      </w:pPr>
      <w:rPr>
        <w:rFonts w:ascii="Courier New" w:hAnsi="Courier New" w:cs="Courier New" w:hint="default"/>
      </w:rPr>
    </w:lvl>
    <w:lvl w:ilvl="8" w:tplc="04180005" w:tentative="1">
      <w:start w:val="1"/>
      <w:numFmt w:val="bullet"/>
      <w:lvlText w:val=""/>
      <w:lvlJc w:val="left"/>
      <w:pPr>
        <w:ind w:left="6764" w:hanging="360"/>
      </w:pPr>
      <w:rPr>
        <w:rFonts w:ascii="Wingdings" w:hAnsi="Wingdings" w:hint="default"/>
      </w:rPr>
    </w:lvl>
  </w:abstractNum>
  <w:abstractNum w:abstractNumId="77">
    <w:nsid w:val="71341F87"/>
    <w:multiLevelType w:val="multilevel"/>
    <w:tmpl w:val="8C10A478"/>
    <w:lvl w:ilvl="0">
      <w:start w:val="1"/>
      <w:numFmt w:val="bullet"/>
      <w:lvlText w:val="■"/>
      <w:lvlJc w:val="left"/>
      <w:rPr>
        <w:rFonts w:ascii="Franklin Gothic Heavy" w:eastAsia="Franklin Gothic Heavy" w:hAnsi="Franklin Gothic Heavy" w:cs="Franklin Gothic Heavy"/>
        <w:b w:val="0"/>
        <w:bCs w:val="0"/>
        <w:i w:val="0"/>
        <w:iCs w:val="0"/>
        <w:smallCaps w:val="0"/>
        <w:strike w:val="0"/>
        <w:color w:val="000000"/>
        <w:spacing w:val="0"/>
        <w:w w:val="100"/>
        <w:position w:val="0"/>
        <w:sz w:val="20"/>
        <w:szCs w:val="20"/>
        <w:u w:val="none"/>
        <w:lang w:val="ro-RO" w:eastAsia="ro-RO" w:bidi="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nsid w:val="72822BB5"/>
    <w:multiLevelType w:val="hybridMultilevel"/>
    <w:tmpl w:val="D4348C5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72963E2D"/>
    <w:multiLevelType w:val="multilevel"/>
    <w:tmpl w:val="0222412E"/>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737C2915"/>
    <w:multiLevelType w:val="hybridMultilevel"/>
    <w:tmpl w:val="983CC5E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756568FD"/>
    <w:multiLevelType w:val="hybridMultilevel"/>
    <w:tmpl w:val="123E1F1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2">
    <w:nsid w:val="75714C4A"/>
    <w:multiLevelType w:val="hybridMultilevel"/>
    <w:tmpl w:val="0FB296CA"/>
    <w:lvl w:ilvl="0" w:tplc="0409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3">
    <w:nsid w:val="760B543C"/>
    <w:multiLevelType w:val="multilevel"/>
    <w:tmpl w:val="54F23986"/>
    <w:lvl w:ilvl="0">
      <w:start w:val="1"/>
      <w:numFmt w:val="decimal"/>
      <w:lvlText w:val="%1."/>
      <w:lvlJc w:val="left"/>
      <w:pPr>
        <w:ind w:left="644"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4">
    <w:nsid w:val="7741505A"/>
    <w:multiLevelType w:val="hybridMultilevel"/>
    <w:tmpl w:val="8DD6ECE8"/>
    <w:lvl w:ilvl="0" w:tplc="0BA4F9AA">
      <w:start w:val="4"/>
      <w:numFmt w:val="bullet"/>
      <w:lvlText w:val="-"/>
      <w:lvlJc w:val="left"/>
      <w:pPr>
        <w:ind w:left="1713" w:hanging="360"/>
      </w:pPr>
      <w:rPr>
        <w:rFonts w:ascii="Arial" w:eastAsia="Times New Roman" w:hAnsi="Arial" w:cs="Arial" w:hint="default"/>
        <w:sz w:val="24"/>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85">
    <w:nsid w:val="79BE4826"/>
    <w:multiLevelType w:val="hybridMultilevel"/>
    <w:tmpl w:val="E4B45602"/>
    <w:lvl w:ilvl="0" w:tplc="4702A734">
      <w:start w:val="1"/>
      <w:numFmt w:val="upperRoman"/>
      <w:lvlText w:val="%1."/>
      <w:lvlJc w:val="left"/>
      <w:pPr>
        <w:ind w:left="1004" w:hanging="720"/>
      </w:pPr>
      <w:rPr>
        <w:rFonts w:hint="default"/>
        <w:b/>
      </w:rPr>
    </w:lvl>
    <w:lvl w:ilvl="1" w:tplc="04180019" w:tentative="1">
      <w:start w:val="1"/>
      <w:numFmt w:val="lowerLetter"/>
      <w:lvlText w:val="%2."/>
      <w:lvlJc w:val="left"/>
      <w:pPr>
        <w:ind w:left="1364" w:hanging="360"/>
      </w:pPr>
    </w:lvl>
    <w:lvl w:ilvl="2" w:tplc="0418001B" w:tentative="1">
      <w:start w:val="1"/>
      <w:numFmt w:val="lowerRoman"/>
      <w:lvlText w:val="%3."/>
      <w:lvlJc w:val="right"/>
      <w:pPr>
        <w:ind w:left="2084" w:hanging="180"/>
      </w:pPr>
    </w:lvl>
    <w:lvl w:ilvl="3" w:tplc="0418000F" w:tentative="1">
      <w:start w:val="1"/>
      <w:numFmt w:val="decimal"/>
      <w:lvlText w:val="%4."/>
      <w:lvlJc w:val="left"/>
      <w:pPr>
        <w:ind w:left="2804" w:hanging="360"/>
      </w:pPr>
    </w:lvl>
    <w:lvl w:ilvl="4" w:tplc="04180019" w:tentative="1">
      <w:start w:val="1"/>
      <w:numFmt w:val="lowerLetter"/>
      <w:lvlText w:val="%5."/>
      <w:lvlJc w:val="left"/>
      <w:pPr>
        <w:ind w:left="3524" w:hanging="360"/>
      </w:pPr>
    </w:lvl>
    <w:lvl w:ilvl="5" w:tplc="0418001B" w:tentative="1">
      <w:start w:val="1"/>
      <w:numFmt w:val="lowerRoman"/>
      <w:lvlText w:val="%6."/>
      <w:lvlJc w:val="right"/>
      <w:pPr>
        <w:ind w:left="4244" w:hanging="180"/>
      </w:pPr>
    </w:lvl>
    <w:lvl w:ilvl="6" w:tplc="0418000F" w:tentative="1">
      <w:start w:val="1"/>
      <w:numFmt w:val="decimal"/>
      <w:lvlText w:val="%7."/>
      <w:lvlJc w:val="left"/>
      <w:pPr>
        <w:ind w:left="4964" w:hanging="360"/>
      </w:pPr>
    </w:lvl>
    <w:lvl w:ilvl="7" w:tplc="04180019" w:tentative="1">
      <w:start w:val="1"/>
      <w:numFmt w:val="lowerLetter"/>
      <w:lvlText w:val="%8."/>
      <w:lvlJc w:val="left"/>
      <w:pPr>
        <w:ind w:left="5684" w:hanging="360"/>
      </w:pPr>
    </w:lvl>
    <w:lvl w:ilvl="8" w:tplc="0418001B" w:tentative="1">
      <w:start w:val="1"/>
      <w:numFmt w:val="lowerRoman"/>
      <w:lvlText w:val="%9."/>
      <w:lvlJc w:val="right"/>
      <w:pPr>
        <w:ind w:left="6404" w:hanging="180"/>
      </w:pPr>
    </w:lvl>
  </w:abstractNum>
  <w:abstractNum w:abstractNumId="86">
    <w:nsid w:val="7E8F0378"/>
    <w:multiLevelType w:val="hybridMultilevel"/>
    <w:tmpl w:val="A8427D28"/>
    <w:lvl w:ilvl="0" w:tplc="0409000B">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num w:numId="1">
    <w:abstractNumId w:val="23"/>
  </w:num>
  <w:num w:numId="2">
    <w:abstractNumId w:val="64"/>
  </w:num>
  <w:num w:numId="3">
    <w:abstractNumId w:val="19"/>
  </w:num>
  <w:num w:numId="4">
    <w:abstractNumId w:val="22"/>
  </w:num>
  <w:num w:numId="5">
    <w:abstractNumId w:val="83"/>
  </w:num>
  <w:num w:numId="6">
    <w:abstractNumId w:val="3"/>
  </w:num>
  <w:num w:numId="7">
    <w:abstractNumId w:val="10"/>
  </w:num>
  <w:num w:numId="8">
    <w:abstractNumId w:val="41"/>
  </w:num>
  <w:num w:numId="9">
    <w:abstractNumId w:val="85"/>
  </w:num>
  <w:num w:numId="10">
    <w:abstractNumId w:val="45"/>
  </w:num>
  <w:num w:numId="11">
    <w:abstractNumId w:val="61"/>
  </w:num>
  <w:num w:numId="12">
    <w:abstractNumId w:val="16"/>
  </w:num>
  <w:num w:numId="13">
    <w:abstractNumId w:val="17"/>
  </w:num>
  <w:num w:numId="14">
    <w:abstractNumId w:val="11"/>
  </w:num>
  <w:num w:numId="15">
    <w:abstractNumId w:val="51"/>
  </w:num>
  <w:num w:numId="16">
    <w:abstractNumId w:val="54"/>
  </w:num>
  <w:num w:numId="17">
    <w:abstractNumId w:val="70"/>
  </w:num>
  <w:num w:numId="18">
    <w:abstractNumId w:val="67"/>
  </w:num>
  <w:num w:numId="19">
    <w:abstractNumId w:val="38"/>
  </w:num>
  <w:num w:numId="20">
    <w:abstractNumId w:val="37"/>
  </w:num>
  <w:num w:numId="21">
    <w:abstractNumId w:val="82"/>
  </w:num>
  <w:num w:numId="22">
    <w:abstractNumId w:val="43"/>
  </w:num>
  <w:num w:numId="23">
    <w:abstractNumId w:val="42"/>
  </w:num>
  <w:num w:numId="24">
    <w:abstractNumId w:val="57"/>
  </w:num>
  <w:num w:numId="25">
    <w:abstractNumId w:val="7"/>
  </w:num>
  <w:num w:numId="26">
    <w:abstractNumId w:val="71"/>
  </w:num>
  <w:num w:numId="27">
    <w:abstractNumId w:val="68"/>
  </w:num>
  <w:num w:numId="28">
    <w:abstractNumId w:val="56"/>
  </w:num>
  <w:num w:numId="29">
    <w:abstractNumId w:val="28"/>
  </w:num>
  <w:num w:numId="30">
    <w:abstractNumId w:val="25"/>
  </w:num>
  <w:num w:numId="31">
    <w:abstractNumId w:val="36"/>
  </w:num>
  <w:num w:numId="32">
    <w:abstractNumId w:val="60"/>
  </w:num>
  <w:num w:numId="33">
    <w:abstractNumId w:val="20"/>
  </w:num>
  <w:num w:numId="34">
    <w:abstractNumId w:val="76"/>
  </w:num>
  <w:num w:numId="35">
    <w:abstractNumId w:val="52"/>
  </w:num>
  <w:num w:numId="36">
    <w:abstractNumId w:val="12"/>
  </w:num>
  <w:num w:numId="37">
    <w:abstractNumId w:val="63"/>
  </w:num>
  <w:num w:numId="38">
    <w:abstractNumId w:val="14"/>
  </w:num>
  <w:num w:numId="39">
    <w:abstractNumId w:val="27"/>
  </w:num>
  <w:num w:numId="40">
    <w:abstractNumId w:val="75"/>
  </w:num>
  <w:num w:numId="41">
    <w:abstractNumId w:val="72"/>
  </w:num>
  <w:num w:numId="42">
    <w:abstractNumId w:val="79"/>
  </w:num>
  <w:num w:numId="43">
    <w:abstractNumId w:val="33"/>
  </w:num>
  <w:num w:numId="44">
    <w:abstractNumId w:val="53"/>
  </w:num>
  <w:num w:numId="45">
    <w:abstractNumId w:val="65"/>
  </w:num>
  <w:num w:numId="46">
    <w:abstractNumId w:val="40"/>
  </w:num>
  <w:num w:numId="47">
    <w:abstractNumId w:val="73"/>
  </w:num>
  <w:num w:numId="48">
    <w:abstractNumId w:val="44"/>
  </w:num>
  <w:num w:numId="49">
    <w:abstractNumId w:val="48"/>
  </w:num>
  <w:num w:numId="50">
    <w:abstractNumId w:val="24"/>
  </w:num>
  <w:num w:numId="51">
    <w:abstractNumId w:val="49"/>
  </w:num>
  <w:num w:numId="52">
    <w:abstractNumId w:val="6"/>
  </w:num>
  <w:num w:numId="53">
    <w:abstractNumId w:val="4"/>
  </w:num>
  <w:num w:numId="54">
    <w:abstractNumId w:val="26"/>
  </w:num>
  <w:num w:numId="55">
    <w:abstractNumId w:val="86"/>
  </w:num>
  <w:num w:numId="56">
    <w:abstractNumId w:val="2"/>
  </w:num>
  <w:num w:numId="57">
    <w:abstractNumId w:val="21"/>
  </w:num>
  <w:num w:numId="58">
    <w:abstractNumId w:val="32"/>
  </w:num>
  <w:num w:numId="59">
    <w:abstractNumId w:val="8"/>
  </w:num>
  <w:num w:numId="60">
    <w:abstractNumId w:val="35"/>
  </w:num>
  <w:num w:numId="61">
    <w:abstractNumId w:val="15"/>
  </w:num>
  <w:num w:numId="62">
    <w:abstractNumId w:val="50"/>
  </w:num>
  <w:num w:numId="63">
    <w:abstractNumId w:val="80"/>
  </w:num>
  <w:num w:numId="64">
    <w:abstractNumId w:val="58"/>
  </w:num>
  <w:num w:numId="6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3"/>
  </w:num>
  <w:num w:numId="67">
    <w:abstractNumId w:val="31"/>
  </w:num>
  <w:num w:numId="68">
    <w:abstractNumId w:val="59"/>
  </w:num>
  <w:num w:numId="69">
    <w:abstractNumId w:val="18"/>
  </w:num>
  <w:num w:numId="70">
    <w:abstractNumId w:val="30"/>
  </w:num>
  <w:num w:numId="71">
    <w:abstractNumId w:val="84"/>
  </w:num>
  <w:num w:numId="72">
    <w:abstractNumId w:val="29"/>
  </w:num>
  <w:num w:numId="73">
    <w:abstractNumId w:val="77"/>
  </w:num>
  <w:num w:numId="74">
    <w:abstractNumId w:val="83"/>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66"/>
  </w:num>
  <w:num w:numId="76">
    <w:abstractNumId w:val="47"/>
  </w:num>
  <w:num w:numId="77">
    <w:abstractNumId w:val="78"/>
  </w:num>
  <w:num w:numId="78">
    <w:abstractNumId w:val="55"/>
  </w:num>
  <w:num w:numId="79">
    <w:abstractNumId w:val="5"/>
  </w:num>
  <w:num w:numId="80">
    <w:abstractNumId w:val="39"/>
  </w:num>
  <w:num w:numId="81">
    <w:abstractNumId w:val="74"/>
  </w:num>
  <w:num w:numId="82">
    <w:abstractNumId w:val="34"/>
  </w:num>
  <w:num w:numId="83">
    <w:abstractNumId w:val="62"/>
  </w:num>
  <w:num w:numId="84">
    <w:abstractNumId w:val="81"/>
  </w:num>
  <w:num w:numId="85">
    <w:abstractNumId w:val="69"/>
  </w:num>
  <w:num w:numId="86">
    <w:abstractNumId w:val="46"/>
  </w:num>
  <w:num w:numId="87">
    <w:abstractNumId w:val="1"/>
  </w:num>
  <w:num w:numId="88">
    <w:abstractNumId w:val="0"/>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20"/>
  <w:displayHorizontalDrawingGridEvery w:val="2"/>
  <w:characterSpacingControl w:val="doNotCompress"/>
  <w:hdrShapeDefaults>
    <o:shapedefaults v:ext="edit" spidmax="2119"/>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530F2E"/>
    <w:rsid w:val="00014BA0"/>
    <w:rsid w:val="0011755F"/>
    <w:rsid w:val="00121221"/>
    <w:rsid w:val="001A3E45"/>
    <w:rsid w:val="001B6BC7"/>
    <w:rsid w:val="001C33BE"/>
    <w:rsid w:val="001D2B9A"/>
    <w:rsid w:val="00212B91"/>
    <w:rsid w:val="002A0D72"/>
    <w:rsid w:val="002C0454"/>
    <w:rsid w:val="002E7105"/>
    <w:rsid w:val="003D5A5A"/>
    <w:rsid w:val="003F2AFF"/>
    <w:rsid w:val="004A16E2"/>
    <w:rsid w:val="00530F2E"/>
    <w:rsid w:val="005F0712"/>
    <w:rsid w:val="006174A9"/>
    <w:rsid w:val="00633709"/>
    <w:rsid w:val="00642FB4"/>
    <w:rsid w:val="006720BC"/>
    <w:rsid w:val="006A50CD"/>
    <w:rsid w:val="006C74EB"/>
    <w:rsid w:val="006E6973"/>
    <w:rsid w:val="00742B3C"/>
    <w:rsid w:val="007B7E0D"/>
    <w:rsid w:val="008364DF"/>
    <w:rsid w:val="008E31CB"/>
    <w:rsid w:val="00927081"/>
    <w:rsid w:val="00956B85"/>
    <w:rsid w:val="009D056F"/>
    <w:rsid w:val="009E3BE0"/>
    <w:rsid w:val="009F108B"/>
    <w:rsid w:val="00AA23DD"/>
    <w:rsid w:val="00AB783E"/>
    <w:rsid w:val="00B521A8"/>
    <w:rsid w:val="00B65BBA"/>
    <w:rsid w:val="00B92789"/>
    <w:rsid w:val="00BC5E71"/>
    <w:rsid w:val="00BD6E39"/>
    <w:rsid w:val="00C52F4A"/>
    <w:rsid w:val="00C60823"/>
    <w:rsid w:val="00CB4DD1"/>
    <w:rsid w:val="00D14B55"/>
    <w:rsid w:val="00D63FE9"/>
    <w:rsid w:val="00D76595"/>
    <w:rsid w:val="00D9677C"/>
    <w:rsid w:val="00DA1824"/>
    <w:rsid w:val="00DD71A1"/>
    <w:rsid w:val="00E6438D"/>
    <w:rsid w:val="00E74E21"/>
    <w:rsid w:val="00E80965"/>
    <w:rsid w:val="00EB0A25"/>
    <w:rsid w:val="00EE259E"/>
    <w:rsid w:val="00F53A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19"/>
    <o:shapelayout v:ext="edit">
      <o:idmap v:ext="edit" data="1"/>
    </o:shapelayout>
  </w:shapeDefaults>
  <w:decimalSymbol w:val="."/>
  <w:listSeparator w:val=","/>
  <w15:docId w15:val="{E18FB60F-0FFD-4219-9386-525CE5B452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99"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99"/>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99"/>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B7E0D"/>
    <w:rPr>
      <w:rFonts w:ascii="Arial" w:hAnsi="Arial"/>
      <w:sz w:val="24"/>
      <w:szCs w:val="24"/>
      <w:lang w:val="ro-RO" w:eastAsia="ro-RO"/>
    </w:rPr>
  </w:style>
  <w:style w:type="paragraph" w:styleId="Heading1">
    <w:name w:val="heading 1"/>
    <w:basedOn w:val="Normal"/>
    <w:next w:val="Normal"/>
    <w:link w:val="Heading1Char"/>
    <w:qFormat/>
    <w:rsid w:val="007B7E0D"/>
    <w:pPr>
      <w:keepNext/>
      <w:spacing w:before="240" w:after="60"/>
      <w:outlineLvl w:val="0"/>
    </w:pPr>
    <w:rPr>
      <w:rFonts w:ascii="Cambria" w:hAnsi="Cambria"/>
      <w:b/>
      <w:bCs/>
      <w:kern w:val="32"/>
      <w:sz w:val="32"/>
      <w:szCs w:val="32"/>
    </w:rPr>
  </w:style>
  <w:style w:type="paragraph" w:styleId="Heading3">
    <w:name w:val="heading 3"/>
    <w:basedOn w:val="Normal"/>
    <w:next w:val="Normal"/>
    <w:link w:val="Heading3Char"/>
    <w:qFormat/>
    <w:rsid w:val="007B7E0D"/>
    <w:pPr>
      <w:keepNext/>
      <w:spacing w:before="240" w:after="60"/>
      <w:outlineLvl w:val="2"/>
    </w:pPr>
    <w:rPr>
      <w:rFonts w:ascii="Cambria" w:hAnsi="Cambria"/>
      <w:b/>
      <w:bCs/>
      <w:sz w:val="26"/>
      <w:szCs w:val="26"/>
    </w:rPr>
  </w:style>
  <w:style w:type="paragraph" w:styleId="Heading9">
    <w:name w:val="heading 9"/>
    <w:basedOn w:val="Normal"/>
    <w:next w:val="Normal"/>
    <w:link w:val="Heading9Char"/>
    <w:qFormat/>
    <w:rsid w:val="007B7E0D"/>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B7E0D"/>
    <w:rPr>
      <w:rFonts w:ascii="Cambria" w:eastAsia="Times New Roman" w:hAnsi="Cambria" w:cs="Times New Roman"/>
      <w:b/>
      <w:bCs/>
      <w:kern w:val="32"/>
      <w:sz w:val="32"/>
      <w:szCs w:val="32"/>
    </w:rPr>
  </w:style>
  <w:style w:type="paragraph" w:styleId="Header">
    <w:name w:val="header"/>
    <w:basedOn w:val="Normal"/>
    <w:link w:val="HeaderChar"/>
    <w:rsid w:val="007B7E0D"/>
    <w:pPr>
      <w:tabs>
        <w:tab w:val="center" w:pos="4703"/>
        <w:tab w:val="right" w:pos="9406"/>
      </w:tabs>
    </w:pPr>
    <w:rPr>
      <w:rFonts w:ascii="Times New Roman" w:hAnsi="Times New Roman"/>
    </w:rPr>
  </w:style>
  <w:style w:type="character" w:customStyle="1" w:styleId="HeaderChar">
    <w:name w:val="Header Char"/>
    <w:link w:val="Header"/>
    <w:rsid w:val="007B7E0D"/>
    <w:rPr>
      <w:sz w:val="24"/>
      <w:szCs w:val="24"/>
    </w:rPr>
  </w:style>
  <w:style w:type="paragraph" w:styleId="Footer">
    <w:name w:val="footer"/>
    <w:basedOn w:val="Normal"/>
    <w:link w:val="FooterChar"/>
    <w:uiPriority w:val="99"/>
    <w:rsid w:val="007B7E0D"/>
    <w:pPr>
      <w:tabs>
        <w:tab w:val="center" w:pos="4703"/>
        <w:tab w:val="right" w:pos="9406"/>
      </w:tabs>
    </w:pPr>
  </w:style>
  <w:style w:type="table" w:styleId="TableGrid">
    <w:name w:val="Table Grid"/>
    <w:basedOn w:val="TableNormal"/>
    <w:uiPriority w:val="59"/>
    <w:rsid w:val="007B7E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7B7E0D"/>
    <w:rPr>
      <w:rFonts w:ascii="Tahoma" w:hAnsi="Tahoma" w:cs="Tahoma"/>
      <w:sz w:val="16"/>
      <w:szCs w:val="16"/>
    </w:rPr>
  </w:style>
  <w:style w:type="character" w:styleId="PageNumber">
    <w:name w:val="page number"/>
    <w:basedOn w:val="DefaultParagraphFont"/>
    <w:semiHidden/>
    <w:rsid w:val="007B7E0D"/>
  </w:style>
  <w:style w:type="paragraph" w:styleId="BodyText">
    <w:name w:val="Body Text"/>
    <w:basedOn w:val="Normal"/>
    <w:link w:val="BodyTextChar"/>
    <w:semiHidden/>
    <w:rsid w:val="007B7E0D"/>
    <w:pPr>
      <w:tabs>
        <w:tab w:val="left" w:pos="851"/>
      </w:tabs>
      <w:spacing w:line="160" w:lineRule="exact"/>
      <w:ind w:right="210"/>
      <w:jc w:val="center"/>
    </w:pPr>
    <w:rPr>
      <w:spacing w:val="-10"/>
      <w:szCs w:val="20"/>
      <w:lang w:eastAsia="en-US"/>
    </w:rPr>
  </w:style>
  <w:style w:type="paragraph" w:customStyle="1" w:styleId="Listcolorat-Accentuare11">
    <w:name w:val="Listă colorată - Accentuare 11"/>
    <w:basedOn w:val="Normal"/>
    <w:link w:val="Listcolorat-Accentuare1Caracter"/>
    <w:uiPriority w:val="99"/>
    <w:qFormat/>
    <w:rsid w:val="007B7E0D"/>
    <w:pPr>
      <w:tabs>
        <w:tab w:val="left" w:pos="851"/>
      </w:tabs>
      <w:spacing w:before="60" w:after="60"/>
      <w:ind w:left="720"/>
      <w:contextualSpacing/>
      <w:jc w:val="both"/>
    </w:pPr>
    <w:rPr>
      <w:szCs w:val="20"/>
    </w:rPr>
  </w:style>
  <w:style w:type="character" w:customStyle="1" w:styleId="Listcolorat-Accentuare1Caracter">
    <w:name w:val="Listă colorată - Accentuare 1 Caracter"/>
    <w:link w:val="Listcolorat-Accentuare11"/>
    <w:uiPriority w:val="99"/>
    <w:locked/>
    <w:rsid w:val="007B7E0D"/>
    <w:rPr>
      <w:rFonts w:ascii="Arial" w:hAnsi="Arial"/>
      <w:sz w:val="24"/>
      <w:lang w:val="ro-RO"/>
    </w:rPr>
  </w:style>
  <w:style w:type="paragraph" w:styleId="TOC1">
    <w:name w:val="toc 1"/>
    <w:basedOn w:val="Normal"/>
    <w:next w:val="Normal"/>
    <w:autoRedefine/>
    <w:uiPriority w:val="39"/>
    <w:unhideWhenUsed/>
    <w:qFormat/>
    <w:rsid w:val="007B7E0D"/>
    <w:pPr>
      <w:tabs>
        <w:tab w:val="left" w:pos="0"/>
        <w:tab w:val="right" w:leader="dot" w:pos="10286"/>
      </w:tabs>
      <w:spacing w:after="100"/>
      <w:jc w:val="both"/>
    </w:pPr>
  </w:style>
  <w:style w:type="character" w:styleId="Hyperlink">
    <w:name w:val="Hyperlink"/>
    <w:uiPriority w:val="99"/>
    <w:unhideWhenUsed/>
    <w:rsid w:val="007B7E0D"/>
    <w:rPr>
      <w:color w:val="0000FF"/>
      <w:u w:val="single"/>
    </w:rPr>
  </w:style>
  <w:style w:type="paragraph" w:styleId="Title">
    <w:name w:val="Title"/>
    <w:basedOn w:val="Normal"/>
    <w:next w:val="Normal"/>
    <w:link w:val="TitleChar"/>
    <w:qFormat/>
    <w:rsid w:val="007B7E0D"/>
    <w:pPr>
      <w:spacing w:before="240" w:after="60"/>
      <w:jc w:val="center"/>
      <w:outlineLvl w:val="0"/>
    </w:pPr>
    <w:rPr>
      <w:rFonts w:ascii="Cambria" w:hAnsi="Cambria"/>
      <w:b/>
      <w:bCs/>
      <w:kern w:val="28"/>
      <w:sz w:val="32"/>
      <w:szCs w:val="32"/>
    </w:rPr>
  </w:style>
  <w:style w:type="character" w:customStyle="1" w:styleId="TitleChar">
    <w:name w:val="Title Char"/>
    <w:link w:val="Title"/>
    <w:rsid w:val="007B7E0D"/>
    <w:rPr>
      <w:rFonts w:ascii="Cambria" w:eastAsia="Times New Roman" w:hAnsi="Cambria" w:cs="Times New Roman"/>
      <w:b/>
      <w:bCs/>
      <w:kern w:val="28"/>
      <w:sz w:val="32"/>
      <w:szCs w:val="32"/>
    </w:rPr>
  </w:style>
  <w:style w:type="paragraph" w:styleId="FootnoteText">
    <w:name w:val="footnote text"/>
    <w:aliases w:val="Fußnotentextf,single space,Fußnote,-E Fußnotentext,Fußnotentext Ursprung,Podrozdział,Footnote Text Char Char,FOOTNOTES,fn,Sprotna opomba - besedilo Znak1,Sprotna opomba - besedilo Znak Znak2,stile 1,Footnot,Footnote1,Podrozdzia3"/>
    <w:basedOn w:val="Normal"/>
    <w:link w:val="FootnoteTextChar"/>
    <w:uiPriority w:val="99"/>
    <w:unhideWhenUsed/>
    <w:qFormat/>
    <w:rsid w:val="007B7E0D"/>
    <w:rPr>
      <w:rFonts w:ascii="Calibri" w:eastAsia="Calibri" w:hAnsi="Calibri"/>
      <w:sz w:val="20"/>
      <w:szCs w:val="20"/>
      <w:lang w:val="en-US" w:eastAsia="en-US"/>
    </w:rPr>
  </w:style>
  <w:style w:type="character" w:customStyle="1" w:styleId="FootnoteTextChar">
    <w:name w:val="Footnote Text Char"/>
    <w:aliases w:val="Fußnotentextf Char,single space Char,Fußnote Char,-E Fußnotentext Char,Fußnotentext Ursprung Char,Podrozdział Char,Footnote Text Char Char Char,FOOTNOTES Char,fn Char,Sprotna opomba - besedilo Znak1 Char,stile 1 Char,Footnot Char"/>
    <w:link w:val="FootnoteText"/>
    <w:uiPriority w:val="99"/>
    <w:rsid w:val="007B7E0D"/>
    <w:rPr>
      <w:rFonts w:ascii="Calibri" w:eastAsia="Calibri" w:hAnsi="Calibri"/>
      <w:lang w:val="en-US" w:eastAsia="en-US"/>
    </w:rPr>
  </w:style>
  <w:style w:type="paragraph" w:styleId="CommentText">
    <w:name w:val="annotation text"/>
    <w:basedOn w:val="Normal"/>
    <w:link w:val="CommentTextChar"/>
    <w:rsid w:val="007B7E0D"/>
    <w:rPr>
      <w:sz w:val="20"/>
      <w:szCs w:val="20"/>
    </w:rPr>
  </w:style>
  <w:style w:type="character" w:customStyle="1" w:styleId="CommentTextChar">
    <w:name w:val="Comment Text Char"/>
    <w:link w:val="CommentText"/>
    <w:rsid w:val="007B7E0D"/>
    <w:rPr>
      <w:rFonts w:ascii="Arial" w:hAnsi="Arial"/>
    </w:rPr>
  </w:style>
  <w:style w:type="character" w:styleId="FootnoteReference">
    <w:name w:val="footnote reference"/>
    <w:aliases w:val="-E Fußnotenzeichen,Heading 6 Char1,Footnote2,Footnote symbol,Fussnota,ftref,Appel note de bas de p,SUPERS,Nota,(NECG) Footnote Reference,Voetnootverwijzing,Footnote Reference Superscript,BVI fnr,Footnotes refss"/>
    <w:uiPriority w:val="99"/>
    <w:unhideWhenUsed/>
    <w:rsid w:val="007B7E0D"/>
    <w:rPr>
      <w:vertAlign w:val="superscript"/>
    </w:rPr>
  </w:style>
  <w:style w:type="table" w:customStyle="1" w:styleId="LightList-Accent21">
    <w:name w:val="Light List - Accent 21"/>
    <w:basedOn w:val="TableNormal"/>
    <w:next w:val="DarkList-Accent2"/>
    <w:uiPriority w:val="99"/>
    <w:rsid w:val="007B7E0D"/>
    <w:rPr>
      <w:rFonts w:ascii="Calibri" w:eastAsia="Calibri" w:hAnsi="Calibri"/>
      <w:sz w:val="22"/>
      <w:szCs w:val="22"/>
      <w:lang w:val="ro-RO"/>
    </w:rPr>
    <w:tblPr>
      <w:tblStyleRowBandSize w:val="1"/>
      <w:tblStyleColBandSize w:val="1"/>
      <w:tblBorders>
        <w:top w:val="single" w:sz="8" w:space="0" w:color="297FD5"/>
        <w:left w:val="single" w:sz="8" w:space="0" w:color="297FD5"/>
        <w:bottom w:val="single" w:sz="8" w:space="0" w:color="297FD5"/>
        <w:right w:val="single" w:sz="8" w:space="0" w:color="297FD5"/>
      </w:tblBorders>
    </w:tblPr>
    <w:tblStylePr w:type="firstRow">
      <w:pPr>
        <w:spacing w:before="0" w:after="0" w:line="240" w:lineRule="auto"/>
      </w:pPr>
      <w:rPr>
        <w:b/>
        <w:bCs/>
        <w:color w:val="FFFFFF"/>
      </w:rPr>
      <w:tblPr/>
      <w:tcPr>
        <w:shd w:val="clear" w:color="auto" w:fill="297FD5"/>
      </w:tcPr>
    </w:tblStylePr>
    <w:tblStylePr w:type="lastRow">
      <w:pPr>
        <w:spacing w:before="0" w:after="0" w:line="240" w:lineRule="auto"/>
      </w:pPr>
      <w:rPr>
        <w:b/>
        <w:bCs/>
      </w:rPr>
      <w:tblPr/>
      <w:tcPr>
        <w:tcBorders>
          <w:top w:val="double" w:sz="6" w:space="0" w:color="297FD5"/>
          <w:left w:val="single" w:sz="8" w:space="0" w:color="297FD5"/>
          <w:bottom w:val="single" w:sz="8" w:space="0" w:color="297FD5"/>
          <w:right w:val="single" w:sz="8" w:space="0" w:color="297FD5"/>
        </w:tcBorders>
      </w:tcPr>
    </w:tblStylePr>
    <w:tblStylePr w:type="firstCol">
      <w:rPr>
        <w:b/>
        <w:bCs/>
      </w:rPr>
    </w:tblStylePr>
    <w:tblStylePr w:type="lastCol">
      <w:rPr>
        <w:b/>
        <w:bCs/>
      </w:rPr>
    </w:tblStylePr>
    <w:tblStylePr w:type="band1Vert">
      <w:tblPr/>
      <w:tcPr>
        <w:tcBorders>
          <w:top w:val="single" w:sz="8" w:space="0" w:color="297FD5"/>
          <w:left w:val="single" w:sz="8" w:space="0" w:color="297FD5"/>
          <w:bottom w:val="single" w:sz="8" w:space="0" w:color="297FD5"/>
          <w:right w:val="single" w:sz="8" w:space="0" w:color="297FD5"/>
        </w:tcBorders>
      </w:tcPr>
    </w:tblStylePr>
    <w:tblStylePr w:type="band1Horz">
      <w:tblPr/>
      <w:tcPr>
        <w:tcBorders>
          <w:top w:val="single" w:sz="8" w:space="0" w:color="297FD5"/>
          <w:left w:val="single" w:sz="8" w:space="0" w:color="297FD5"/>
          <w:bottom w:val="single" w:sz="8" w:space="0" w:color="297FD5"/>
          <w:right w:val="single" w:sz="8" w:space="0" w:color="297FD5"/>
        </w:tcBorders>
      </w:tcPr>
    </w:tblStylePr>
  </w:style>
  <w:style w:type="table" w:styleId="DarkList-Accent2">
    <w:name w:val="Dark List Accent 2"/>
    <w:basedOn w:val="TableNormal"/>
    <w:uiPriority w:val="99"/>
    <w:rsid w:val="007B7E0D"/>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caption2">
    <w:name w:val="caption 2"/>
    <w:basedOn w:val="Normal"/>
    <w:link w:val="caption2Char"/>
    <w:qFormat/>
    <w:rsid w:val="007B7E0D"/>
    <w:pPr>
      <w:widowControl w:val="0"/>
      <w:suppressLineNumbers/>
      <w:suppressAutoHyphens/>
      <w:spacing w:before="120" w:after="120"/>
    </w:pPr>
    <w:rPr>
      <w:rFonts w:ascii="Cambria" w:eastAsia="SimSun" w:hAnsi="Cambria" w:cs="Mangal"/>
      <w:i/>
      <w:iCs/>
      <w:kern w:val="1"/>
      <w:lang w:val="en-GB" w:eastAsia="zh-CN" w:bidi="hi-IN"/>
    </w:rPr>
  </w:style>
  <w:style w:type="character" w:customStyle="1" w:styleId="caption2Char">
    <w:name w:val="caption 2 Char"/>
    <w:link w:val="caption2"/>
    <w:rsid w:val="007B7E0D"/>
    <w:rPr>
      <w:rFonts w:ascii="Cambria" w:eastAsia="SimSun" w:hAnsi="Cambria" w:cs="Mangal"/>
      <w:i/>
      <w:iCs/>
      <w:kern w:val="1"/>
      <w:sz w:val="24"/>
      <w:szCs w:val="24"/>
      <w:lang w:val="en-GB" w:eastAsia="zh-CN" w:bidi="hi-IN"/>
    </w:rPr>
  </w:style>
  <w:style w:type="character" w:customStyle="1" w:styleId="hps">
    <w:name w:val="hps"/>
    <w:rsid w:val="007B7E0D"/>
  </w:style>
  <w:style w:type="paragraph" w:styleId="HTMLPreformatted">
    <w:name w:val="HTML Preformatted"/>
    <w:basedOn w:val="Normal"/>
    <w:link w:val="HTMLPreformattedChar"/>
    <w:uiPriority w:val="99"/>
    <w:unhideWhenUsed/>
    <w:rsid w:val="007B7E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en-US"/>
    </w:rPr>
  </w:style>
  <w:style w:type="character" w:customStyle="1" w:styleId="HTMLPreformattedChar">
    <w:name w:val="HTML Preformatted Char"/>
    <w:link w:val="HTMLPreformatted"/>
    <w:uiPriority w:val="99"/>
    <w:rsid w:val="007B7E0D"/>
    <w:rPr>
      <w:rFonts w:ascii="Courier New" w:hAnsi="Courier New" w:cs="Courier New"/>
      <w:lang w:val="en-US" w:eastAsia="en-US"/>
    </w:rPr>
  </w:style>
  <w:style w:type="paragraph" w:customStyle="1" w:styleId="Default">
    <w:name w:val="Default"/>
    <w:rsid w:val="007B7E0D"/>
    <w:pPr>
      <w:autoSpaceDE w:val="0"/>
      <w:autoSpaceDN w:val="0"/>
      <w:adjustRightInd w:val="0"/>
    </w:pPr>
    <w:rPr>
      <w:rFonts w:eastAsia="Calibri"/>
      <w:color w:val="000000"/>
      <w:sz w:val="24"/>
      <w:szCs w:val="24"/>
      <w:lang w:val="en-US" w:eastAsia="en-US"/>
    </w:rPr>
  </w:style>
  <w:style w:type="paragraph" w:customStyle="1" w:styleId="TOCHeading1">
    <w:name w:val="TOC Heading1"/>
    <w:basedOn w:val="Heading1"/>
    <w:next w:val="Normal"/>
    <w:uiPriority w:val="39"/>
    <w:semiHidden/>
    <w:unhideWhenUsed/>
    <w:qFormat/>
    <w:rsid w:val="007B7E0D"/>
    <w:pPr>
      <w:keepLines/>
      <w:spacing w:before="480" w:after="0" w:line="276" w:lineRule="auto"/>
      <w:outlineLvl w:val="9"/>
    </w:pPr>
    <w:rPr>
      <w:color w:val="365F91"/>
      <w:kern w:val="0"/>
      <w:sz w:val="28"/>
      <w:szCs w:val="28"/>
      <w:lang w:val="en-US" w:eastAsia="en-US"/>
    </w:rPr>
  </w:style>
  <w:style w:type="paragraph" w:customStyle="1" w:styleId="a">
    <w:name w:val="Нормальний текст"/>
    <w:basedOn w:val="Normal"/>
    <w:rsid w:val="007B7E0D"/>
    <w:pPr>
      <w:spacing w:before="120"/>
      <w:ind w:firstLine="567"/>
    </w:pPr>
    <w:rPr>
      <w:rFonts w:ascii="Antiqua" w:hAnsi="Antiqua"/>
      <w:sz w:val="26"/>
      <w:szCs w:val="20"/>
      <w:lang w:val="uk-UA" w:eastAsia="ru-RU"/>
    </w:rPr>
  </w:style>
  <w:style w:type="paragraph" w:customStyle="1" w:styleId="ShapkaDocumentu">
    <w:name w:val="Shapka Documentu"/>
    <w:basedOn w:val="Normal"/>
    <w:rsid w:val="007B7E0D"/>
    <w:pPr>
      <w:keepNext/>
      <w:keepLines/>
      <w:spacing w:after="240"/>
      <w:ind w:left="3969"/>
      <w:jc w:val="center"/>
    </w:pPr>
    <w:rPr>
      <w:rFonts w:ascii="Antiqua" w:hAnsi="Antiqua"/>
      <w:sz w:val="26"/>
      <w:szCs w:val="20"/>
      <w:lang w:val="uk-UA" w:eastAsia="ru-RU"/>
    </w:rPr>
  </w:style>
  <w:style w:type="character" w:customStyle="1" w:styleId="atn">
    <w:name w:val="atn"/>
    <w:rsid w:val="007B7E0D"/>
  </w:style>
  <w:style w:type="paragraph" w:styleId="TOC2">
    <w:name w:val="toc 2"/>
    <w:basedOn w:val="Normal"/>
    <w:next w:val="Normal"/>
    <w:autoRedefine/>
    <w:uiPriority w:val="39"/>
    <w:unhideWhenUsed/>
    <w:qFormat/>
    <w:rsid w:val="007B7E0D"/>
    <w:pPr>
      <w:spacing w:after="100" w:line="276" w:lineRule="auto"/>
      <w:ind w:left="220"/>
    </w:pPr>
    <w:rPr>
      <w:rFonts w:ascii="Calibri" w:hAnsi="Calibri"/>
      <w:sz w:val="22"/>
      <w:szCs w:val="22"/>
      <w:lang w:val="en-US" w:eastAsia="en-US"/>
    </w:rPr>
  </w:style>
  <w:style w:type="paragraph" w:styleId="TOC3">
    <w:name w:val="toc 3"/>
    <w:basedOn w:val="Normal"/>
    <w:next w:val="Normal"/>
    <w:autoRedefine/>
    <w:uiPriority w:val="39"/>
    <w:unhideWhenUsed/>
    <w:qFormat/>
    <w:rsid w:val="007B7E0D"/>
    <w:pPr>
      <w:spacing w:after="100" w:line="276" w:lineRule="auto"/>
      <w:ind w:left="440"/>
    </w:pPr>
    <w:rPr>
      <w:rFonts w:ascii="Calibri" w:hAnsi="Calibri"/>
      <w:sz w:val="22"/>
      <w:szCs w:val="22"/>
      <w:lang w:val="en-US" w:eastAsia="en-US"/>
    </w:rPr>
  </w:style>
  <w:style w:type="paragraph" w:styleId="TOC4">
    <w:name w:val="toc 4"/>
    <w:basedOn w:val="Normal"/>
    <w:next w:val="Normal"/>
    <w:autoRedefine/>
    <w:uiPriority w:val="39"/>
    <w:unhideWhenUsed/>
    <w:rsid w:val="007B7E0D"/>
    <w:pPr>
      <w:spacing w:after="100" w:line="276" w:lineRule="auto"/>
      <w:ind w:left="660"/>
    </w:pPr>
    <w:rPr>
      <w:rFonts w:ascii="Calibri" w:hAnsi="Calibri"/>
      <w:sz w:val="22"/>
      <w:szCs w:val="22"/>
      <w:lang w:val="en-US" w:eastAsia="en-US"/>
    </w:rPr>
  </w:style>
  <w:style w:type="paragraph" w:styleId="TOC5">
    <w:name w:val="toc 5"/>
    <w:basedOn w:val="Normal"/>
    <w:next w:val="Normal"/>
    <w:autoRedefine/>
    <w:uiPriority w:val="39"/>
    <w:unhideWhenUsed/>
    <w:rsid w:val="007B7E0D"/>
    <w:pPr>
      <w:spacing w:after="100" w:line="276" w:lineRule="auto"/>
      <w:ind w:left="880"/>
    </w:pPr>
    <w:rPr>
      <w:rFonts w:ascii="Calibri" w:hAnsi="Calibri"/>
      <w:sz w:val="22"/>
      <w:szCs w:val="22"/>
      <w:lang w:val="en-US" w:eastAsia="en-US"/>
    </w:rPr>
  </w:style>
  <w:style w:type="paragraph" w:styleId="TOC6">
    <w:name w:val="toc 6"/>
    <w:basedOn w:val="Normal"/>
    <w:next w:val="Normal"/>
    <w:autoRedefine/>
    <w:uiPriority w:val="39"/>
    <w:unhideWhenUsed/>
    <w:rsid w:val="007B7E0D"/>
    <w:pPr>
      <w:spacing w:after="100" w:line="276" w:lineRule="auto"/>
      <w:ind w:left="1100"/>
    </w:pPr>
    <w:rPr>
      <w:rFonts w:ascii="Calibri" w:hAnsi="Calibri"/>
      <w:sz w:val="22"/>
      <w:szCs w:val="22"/>
      <w:lang w:val="en-US" w:eastAsia="en-US"/>
    </w:rPr>
  </w:style>
  <w:style w:type="paragraph" w:styleId="TOC7">
    <w:name w:val="toc 7"/>
    <w:basedOn w:val="Normal"/>
    <w:next w:val="Normal"/>
    <w:autoRedefine/>
    <w:uiPriority w:val="39"/>
    <w:unhideWhenUsed/>
    <w:rsid w:val="007B7E0D"/>
    <w:pPr>
      <w:spacing w:after="100" w:line="276" w:lineRule="auto"/>
      <w:ind w:left="1320"/>
    </w:pPr>
    <w:rPr>
      <w:rFonts w:ascii="Calibri" w:hAnsi="Calibri"/>
      <w:sz w:val="22"/>
      <w:szCs w:val="22"/>
      <w:lang w:val="en-US" w:eastAsia="en-US"/>
    </w:rPr>
  </w:style>
  <w:style w:type="paragraph" w:styleId="TOC8">
    <w:name w:val="toc 8"/>
    <w:basedOn w:val="Normal"/>
    <w:next w:val="Normal"/>
    <w:autoRedefine/>
    <w:uiPriority w:val="39"/>
    <w:unhideWhenUsed/>
    <w:rsid w:val="007B7E0D"/>
    <w:pPr>
      <w:spacing w:after="100" w:line="276" w:lineRule="auto"/>
      <w:ind w:left="1540"/>
    </w:pPr>
    <w:rPr>
      <w:rFonts w:ascii="Calibri" w:hAnsi="Calibri"/>
      <w:sz w:val="22"/>
      <w:szCs w:val="22"/>
      <w:lang w:val="en-US" w:eastAsia="en-US"/>
    </w:rPr>
  </w:style>
  <w:style w:type="paragraph" w:styleId="TOC9">
    <w:name w:val="toc 9"/>
    <w:basedOn w:val="Normal"/>
    <w:next w:val="Normal"/>
    <w:autoRedefine/>
    <w:uiPriority w:val="39"/>
    <w:unhideWhenUsed/>
    <w:rsid w:val="007B7E0D"/>
    <w:pPr>
      <w:spacing w:after="100" w:line="276" w:lineRule="auto"/>
      <w:ind w:left="1760"/>
    </w:pPr>
    <w:rPr>
      <w:rFonts w:ascii="Calibri" w:hAnsi="Calibri"/>
      <w:sz w:val="22"/>
      <w:szCs w:val="22"/>
      <w:lang w:val="en-US" w:eastAsia="en-US"/>
    </w:rPr>
  </w:style>
  <w:style w:type="table" w:customStyle="1" w:styleId="GrilTabel1">
    <w:name w:val="Grilă Tabel1"/>
    <w:basedOn w:val="TableNormal"/>
    <w:next w:val="TableGrid"/>
    <w:uiPriority w:val="99"/>
    <w:rsid w:val="007B7E0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99"/>
    <w:rsid w:val="007B7E0D"/>
    <w:pPr>
      <w:spacing w:after="240" w:line="276" w:lineRule="auto"/>
    </w:pPr>
    <w:rPr>
      <w:rFonts w:ascii="Palatino Linotype" w:hAnsi="Palatino Linotype"/>
      <w:lang w:val="en-US" w:eastAsia="fr-FR"/>
    </w:rPr>
  </w:style>
  <w:style w:type="character" w:customStyle="1" w:styleId="Heading3Char">
    <w:name w:val="Heading 3 Char"/>
    <w:link w:val="Heading3"/>
    <w:rsid w:val="007B7E0D"/>
    <w:rPr>
      <w:rFonts w:ascii="Cambria" w:eastAsia="Times New Roman" w:hAnsi="Cambria" w:cs="Times New Roman"/>
      <w:b/>
      <w:bCs/>
      <w:sz w:val="26"/>
      <w:szCs w:val="26"/>
      <w:lang w:val="ro-RO" w:eastAsia="ro-RO"/>
    </w:rPr>
  </w:style>
  <w:style w:type="character" w:styleId="CommentReference">
    <w:name w:val="annotation reference"/>
    <w:rsid w:val="007B7E0D"/>
    <w:rPr>
      <w:sz w:val="16"/>
      <w:szCs w:val="16"/>
    </w:rPr>
  </w:style>
  <w:style w:type="paragraph" w:styleId="CommentSubject">
    <w:name w:val="annotation subject"/>
    <w:basedOn w:val="CommentText"/>
    <w:next w:val="CommentText"/>
    <w:link w:val="CommentSubjectChar"/>
    <w:rsid w:val="007B7E0D"/>
    <w:rPr>
      <w:b/>
      <w:bCs/>
    </w:rPr>
  </w:style>
  <w:style w:type="character" w:customStyle="1" w:styleId="CommentSubjectChar">
    <w:name w:val="Comment Subject Char"/>
    <w:link w:val="CommentSubject"/>
    <w:rsid w:val="007B7E0D"/>
    <w:rPr>
      <w:rFonts w:ascii="Arial" w:hAnsi="Arial"/>
      <w:b/>
      <w:bCs/>
      <w:lang w:val="ro-RO" w:eastAsia="ro-RO"/>
    </w:rPr>
  </w:style>
  <w:style w:type="paragraph" w:styleId="EndnoteText">
    <w:name w:val="endnote text"/>
    <w:basedOn w:val="Normal"/>
    <w:link w:val="EndnoteTextChar"/>
    <w:rsid w:val="007B7E0D"/>
    <w:rPr>
      <w:sz w:val="20"/>
      <w:szCs w:val="20"/>
    </w:rPr>
  </w:style>
  <w:style w:type="character" w:customStyle="1" w:styleId="EndnoteTextChar">
    <w:name w:val="Endnote Text Char"/>
    <w:link w:val="EndnoteText"/>
    <w:rsid w:val="007B7E0D"/>
    <w:rPr>
      <w:rFonts w:ascii="Arial" w:hAnsi="Arial"/>
      <w:lang w:val="ro-RO" w:eastAsia="ro-RO"/>
    </w:rPr>
  </w:style>
  <w:style w:type="character" w:styleId="EndnoteReference">
    <w:name w:val="endnote reference"/>
    <w:rsid w:val="007B7E0D"/>
    <w:rPr>
      <w:vertAlign w:val="superscript"/>
    </w:rPr>
  </w:style>
  <w:style w:type="character" w:customStyle="1" w:styleId="FooterChar">
    <w:name w:val="Footer Char"/>
    <w:link w:val="Footer"/>
    <w:uiPriority w:val="99"/>
    <w:rsid w:val="007B7E0D"/>
    <w:rPr>
      <w:rFonts w:ascii="Arial" w:hAnsi="Arial"/>
      <w:sz w:val="24"/>
      <w:szCs w:val="24"/>
      <w:lang w:val="ro-RO" w:eastAsia="ro-RO"/>
    </w:rPr>
  </w:style>
  <w:style w:type="character" w:customStyle="1" w:styleId="Heading9Char">
    <w:name w:val="Heading 9 Char"/>
    <w:link w:val="Heading9"/>
    <w:rsid w:val="007B7E0D"/>
    <w:rPr>
      <w:rFonts w:ascii="Cambria" w:eastAsia="Times New Roman" w:hAnsi="Cambria" w:cs="Times New Roman"/>
      <w:sz w:val="22"/>
      <w:szCs w:val="22"/>
      <w:lang w:val="ro-RO" w:eastAsia="ro-RO"/>
    </w:rPr>
  </w:style>
  <w:style w:type="character" w:customStyle="1" w:styleId="BalloonTextChar">
    <w:name w:val="Balloon Text Char"/>
    <w:link w:val="BalloonText"/>
    <w:uiPriority w:val="99"/>
    <w:semiHidden/>
    <w:rsid w:val="007B7E0D"/>
    <w:rPr>
      <w:rFonts w:ascii="Tahoma" w:hAnsi="Tahoma" w:cs="Tahoma"/>
      <w:sz w:val="16"/>
      <w:szCs w:val="16"/>
      <w:lang w:val="ro-RO" w:eastAsia="ro-RO"/>
    </w:rPr>
  </w:style>
  <w:style w:type="character" w:customStyle="1" w:styleId="BodyTextChar">
    <w:name w:val="Body Text Char"/>
    <w:link w:val="BodyText"/>
    <w:semiHidden/>
    <w:rsid w:val="007B7E0D"/>
    <w:rPr>
      <w:rFonts w:ascii="Arial" w:hAnsi="Arial"/>
      <w:spacing w:val="-10"/>
      <w:sz w:val="24"/>
      <w:lang w:val="ro-RO" w:eastAsia="en-US"/>
    </w:rPr>
  </w:style>
  <w:style w:type="character" w:customStyle="1" w:styleId="apple-converted-space">
    <w:name w:val="apple-converted-space"/>
    <w:rsid w:val="007B7E0D"/>
  </w:style>
  <w:style w:type="paragraph" w:styleId="ListParagraph">
    <w:name w:val="List Paragraph"/>
    <w:basedOn w:val="Normal"/>
    <w:uiPriority w:val="34"/>
    <w:qFormat/>
    <w:rsid w:val="007B7E0D"/>
    <w:pPr>
      <w:ind w:left="720"/>
      <w:contextualSpacing/>
    </w:pPr>
  </w:style>
  <w:style w:type="character" w:styleId="Emphasis">
    <w:name w:val="Emphasis"/>
    <w:uiPriority w:val="99"/>
    <w:qFormat/>
    <w:rsid w:val="007B7E0D"/>
    <w:rPr>
      <w:i/>
      <w:iCs/>
    </w:rPr>
  </w:style>
  <w:style w:type="character" w:customStyle="1" w:styleId="ft">
    <w:name w:val="ft"/>
    <w:rsid w:val="007B7E0D"/>
  </w:style>
  <w:style w:type="character" w:customStyle="1" w:styleId="st">
    <w:name w:val="st"/>
    <w:basedOn w:val="DefaultParagraphFont"/>
    <w:uiPriority w:val="99"/>
    <w:rsid w:val="007B7E0D"/>
  </w:style>
  <w:style w:type="character" w:customStyle="1" w:styleId="Bodytext7">
    <w:name w:val="Body text (7)_"/>
    <w:link w:val="Bodytext70"/>
    <w:rsid w:val="007B7E0D"/>
    <w:rPr>
      <w:rFonts w:ascii="FrankRuehl" w:eastAsia="FrankRuehl" w:hAnsi="FrankRuehl" w:cs="FrankRuehl"/>
      <w:i/>
      <w:iCs/>
      <w:sz w:val="154"/>
      <w:szCs w:val="154"/>
      <w:shd w:val="clear" w:color="auto" w:fill="FFFFFF"/>
    </w:rPr>
  </w:style>
  <w:style w:type="character" w:customStyle="1" w:styleId="Bodytext8">
    <w:name w:val="Body text (8)_"/>
    <w:rsid w:val="007B7E0D"/>
    <w:rPr>
      <w:rFonts w:ascii="Microsoft Sans Serif" w:eastAsia="Microsoft Sans Serif" w:hAnsi="Microsoft Sans Serif" w:cs="Microsoft Sans Serif"/>
      <w:b w:val="0"/>
      <w:bCs w:val="0"/>
      <w:i w:val="0"/>
      <w:iCs w:val="0"/>
      <w:smallCaps w:val="0"/>
      <w:strike w:val="0"/>
      <w:sz w:val="17"/>
      <w:szCs w:val="17"/>
      <w:u w:val="none"/>
    </w:rPr>
  </w:style>
  <w:style w:type="character" w:customStyle="1" w:styleId="Bodytext8Bold">
    <w:name w:val="Body text (8) + Bold"/>
    <w:rsid w:val="007B7E0D"/>
    <w:rPr>
      <w:rFonts w:ascii="Microsoft Sans Serif" w:eastAsia="Microsoft Sans Serif" w:hAnsi="Microsoft Sans Serif" w:cs="Microsoft Sans Serif"/>
      <w:b/>
      <w:bCs/>
      <w:i w:val="0"/>
      <w:iCs w:val="0"/>
      <w:smallCaps w:val="0"/>
      <w:strike w:val="0"/>
      <w:color w:val="EBEBEB"/>
      <w:spacing w:val="0"/>
      <w:w w:val="100"/>
      <w:position w:val="0"/>
      <w:sz w:val="17"/>
      <w:szCs w:val="17"/>
      <w:u w:val="none"/>
      <w:lang w:val="uk-UA" w:eastAsia="uk-UA" w:bidi="uk-UA"/>
    </w:rPr>
  </w:style>
  <w:style w:type="character" w:customStyle="1" w:styleId="Bodytext80">
    <w:name w:val="Body text (8)"/>
    <w:rsid w:val="007B7E0D"/>
    <w:rPr>
      <w:rFonts w:ascii="Microsoft Sans Serif" w:eastAsia="Microsoft Sans Serif" w:hAnsi="Microsoft Sans Serif" w:cs="Microsoft Sans Serif"/>
      <w:b w:val="0"/>
      <w:bCs w:val="0"/>
      <w:i w:val="0"/>
      <w:iCs w:val="0"/>
      <w:smallCaps w:val="0"/>
      <w:strike w:val="0"/>
      <w:color w:val="EBEBEB"/>
      <w:spacing w:val="0"/>
      <w:w w:val="100"/>
      <w:position w:val="0"/>
      <w:sz w:val="17"/>
      <w:szCs w:val="17"/>
      <w:u w:val="none"/>
      <w:lang w:val="uk-UA" w:eastAsia="uk-UA" w:bidi="uk-UA"/>
    </w:rPr>
  </w:style>
  <w:style w:type="character" w:customStyle="1" w:styleId="Bodytext2">
    <w:name w:val="Body text (2)_"/>
    <w:link w:val="Bodytext20"/>
    <w:rsid w:val="007B7E0D"/>
    <w:rPr>
      <w:rFonts w:ascii="Trebuchet MS" w:eastAsia="Trebuchet MS" w:hAnsi="Trebuchet MS" w:cs="Trebuchet MS"/>
      <w:sz w:val="11"/>
      <w:szCs w:val="11"/>
      <w:shd w:val="clear" w:color="auto" w:fill="FFFFFF"/>
    </w:rPr>
  </w:style>
  <w:style w:type="character" w:customStyle="1" w:styleId="Bodytext2MicrosoftSansSerif">
    <w:name w:val="Body text (2) + Microsoft Sans Serif"/>
    <w:rsid w:val="007B7E0D"/>
    <w:rPr>
      <w:rFonts w:ascii="Microsoft Sans Serif" w:eastAsia="Microsoft Sans Serif" w:hAnsi="Microsoft Sans Serif" w:cs="Microsoft Sans Serif"/>
      <w:b w:val="0"/>
      <w:bCs w:val="0"/>
      <w:i w:val="0"/>
      <w:iCs w:val="0"/>
      <w:smallCaps w:val="0"/>
      <w:strike w:val="0"/>
      <w:color w:val="000000"/>
      <w:spacing w:val="0"/>
      <w:w w:val="100"/>
      <w:position w:val="0"/>
      <w:sz w:val="11"/>
      <w:szCs w:val="11"/>
      <w:u w:val="none"/>
      <w:lang w:val="uk-UA" w:eastAsia="uk-UA" w:bidi="uk-UA"/>
    </w:rPr>
  </w:style>
  <w:style w:type="character" w:customStyle="1" w:styleId="Bodytext2Calibri65ptBold">
    <w:name w:val="Body text (2) + Calibri.6.5 pt.Bold"/>
    <w:rsid w:val="007B7E0D"/>
    <w:rPr>
      <w:rFonts w:ascii="Calibri" w:eastAsia="Calibri" w:hAnsi="Calibri" w:cs="Calibri"/>
      <w:b/>
      <w:bCs/>
      <w:i w:val="0"/>
      <w:iCs w:val="0"/>
      <w:smallCaps w:val="0"/>
      <w:strike w:val="0"/>
      <w:color w:val="000000"/>
      <w:spacing w:val="0"/>
      <w:w w:val="100"/>
      <w:position w:val="0"/>
      <w:sz w:val="13"/>
      <w:szCs w:val="13"/>
      <w:u w:val="single"/>
      <w:lang w:val="uk-UA" w:eastAsia="uk-UA" w:bidi="uk-UA"/>
    </w:rPr>
  </w:style>
  <w:style w:type="character" w:customStyle="1" w:styleId="Bodytext9">
    <w:name w:val="Body text (9)_"/>
    <w:link w:val="Bodytext90"/>
    <w:rsid w:val="007B7E0D"/>
    <w:rPr>
      <w:rFonts w:ascii="Microsoft Sans Serif" w:eastAsia="Microsoft Sans Serif" w:hAnsi="Microsoft Sans Serif" w:cs="Microsoft Sans Serif"/>
      <w:sz w:val="26"/>
      <w:szCs w:val="26"/>
      <w:shd w:val="clear" w:color="auto" w:fill="FFFFFF"/>
    </w:rPr>
  </w:style>
  <w:style w:type="character" w:customStyle="1" w:styleId="Bodytext9TimesNewRoman14pt">
    <w:name w:val="Body text (9) + Times New Roman.14 pt"/>
    <w:rsid w:val="007B7E0D"/>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style>
  <w:style w:type="character" w:customStyle="1" w:styleId="Bodytext9FrankRuehl12pt">
    <w:name w:val="Body text (9) + FrankRuehl.12 pt"/>
    <w:rsid w:val="007B7E0D"/>
    <w:rPr>
      <w:rFonts w:ascii="FrankRuehl" w:eastAsia="FrankRuehl" w:hAnsi="FrankRuehl" w:cs="FrankRuehl"/>
      <w:b w:val="0"/>
      <w:bCs w:val="0"/>
      <w:i w:val="0"/>
      <w:iCs w:val="0"/>
      <w:smallCaps w:val="0"/>
      <w:strike w:val="0"/>
      <w:color w:val="000000"/>
      <w:spacing w:val="0"/>
      <w:w w:val="100"/>
      <w:position w:val="0"/>
      <w:sz w:val="24"/>
      <w:szCs w:val="24"/>
      <w:u w:val="none"/>
      <w:lang w:val="uk-UA" w:eastAsia="uk-UA" w:bidi="uk-UA"/>
    </w:rPr>
  </w:style>
  <w:style w:type="paragraph" w:customStyle="1" w:styleId="Bodytext70">
    <w:name w:val="Body text (7)"/>
    <w:basedOn w:val="Normal"/>
    <w:link w:val="Bodytext7"/>
    <w:rsid w:val="007B7E0D"/>
    <w:pPr>
      <w:widowControl w:val="0"/>
      <w:shd w:val="clear" w:color="auto" w:fill="FFFFFF"/>
      <w:spacing w:after="4380" w:line="0" w:lineRule="atLeast"/>
    </w:pPr>
    <w:rPr>
      <w:rFonts w:ascii="FrankRuehl" w:eastAsia="FrankRuehl" w:hAnsi="FrankRuehl" w:cs="FrankRuehl"/>
      <w:i/>
      <w:iCs/>
      <w:sz w:val="154"/>
      <w:szCs w:val="154"/>
      <w:lang w:val="en-GB" w:eastAsia="en-GB"/>
    </w:rPr>
  </w:style>
  <w:style w:type="paragraph" w:customStyle="1" w:styleId="Bodytext20">
    <w:name w:val="Body text (2)"/>
    <w:basedOn w:val="Normal"/>
    <w:link w:val="Bodytext2"/>
    <w:rsid w:val="007B7E0D"/>
    <w:pPr>
      <w:widowControl w:val="0"/>
      <w:shd w:val="clear" w:color="auto" w:fill="FFFFFF"/>
      <w:spacing w:before="240" w:line="135" w:lineRule="exact"/>
    </w:pPr>
    <w:rPr>
      <w:rFonts w:ascii="Trebuchet MS" w:eastAsia="Trebuchet MS" w:hAnsi="Trebuchet MS" w:cs="Trebuchet MS"/>
      <w:sz w:val="11"/>
      <w:szCs w:val="11"/>
      <w:lang w:val="en-GB" w:eastAsia="en-GB"/>
    </w:rPr>
  </w:style>
  <w:style w:type="paragraph" w:customStyle="1" w:styleId="Bodytext90">
    <w:name w:val="Body text (9)"/>
    <w:basedOn w:val="Normal"/>
    <w:link w:val="Bodytext9"/>
    <w:rsid w:val="007B7E0D"/>
    <w:pPr>
      <w:widowControl w:val="0"/>
      <w:shd w:val="clear" w:color="auto" w:fill="FFFFFF"/>
      <w:spacing w:before="540" w:after="360" w:line="413" w:lineRule="exact"/>
      <w:jc w:val="center"/>
    </w:pPr>
    <w:rPr>
      <w:rFonts w:ascii="Microsoft Sans Serif" w:eastAsia="Microsoft Sans Serif" w:hAnsi="Microsoft Sans Serif" w:cs="Microsoft Sans Serif"/>
      <w:sz w:val="26"/>
      <w:szCs w:val="26"/>
      <w:lang w:val="en-GB" w:eastAsia="en-GB"/>
    </w:rPr>
  </w:style>
  <w:style w:type="character" w:customStyle="1" w:styleId="Heading12">
    <w:name w:val="Heading #1 (2)_"/>
    <w:link w:val="Heading120"/>
    <w:rsid w:val="007B7E0D"/>
    <w:rPr>
      <w:rFonts w:ascii="Candara" w:eastAsia="Candara" w:hAnsi="Candara" w:cs="Candara"/>
      <w:sz w:val="42"/>
      <w:szCs w:val="42"/>
      <w:shd w:val="clear" w:color="auto" w:fill="FFFFFF"/>
    </w:rPr>
  </w:style>
  <w:style w:type="character" w:customStyle="1" w:styleId="Heading12MicrosoftSansSerif22ptItalic">
    <w:name w:val="Heading #1 (2) + Microsoft Sans Serif.22 pt.Italic"/>
    <w:rsid w:val="007B7E0D"/>
    <w:rPr>
      <w:rFonts w:ascii="Microsoft Sans Serif" w:eastAsia="Microsoft Sans Serif" w:hAnsi="Microsoft Sans Serif" w:cs="Microsoft Sans Serif"/>
      <w:b/>
      <w:bCs/>
      <w:i/>
      <w:iCs/>
      <w:color w:val="000000"/>
      <w:spacing w:val="0"/>
      <w:w w:val="100"/>
      <w:position w:val="0"/>
      <w:sz w:val="44"/>
      <w:szCs w:val="44"/>
      <w:shd w:val="clear" w:color="auto" w:fill="FFFFFF"/>
      <w:lang w:val="uk-UA" w:eastAsia="uk-UA" w:bidi="uk-UA"/>
    </w:rPr>
  </w:style>
  <w:style w:type="paragraph" w:customStyle="1" w:styleId="Heading120">
    <w:name w:val="Heading #1 (2)"/>
    <w:basedOn w:val="Normal"/>
    <w:link w:val="Heading12"/>
    <w:rsid w:val="007B7E0D"/>
    <w:pPr>
      <w:widowControl w:val="0"/>
      <w:shd w:val="clear" w:color="auto" w:fill="FFFFFF"/>
      <w:spacing w:line="0" w:lineRule="atLeast"/>
      <w:outlineLvl w:val="0"/>
    </w:pPr>
    <w:rPr>
      <w:rFonts w:ascii="Candara" w:eastAsia="Candara" w:hAnsi="Candara" w:cs="Candara"/>
      <w:sz w:val="42"/>
      <w:szCs w:val="42"/>
      <w:lang w:val="en-GB" w:eastAsia="en-GB"/>
    </w:rPr>
  </w:style>
  <w:style w:type="numbering" w:customStyle="1" w:styleId="FrListare1">
    <w:name w:val="Fără Listare1"/>
    <w:next w:val="NoList"/>
    <w:uiPriority w:val="99"/>
    <w:semiHidden/>
    <w:unhideWhenUsed/>
    <w:rsid w:val="007B7E0D"/>
  </w:style>
  <w:style w:type="numbering" w:customStyle="1" w:styleId="NoList1">
    <w:name w:val="No List1"/>
    <w:next w:val="NoList"/>
    <w:uiPriority w:val="99"/>
    <w:semiHidden/>
    <w:rsid w:val="007B7E0D"/>
  </w:style>
  <w:style w:type="table" w:customStyle="1" w:styleId="GrilTabel2">
    <w:name w:val="Grilă Tabel2"/>
    <w:basedOn w:val="TableNormal"/>
    <w:next w:val="TableGrid"/>
    <w:uiPriority w:val="59"/>
    <w:rsid w:val="007B7E0D"/>
    <w:rPr>
      <w:lang w:bidi="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lorfulList-Accent1Char">
    <w:name w:val="Colorful List - Accent 1 Char"/>
    <w:link w:val="ColorfulList-Accent1"/>
    <w:uiPriority w:val="34"/>
    <w:locked/>
    <w:rsid w:val="007B7E0D"/>
    <w:rPr>
      <w:rFonts w:ascii="Arial" w:hAnsi="Arial"/>
      <w:sz w:val="24"/>
      <w:lang w:val="uk-UA"/>
    </w:rPr>
  </w:style>
  <w:style w:type="table" w:customStyle="1" w:styleId="LightList-Accent211">
    <w:name w:val="Light List - Accent 211"/>
    <w:basedOn w:val="TableNormal"/>
    <w:next w:val="DarkList-Accent2"/>
    <w:uiPriority w:val="61"/>
    <w:rsid w:val="007B7E0D"/>
    <w:rPr>
      <w:rFonts w:ascii="Calibri" w:eastAsia="Calibri" w:hAnsi="Calibri"/>
      <w:sz w:val="22"/>
      <w:szCs w:val="22"/>
      <w:lang w:bidi="uk-UA"/>
    </w:rPr>
    <w:tblPr>
      <w:tblStyleRowBandSize w:val="1"/>
      <w:tblStyleColBandSize w:val="1"/>
      <w:tblBorders>
        <w:top w:val="single" w:sz="8" w:space="0" w:color="297FD5"/>
        <w:left w:val="single" w:sz="8" w:space="0" w:color="297FD5"/>
        <w:bottom w:val="single" w:sz="8" w:space="0" w:color="297FD5"/>
        <w:right w:val="single" w:sz="8" w:space="0" w:color="297FD5"/>
      </w:tblBorders>
    </w:tblPr>
    <w:tblStylePr w:type="firstRow">
      <w:pPr>
        <w:spacing w:before="0" w:after="0" w:line="240" w:lineRule="auto"/>
      </w:pPr>
      <w:rPr>
        <w:b/>
        <w:bCs/>
        <w:color w:val="FFFFFF"/>
      </w:rPr>
      <w:tblPr/>
      <w:tcPr>
        <w:shd w:val="clear" w:color="auto" w:fill="297FD5"/>
      </w:tcPr>
    </w:tblStylePr>
    <w:tblStylePr w:type="lastRow">
      <w:pPr>
        <w:spacing w:before="0" w:after="0" w:line="240" w:lineRule="auto"/>
      </w:pPr>
      <w:rPr>
        <w:b/>
        <w:bCs/>
      </w:rPr>
      <w:tblPr/>
      <w:tcPr>
        <w:tcBorders>
          <w:top w:val="double" w:sz="6" w:space="0" w:color="297FD5"/>
          <w:left w:val="single" w:sz="8" w:space="0" w:color="297FD5"/>
          <w:bottom w:val="single" w:sz="8" w:space="0" w:color="297FD5"/>
          <w:right w:val="single" w:sz="8" w:space="0" w:color="297FD5"/>
        </w:tcBorders>
      </w:tcPr>
    </w:tblStylePr>
    <w:tblStylePr w:type="firstCol">
      <w:rPr>
        <w:b/>
        <w:bCs/>
      </w:rPr>
    </w:tblStylePr>
    <w:tblStylePr w:type="lastCol">
      <w:rPr>
        <w:b/>
        <w:bCs/>
      </w:rPr>
    </w:tblStylePr>
    <w:tblStylePr w:type="band1Vert">
      <w:tblPr/>
      <w:tcPr>
        <w:tcBorders>
          <w:top w:val="single" w:sz="8" w:space="0" w:color="297FD5"/>
          <w:left w:val="single" w:sz="8" w:space="0" w:color="297FD5"/>
          <w:bottom w:val="single" w:sz="8" w:space="0" w:color="297FD5"/>
          <w:right w:val="single" w:sz="8" w:space="0" w:color="297FD5"/>
        </w:tcBorders>
      </w:tcPr>
    </w:tblStylePr>
    <w:tblStylePr w:type="band1Horz">
      <w:tblPr/>
      <w:tcPr>
        <w:tcBorders>
          <w:top w:val="single" w:sz="8" w:space="0" w:color="297FD5"/>
          <w:left w:val="single" w:sz="8" w:space="0" w:color="297FD5"/>
          <w:bottom w:val="single" w:sz="8" w:space="0" w:color="297FD5"/>
          <w:right w:val="single" w:sz="8" w:space="0" w:color="297FD5"/>
        </w:tcBorders>
      </w:tcPr>
    </w:tblStylePr>
  </w:style>
  <w:style w:type="table" w:customStyle="1" w:styleId="Listdeculoarenchis-Accentuare21">
    <w:name w:val="Listă de culoare închisă - Accentuare 21"/>
    <w:basedOn w:val="TableNormal"/>
    <w:next w:val="DarkList-Accent2"/>
    <w:uiPriority w:val="61"/>
    <w:rsid w:val="007B7E0D"/>
    <w:rPr>
      <w:lang w:bidi="uk-UA"/>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Tabel11">
    <w:name w:val="Grilă Tabel11"/>
    <w:basedOn w:val="TableNormal"/>
    <w:next w:val="TableGrid"/>
    <w:uiPriority w:val="59"/>
    <w:rsid w:val="007B7E0D"/>
    <w:rPr>
      <w:rFonts w:ascii="Calibri" w:eastAsia="Calibri" w:hAnsi="Calibri"/>
      <w:sz w:val="22"/>
      <w:szCs w:val="22"/>
      <w:lang w:bidi="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colorat-Accentuare12">
    <w:name w:val="Listă colorată - Accentuare 12"/>
    <w:basedOn w:val="TableNormal"/>
    <w:next w:val="ColorfulList-Accent1"/>
    <w:uiPriority w:val="34"/>
    <w:rsid w:val="007B7E0D"/>
    <w:rPr>
      <w:rFonts w:ascii="Arial" w:eastAsia="Calibri" w:hAnsi="Arial"/>
      <w:sz w:val="24"/>
      <w:szCs w:val="22"/>
      <w:lang w:bidi="uk-UA"/>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shorttext">
    <w:name w:val="short_text"/>
    <w:rsid w:val="007B7E0D"/>
  </w:style>
  <w:style w:type="character" w:customStyle="1" w:styleId="alt-edited">
    <w:name w:val="alt-edited"/>
    <w:rsid w:val="007B7E0D"/>
  </w:style>
  <w:style w:type="table" w:styleId="ColorfulList-Accent1">
    <w:name w:val="Colorful List Accent 1"/>
    <w:basedOn w:val="TableNormal"/>
    <w:link w:val="ColorfulList-Accent1Char"/>
    <w:uiPriority w:val="34"/>
    <w:rsid w:val="007B7E0D"/>
    <w:rPr>
      <w:rFonts w:ascii="Arial" w:hAnsi="Arial"/>
      <w:sz w:val="24"/>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357364">
      <w:bodyDiv w:val="1"/>
      <w:marLeft w:val="0"/>
      <w:marRight w:val="0"/>
      <w:marTop w:val="0"/>
      <w:marBottom w:val="0"/>
      <w:divBdr>
        <w:top w:val="none" w:sz="0" w:space="0" w:color="auto"/>
        <w:left w:val="none" w:sz="0" w:space="0" w:color="auto"/>
        <w:bottom w:val="none" w:sz="0" w:space="0" w:color="auto"/>
        <w:right w:val="none" w:sz="0" w:space="0" w:color="auto"/>
      </w:divBdr>
      <w:divsChild>
        <w:div w:id="439691080">
          <w:marLeft w:val="0"/>
          <w:marRight w:val="0"/>
          <w:marTop w:val="0"/>
          <w:marBottom w:val="0"/>
          <w:divBdr>
            <w:top w:val="none" w:sz="0" w:space="0" w:color="auto"/>
            <w:left w:val="none" w:sz="0" w:space="0" w:color="auto"/>
            <w:bottom w:val="none" w:sz="0" w:space="0" w:color="auto"/>
            <w:right w:val="none" w:sz="0" w:space="0" w:color="auto"/>
          </w:divBdr>
          <w:divsChild>
            <w:div w:id="2042777880">
              <w:marLeft w:val="0"/>
              <w:marRight w:val="0"/>
              <w:marTop w:val="0"/>
              <w:marBottom w:val="0"/>
              <w:divBdr>
                <w:top w:val="none" w:sz="0" w:space="0" w:color="auto"/>
                <w:left w:val="none" w:sz="0" w:space="0" w:color="auto"/>
                <w:bottom w:val="none" w:sz="0" w:space="0" w:color="auto"/>
                <w:right w:val="none" w:sz="0" w:space="0" w:color="auto"/>
              </w:divBdr>
              <w:divsChild>
                <w:div w:id="850140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03365">
      <w:bodyDiv w:val="1"/>
      <w:marLeft w:val="0"/>
      <w:marRight w:val="0"/>
      <w:marTop w:val="0"/>
      <w:marBottom w:val="0"/>
      <w:divBdr>
        <w:top w:val="none" w:sz="0" w:space="0" w:color="auto"/>
        <w:left w:val="none" w:sz="0" w:space="0" w:color="auto"/>
        <w:bottom w:val="none" w:sz="0" w:space="0" w:color="auto"/>
        <w:right w:val="none" w:sz="0" w:space="0" w:color="auto"/>
      </w:divBdr>
      <w:divsChild>
        <w:div w:id="2069182181">
          <w:marLeft w:val="0"/>
          <w:marRight w:val="0"/>
          <w:marTop w:val="0"/>
          <w:marBottom w:val="0"/>
          <w:divBdr>
            <w:top w:val="none" w:sz="0" w:space="0" w:color="auto"/>
            <w:left w:val="none" w:sz="0" w:space="0" w:color="auto"/>
            <w:bottom w:val="none" w:sz="0" w:space="0" w:color="auto"/>
            <w:right w:val="none" w:sz="0" w:space="0" w:color="auto"/>
          </w:divBdr>
          <w:divsChild>
            <w:div w:id="1332102525">
              <w:marLeft w:val="0"/>
              <w:marRight w:val="0"/>
              <w:marTop w:val="0"/>
              <w:marBottom w:val="0"/>
              <w:divBdr>
                <w:top w:val="none" w:sz="0" w:space="0" w:color="auto"/>
                <w:left w:val="none" w:sz="0" w:space="0" w:color="auto"/>
                <w:bottom w:val="none" w:sz="0" w:space="0" w:color="auto"/>
                <w:right w:val="none" w:sz="0" w:space="0" w:color="auto"/>
              </w:divBdr>
              <w:divsChild>
                <w:div w:id="138729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07623">
      <w:bodyDiv w:val="1"/>
      <w:marLeft w:val="0"/>
      <w:marRight w:val="0"/>
      <w:marTop w:val="0"/>
      <w:marBottom w:val="0"/>
      <w:divBdr>
        <w:top w:val="none" w:sz="0" w:space="0" w:color="auto"/>
        <w:left w:val="none" w:sz="0" w:space="0" w:color="auto"/>
        <w:bottom w:val="none" w:sz="0" w:space="0" w:color="auto"/>
        <w:right w:val="none" w:sz="0" w:space="0" w:color="auto"/>
      </w:divBdr>
    </w:div>
    <w:div w:id="200559406">
      <w:bodyDiv w:val="1"/>
      <w:marLeft w:val="0"/>
      <w:marRight w:val="0"/>
      <w:marTop w:val="0"/>
      <w:marBottom w:val="0"/>
      <w:divBdr>
        <w:top w:val="none" w:sz="0" w:space="0" w:color="auto"/>
        <w:left w:val="none" w:sz="0" w:space="0" w:color="auto"/>
        <w:bottom w:val="none" w:sz="0" w:space="0" w:color="auto"/>
        <w:right w:val="none" w:sz="0" w:space="0" w:color="auto"/>
      </w:divBdr>
    </w:div>
    <w:div w:id="207839232">
      <w:bodyDiv w:val="1"/>
      <w:marLeft w:val="0"/>
      <w:marRight w:val="0"/>
      <w:marTop w:val="0"/>
      <w:marBottom w:val="0"/>
      <w:divBdr>
        <w:top w:val="none" w:sz="0" w:space="0" w:color="auto"/>
        <w:left w:val="none" w:sz="0" w:space="0" w:color="auto"/>
        <w:bottom w:val="none" w:sz="0" w:space="0" w:color="auto"/>
        <w:right w:val="none" w:sz="0" w:space="0" w:color="auto"/>
      </w:divBdr>
      <w:divsChild>
        <w:div w:id="1758674889">
          <w:marLeft w:val="0"/>
          <w:marRight w:val="0"/>
          <w:marTop w:val="0"/>
          <w:marBottom w:val="0"/>
          <w:divBdr>
            <w:top w:val="none" w:sz="0" w:space="0" w:color="auto"/>
            <w:left w:val="none" w:sz="0" w:space="0" w:color="auto"/>
            <w:bottom w:val="none" w:sz="0" w:space="0" w:color="auto"/>
            <w:right w:val="none" w:sz="0" w:space="0" w:color="auto"/>
          </w:divBdr>
          <w:divsChild>
            <w:div w:id="777143730">
              <w:marLeft w:val="0"/>
              <w:marRight w:val="0"/>
              <w:marTop w:val="0"/>
              <w:marBottom w:val="0"/>
              <w:divBdr>
                <w:top w:val="none" w:sz="0" w:space="0" w:color="auto"/>
                <w:left w:val="none" w:sz="0" w:space="0" w:color="auto"/>
                <w:bottom w:val="none" w:sz="0" w:space="0" w:color="auto"/>
                <w:right w:val="none" w:sz="0" w:space="0" w:color="auto"/>
              </w:divBdr>
              <w:divsChild>
                <w:div w:id="186759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086333">
      <w:bodyDiv w:val="1"/>
      <w:marLeft w:val="0"/>
      <w:marRight w:val="0"/>
      <w:marTop w:val="0"/>
      <w:marBottom w:val="0"/>
      <w:divBdr>
        <w:top w:val="none" w:sz="0" w:space="0" w:color="auto"/>
        <w:left w:val="none" w:sz="0" w:space="0" w:color="auto"/>
        <w:bottom w:val="none" w:sz="0" w:space="0" w:color="auto"/>
        <w:right w:val="none" w:sz="0" w:space="0" w:color="auto"/>
      </w:divBdr>
    </w:div>
    <w:div w:id="293751328">
      <w:bodyDiv w:val="1"/>
      <w:marLeft w:val="0"/>
      <w:marRight w:val="0"/>
      <w:marTop w:val="0"/>
      <w:marBottom w:val="0"/>
      <w:divBdr>
        <w:top w:val="none" w:sz="0" w:space="0" w:color="auto"/>
        <w:left w:val="none" w:sz="0" w:space="0" w:color="auto"/>
        <w:bottom w:val="none" w:sz="0" w:space="0" w:color="auto"/>
        <w:right w:val="none" w:sz="0" w:space="0" w:color="auto"/>
      </w:divBdr>
      <w:divsChild>
        <w:div w:id="1855990981">
          <w:marLeft w:val="0"/>
          <w:marRight w:val="0"/>
          <w:marTop w:val="0"/>
          <w:marBottom w:val="0"/>
          <w:divBdr>
            <w:top w:val="none" w:sz="0" w:space="0" w:color="auto"/>
            <w:left w:val="none" w:sz="0" w:space="0" w:color="auto"/>
            <w:bottom w:val="none" w:sz="0" w:space="0" w:color="auto"/>
            <w:right w:val="none" w:sz="0" w:space="0" w:color="auto"/>
          </w:divBdr>
          <w:divsChild>
            <w:div w:id="1515070102">
              <w:marLeft w:val="0"/>
              <w:marRight w:val="0"/>
              <w:marTop w:val="0"/>
              <w:marBottom w:val="0"/>
              <w:divBdr>
                <w:top w:val="none" w:sz="0" w:space="0" w:color="auto"/>
                <w:left w:val="none" w:sz="0" w:space="0" w:color="auto"/>
                <w:bottom w:val="none" w:sz="0" w:space="0" w:color="auto"/>
                <w:right w:val="none" w:sz="0" w:space="0" w:color="auto"/>
              </w:divBdr>
              <w:divsChild>
                <w:div w:id="901406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707949">
      <w:bodyDiv w:val="1"/>
      <w:marLeft w:val="0"/>
      <w:marRight w:val="0"/>
      <w:marTop w:val="0"/>
      <w:marBottom w:val="0"/>
      <w:divBdr>
        <w:top w:val="none" w:sz="0" w:space="0" w:color="auto"/>
        <w:left w:val="none" w:sz="0" w:space="0" w:color="auto"/>
        <w:bottom w:val="none" w:sz="0" w:space="0" w:color="auto"/>
        <w:right w:val="none" w:sz="0" w:space="0" w:color="auto"/>
      </w:divBdr>
      <w:divsChild>
        <w:div w:id="8650852">
          <w:marLeft w:val="547"/>
          <w:marRight w:val="0"/>
          <w:marTop w:val="106"/>
          <w:marBottom w:val="0"/>
          <w:divBdr>
            <w:top w:val="none" w:sz="0" w:space="0" w:color="auto"/>
            <w:left w:val="none" w:sz="0" w:space="0" w:color="auto"/>
            <w:bottom w:val="none" w:sz="0" w:space="0" w:color="auto"/>
            <w:right w:val="none" w:sz="0" w:space="0" w:color="auto"/>
          </w:divBdr>
        </w:div>
        <w:div w:id="143400883">
          <w:marLeft w:val="547"/>
          <w:marRight w:val="0"/>
          <w:marTop w:val="106"/>
          <w:marBottom w:val="0"/>
          <w:divBdr>
            <w:top w:val="none" w:sz="0" w:space="0" w:color="auto"/>
            <w:left w:val="none" w:sz="0" w:space="0" w:color="auto"/>
            <w:bottom w:val="none" w:sz="0" w:space="0" w:color="auto"/>
            <w:right w:val="none" w:sz="0" w:space="0" w:color="auto"/>
          </w:divBdr>
        </w:div>
        <w:div w:id="263805180">
          <w:marLeft w:val="547"/>
          <w:marRight w:val="0"/>
          <w:marTop w:val="106"/>
          <w:marBottom w:val="0"/>
          <w:divBdr>
            <w:top w:val="none" w:sz="0" w:space="0" w:color="auto"/>
            <w:left w:val="none" w:sz="0" w:space="0" w:color="auto"/>
            <w:bottom w:val="none" w:sz="0" w:space="0" w:color="auto"/>
            <w:right w:val="none" w:sz="0" w:space="0" w:color="auto"/>
          </w:divBdr>
        </w:div>
        <w:div w:id="577792148">
          <w:marLeft w:val="547"/>
          <w:marRight w:val="0"/>
          <w:marTop w:val="106"/>
          <w:marBottom w:val="0"/>
          <w:divBdr>
            <w:top w:val="none" w:sz="0" w:space="0" w:color="auto"/>
            <w:left w:val="none" w:sz="0" w:space="0" w:color="auto"/>
            <w:bottom w:val="none" w:sz="0" w:space="0" w:color="auto"/>
            <w:right w:val="none" w:sz="0" w:space="0" w:color="auto"/>
          </w:divBdr>
        </w:div>
        <w:div w:id="728040126">
          <w:marLeft w:val="547"/>
          <w:marRight w:val="0"/>
          <w:marTop w:val="106"/>
          <w:marBottom w:val="0"/>
          <w:divBdr>
            <w:top w:val="none" w:sz="0" w:space="0" w:color="auto"/>
            <w:left w:val="none" w:sz="0" w:space="0" w:color="auto"/>
            <w:bottom w:val="none" w:sz="0" w:space="0" w:color="auto"/>
            <w:right w:val="none" w:sz="0" w:space="0" w:color="auto"/>
          </w:divBdr>
        </w:div>
        <w:div w:id="1194001065">
          <w:marLeft w:val="547"/>
          <w:marRight w:val="0"/>
          <w:marTop w:val="106"/>
          <w:marBottom w:val="0"/>
          <w:divBdr>
            <w:top w:val="none" w:sz="0" w:space="0" w:color="auto"/>
            <w:left w:val="none" w:sz="0" w:space="0" w:color="auto"/>
            <w:bottom w:val="none" w:sz="0" w:space="0" w:color="auto"/>
            <w:right w:val="none" w:sz="0" w:space="0" w:color="auto"/>
          </w:divBdr>
        </w:div>
      </w:divsChild>
    </w:div>
    <w:div w:id="336150256">
      <w:bodyDiv w:val="1"/>
      <w:marLeft w:val="0"/>
      <w:marRight w:val="0"/>
      <w:marTop w:val="0"/>
      <w:marBottom w:val="0"/>
      <w:divBdr>
        <w:top w:val="none" w:sz="0" w:space="0" w:color="auto"/>
        <w:left w:val="none" w:sz="0" w:space="0" w:color="auto"/>
        <w:bottom w:val="none" w:sz="0" w:space="0" w:color="auto"/>
        <w:right w:val="none" w:sz="0" w:space="0" w:color="auto"/>
      </w:divBdr>
    </w:div>
    <w:div w:id="394352387">
      <w:bodyDiv w:val="1"/>
      <w:marLeft w:val="0"/>
      <w:marRight w:val="0"/>
      <w:marTop w:val="0"/>
      <w:marBottom w:val="0"/>
      <w:divBdr>
        <w:top w:val="none" w:sz="0" w:space="0" w:color="auto"/>
        <w:left w:val="none" w:sz="0" w:space="0" w:color="auto"/>
        <w:bottom w:val="none" w:sz="0" w:space="0" w:color="auto"/>
        <w:right w:val="none" w:sz="0" w:space="0" w:color="auto"/>
      </w:divBdr>
      <w:divsChild>
        <w:div w:id="477188172">
          <w:marLeft w:val="0"/>
          <w:marRight w:val="0"/>
          <w:marTop w:val="0"/>
          <w:marBottom w:val="0"/>
          <w:divBdr>
            <w:top w:val="none" w:sz="0" w:space="0" w:color="auto"/>
            <w:left w:val="none" w:sz="0" w:space="0" w:color="auto"/>
            <w:bottom w:val="none" w:sz="0" w:space="0" w:color="auto"/>
            <w:right w:val="none" w:sz="0" w:space="0" w:color="auto"/>
          </w:divBdr>
          <w:divsChild>
            <w:div w:id="138613822">
              <w:marLeft w:val="0"/>
              <w:marRight w:val="0"/>
              <w:marTop w:val="0"/>
              <w:marBottom w:val="0"/>
              <w:divBdr>
                <w:top w:val="none" w:sz="0" w:space="0" w:color="auto"/>
                <w:left w:val="none" w:sz="0" w:space="0" w:color="auto"/>
                <w:bottom w:val="none" w:sz="0" w:space="0" w:color="auto"/>
                <w:right w:val="none" w:sz="0" w:space="0" w:color="auto"/>
              </w:divBdr>
              <w:divsChild>
                <w:div w:id="1905220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697778">
      <w:bodyDiv w:val="1"/>
      <w:marLeft w:val="0"/>
      <w:marRight w:val="0"/>
      <w:marTop w:val="0"/>
      <w:marBottom w:val="0"/>
      <w:divBdr>
        <w:top w:val="none" w:sz="0" w:space="0" w:color="auto"/>
        <w:left w:val="none" w:sz="0" w:space="0" w:color="auto"/>
        <w:bottom w:val="none" w:sz="0" w:space="0" w:color="auto"/>
        <w:right w:val="none" w:sz="0" w:space="0" w:color="auto"/>
      </w:divBdr>
    </w:div>
    <w:div w:id="472213053">
      <w:bodyDiv w:val="1"/>
      <w:marLeft w:val="0"/>
      <w:marRight w:val="0"/>
      <w:marTop w:val="0"/>
      <w:marBottom w:val="0"/>
      <w:divBdr>
        <w:top w:val="none" w:sz="0" w:space="0" w:color="auto"/>
        <w:left w:val="none" w:sz="0" w:space="0" w:color="auto"/>
        <w:bottom w:val="none" w:sz="0" w:space="0" w:color="auto"/>
        <w:right w:val="none" w:sz="0" w:space="0" w:color="auto"/>
      </w:divBdr>
      <w:divsChild>
        <w:div w:id="1997606980">
          <w:marLeft w:val="0"/>
          <w:marRight w:val="0"/>
          <w:marTop w:val="0"/>
          <w:marBottom w:val="0"/>
          <w:divBdr>
            <w:top w:val="none" w:sz="0" w:space="0" w:color="auto"/>
            <w:left w:val="none" w:sz="0" w:space="0" w:color="auto"/>
            <w:bottom w:val="none" w:sz="0" w:space="0" w:color="auto"/>
            <w:right w:val="none" w:sz="0" w:space="0" w:color="auto"/>
          </w:divBdr>
          <w:divsChild>
            <w:div w:id="999574460">
              <w:marLeft w:val="0"/>
              <w:marRight w:val="0"/>
              <w:marTop w:val="0"/>
              <w:marBottom w:val="0"/>
              <w:divBdr>
                <w:top w:val="none" w:sz="0" w:space="0" w:color="auto"/>
                <w:left w:val="none" w:sz="0" w:space="0" w:color="auto"/>
                <w:bottom w:val="none" w:sz="0" w:space="0" w:color="auto"/>
                <w:right w:val="none" w:sz="0" w:space="0" w:color="auto"/>
              </w:divBdr>
              <w:divsChild>
                <w:div w:id="145451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971244">
      <w:bodyDiv w:val="1"/>
      <w:marLeft w:val="0"/>
      <w:marRight w:val="0"/>
      <w:marTop w:val="0"/>
      <w:marBottom w:val="0"/>
      <w:divBdr>
        <w:top w:val="none" w:sz="0" w:space="0" w:color="auto"/>
        <w:left w:val="none" w:sz="0" w:space="0" w:color="auto"/>
        <w:bottom w:val="none" w:sz="0" w:space="0" w:color="auto"/>
        <w:right w:val="none" w:sz="0" w:space="0" w:color="auto"/>
      </w:divBdr>
      <w:divsChild>
        <w:div w:id="106973072">
          <w:marLeft w:val="1080"/>
          <w:marRight w:val="0"/>
          <w:marTop w:val="0"/>
          <w:marBottom w:val="0"/>
          <w:divBdr>
            <w:top w:val="none" w:sz="0" w:space="0" w:color="auto"/>
            <w:left w:val="none" w:sz="0" w:space="0" w:color="auto"/>
            <w:bottom w:val="none" w:sz="0" w:space="0" w:color="auto"/>
            <w:right w:val="none" w:sz="0" w:space="0" w:color="auto"/>
          </w:divBdr>
        </w:div>
        <w:div w:id="302076427">
          <w:marLeft w:val="1080"/>
          <w:marRight w:val="0"/>
          <w:marTop w:val="0"/>
          <w:marBottom w:val="0"/>
          <w:divBdr>
            <w:top w:val="none" w:sz="0" w:space="0" w:color="auto"/>
            <w:left w:val="none" w:sz="0" w:space="0" w:color="auto"/>
            <w:bottom w:val="none" w:sz="0" w:space="0" w:color="auto"/>
            <w:right w:val="none" w:sz="0" w:space="0" w:color="auto"/>
          </w:divBdr>
        </w:div>
        <w:div w:id="556480627">
          <w:marLeft w:val="1080"/>
          <w:marRight w:val="0"/>
          <w:marTop w:val="0"/>
          <w:marBottom w:val="0"/>
          <w:divBdr>
            <w:top w:val="none" w:sz="0" w:space="0" w:color="auto"/>
            <w:left w:val="none" w:sz="0" w:space="0" w:color="auto"/>
            <w:bottom w:val="none" w:sz="0" w:space="0" w:color="auto"/>
            <w:right w:val="none" w:sz="0" w:space="0" w:color="auto"/>
          </w:divBdr>
        </w:div>
        <w:div w:id="806321564">
          <w:marLeft w:val="1080"/>
          <w:marRight w:val="0"/>
          <w:marTop w:val="0"/>
          <w:marBottom w:val="0"/>
          <w:divBdr>
            <w:top w:val="none" w:sz="0" w:space="0" w:color="auto"/>
            <w:left w:val="none" w:sz="0" w:space="0" w:color="auto"/>
            <w:bottom w:val="none" w:sz="0" w:space="0" w:color="auto"/>
            <w:right w:val="none" w:sz="0" w:space="0" w:color="auto"/>
          </w:divBdr>
        </w:div>
        <w:div w:id="1001352310">
          <w:marLeft w:val="1080"/>
          <w:marRight w:val="0"/>
          <w:marTop w:val="0"/>
          <w:marBottom w:val="0"/>
          <w:divBdr>
            <w:top w:val="none" w:sz="0" w:space="0" w:color="auto"/>
            <w:left w:val="none" w:sz="0" w:space="0" w:color="auto"/>
            <w:bottom w:val="none" w:sz="0" w:space="0" w:color="auto"/>
            <w:right w:val="none" w:sz="0" w:space="0" w:color="auto"/>
          </w:divBdr>
        </w:div>
        <w:div w:id="1420372930">
          <w:marLeft w:val="1080"/>
          <w:marRight w:val="0"/>
          <w:marTop w:val="0"/>
          <w:marBottom w:val="0"/>
          <w:divBdr>
            <w:top w:val="none" w:sz="0" w:space="0" w:color="auto"/>
            <w:left w:val="none" w:sz="0" w:space="0" w:color="auto"/>
            <w:bottom w:val="none" w:sz="0" w:space="0" w:color="auto"/>
            <w:right w:val="none" w:sz="0" w:space="0" w:color="auto"/>
          </w:divBdr>
        </w:div>
        <w:div w:id="1587298396">
          <w:marLeft w:val="1080"/>
          <w:marRight w:val="0"/>
          <w:marTop w:val="0"/>
          <w:marBottom w:val="0"/>
          <w:divBdr>
            <w:top w:val="none" w:sz="0" w:space="0" w:color="auto"/>
            <w:left w:val="none" w:sz="0" w:space="0" w:color="auto"/>
            <w:bottom w:val="none" w:sz="0" w:space="0" w:color="auto"/>
            <w:right w:val="none" w:sz="0" w:space="0" w:color="auto"/>
          </w:divBdr>
        </w:div>
        <w:div w:id="1606188463">
          <w:marLeft w:val="1080"/>
          <w:marRight w:val="0"/>
          <w:marTop w:val="0"/>
          <w:marBottom w:val="0"/>
          <w:divBdr>
            <w:top w:val="none" w:sz="0" w:space="0" w:color="auto"/>
            <w:left w:val="none" w:sz="0" w:space="0" w:color="auto"/>
            <w:bottom w:val="none" w:sz="0" w:space="0" w:color="auto"/>
            <w:right w:val="none" w:sz="0" w:space="0" w:color="auto"/>
          </w:divBdr>
        </w:div>
        <w:div w:id="1728840470">
          <w:marLeft w:val="1080"/>
          <w:marRight w:val="0"/>
          <w:marTop w:val="0"/>
          <w:marBottom w:val="0"/>
          <w:divBdr>
            <w:top w:val="none" w:sz="0" w:space="0" w:color="auto"/>
            <w:left w:val="none" w:sz="0" w:space="0" w:color="auto"/>
            <w:bottom w:val="none" w:sz="0" w:space="0" w:color="auto"/>
            <w:right w:val="none" w:sz="0" w:space="0" w:color="auto"/>
          </w:divBdr>
        </w:div>
      </w:divsChild>
    </w:div>
    <w:div w:id="496650337">
      <w:bodyDiv w:val="1"/>
      <w:marLeft w:val="0"/>
      <w:marRight w:val="0"/>
      <w:marTop w:val="0"/>
      <w:marBottom w:val="0"/>
      <w:divBdr>
        <w:top w:val="none" w:sz="0" w:space="0" w:color="auto"/>
        <w:left w:val="none" w:sz="0" w:space="0" w:color="auto"/>
        <w:bottom w:val="none" w:sz="0" w:space="0" w:color="auto"/>
        <w:right w:val="none" w:sz="0" w:space="0" w:color="auto"/>
      </w:divBdr>
    </w:div>
    <w:div w:id="510753816">
      <w:bodyDiv w:val="1"/>
      <w:marLeft w:val="0"/>
      <w:marRight w:val="0"/>
      <w:marTop w:val="0"/>
      <w:marBottom w:val="0"/>
      <w:divBdr>
        <w:top w:val="none" w:sz="0" w:space="0" w:color="auto"/>
        <w:left w:val="none" w:sz="0" w:space="0" w:color="auto"/>
        <w:bottom w:val="none" w:sz="0" w:space="0" w:color="auto"/>
        <w:right w:val="none" w:sz="0" w:space="0" w:color="auto"/>
      </w:divBdr>
    </w:div>
    <w:div w:id="613097013">
      <w:bodyDiv w:val="1"/>
      <w:marLeft w:val="0"/>
      <w:marRight w:val="0"/>
      <w:marTop w:val="0"/>
      <w:marBottom w:val="0"/>
      <w:divBdr>
        <w:top w:val="none" w:sz="0" w:space="0" w:color="auto"/>
        <w:left w:val="none" w:sz="0" w:space="0" w:color="auto"/>
        <w:bottom w:val="none" w:sz="0" w:space="0" w:color="auto"/>
        <w:right w:val="none" w:sz="0" w:space="0" w:color="auto"/>
      </w:divBdr>
      <w:divsChild>
        <w:div w:id="114836185">
          <w:marLeft w:val="0"/>
          <w:marRight w:val="0"/>
          <w:marTop w:val="0"/>
          <w:marBottom w:val="0"/>
          <w:divBdr>
            <w:top w:val="none" w:sz="0" w:space="0" w:color="auto"/>
            <w:left w:val="none" w:sz="0" w:space="0" w:color="auto"/>
            <w:bottom w:val="none" w:sz="0" w:space="0" w:color="auto"/>
            <w:right w:val="none" w:sz="0" w:space="0" w:color="auto"/>
          </w:divBdr>
          <w:divsChild>
            <w:div w:id="520095231">
              <w:marLeft w:val="0"/>
              <w:marRight w:val="0"/>
              <w:marTop w:val="0"/>
              <w:marBottom w:val="0"/>
              <w:divBdr>
                <w:top w:val="none" w:sz="0" w:space="0" w:color="auto"/>
                <w:left w:val="none" w:sz="0" w:space="0" w:color="auto"/>
                <w:bottom w:val="none" w:sz="0" w:space="0" w:color="auto"/>
                <w:right w:val="none" w:sz="0" w:space="0" w:color="auto"/>
              </w:divBdr>
              <w:divsChild>
                <w:div w:id="839200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846030">
      <w:bodyDiv w:val="1"/>
      <w:marLeft w:val="0"/>
      <w:marRight w:val="0"/>
      <w:marTop w:val="0"/>
      <w:marBottom w:val="0"/>
      <w:divBdr>
        <w:top w:val="none" w:sz="0" w:space="0" w:color="auto"/>
        <w:left w:val="none" w:sz="0" w:space="0" w:color="auto"/>
        <w:bottom w:val="none" w:sz="0" w:space="0" w:color="auto"/>
        <w:right w:val="none" w:sz="0" w:space="0" w:color="auto"/>
      </w:divBdr>
    </w:div>
    <w:div w:id="665136420">
      <w:bodyDiv w:val="1"/>
      <w:marLeft w:val="0"/>
      <w:marRight w:val="0"/>
      <w:marTop w:val="0"/>
      <w:marBottom w:val="0"/>
      <w:divBdr>
        <w:top w:val="none" w:sz="0" w:space="0" w:color="auto"/>
        <w:left w:val="none" w:sz="0" w:space="0" w:color="auto"/>
        <w:bottom w:val="none" w:sz="0" w:space="0" w:color="auto"/>
        <w:right w:val="none" w:sz="0" w:space="0" w:color="auto"/>
      </w:divBdr>
    </w:div>
    <w:div w:id="701176146">
      <w:bodyDiv w:val="1"/>
      <w:marLeft w:val="0"/>
      <w:marRight w:val="0"/>
      <w:marTop w:val="0"/>
      <w:marBottom w:val="0"/>
      <w:divBdr>
        <w:top w:val="none" w:sz="0" w:space="0" w:color="auto"/>
        <w:left w:val="none" w:sz="0" w:space="0" w:color="auto"/>
        <w:bottom w:val="none" w:sz="0" w:space="0" w:color="auto"/>
        <w:right w:val="none" w:sz="0" w:space="0" w:color="auto"/>
      </w:divBdr>
    </w:div>
    <w:div w:id="711924752">
      <w:bodyDiv w:val="1"/>
      <w:marLeft w:val="0"/>
      <w:marRight w:val="0"/>
      <w:marTop w:val="0"/>
      <w:marBottom w:val="0"/>
      <w:divBdr>
        <w:top w:val="none" w:sz="0" w:space="0" w:color="auto"/>
        <w:left w:val="none" w:sz="0" w:space="0" w:color="auto"/>
        <w:bottom w:val="none" w:sz="0" w:space="0" w:color="auto"/>
        <w:right w:val="none" w:sz="0" w:space="0" w:color="auto"/>
      </w:divBdr>
    </w:div>
    <w:div w:id="772239504">
      <w:bodyDiv w:val="1"/>
      <w:marLeft w:val="0"/>
      <w:marRight w:val="0"/>
      <w:marTop w:val="0"/>
      <w:marBottom w:val="0"/>
      <w:divBdr>
        <w:top w:val="none" w:sz="0" w:space="0" w:color="auto"/>
        <w:left w:val="none" w:sz="0" w:space="0" w:color="auto"/>
        <w:bottom w:val="none" w:sz="0" w:space="0" w:color="auto"/>
        <w:right w:val="none" w:sz="0" w:space="0" w:color="auto"/>
      </w:divBdr>
      <w:divsChild>
        <w:div w:id="303318509">
          <w:marLeft w:val="0"/>
          <w:marRight w:val="0"/>
          <w:marTop w:val="0"/>
          <w:marBottom w:val="0"/>
          <w:divBdr>
            <w:top w:val="none" w:sz="0" w:space="0" w:color="auto"/>
            <w:left w:val="none" w:sz="0" w:space="0" w:color="auto"/>
            <w:bottom w:val="none" w:sz="0" w:space="0" w:color="auto"/>
            <w:right w:val="none" w:sz="0" w:space="0" w:color="auto"/>
          </w:divBdr>
          <w:divsChild>
            <w:div w:id="1308975044">
              <w:marLeft w:val="0"/>
              <w:marRight w:val="0"/>
              <w:marTop w:val="0"/>
              <w:marBottom w:val="0"/>
              <w:divBdr>
                <w:top w:val="none" w:sz="0" w:space="0" w:color="auto"/>
                <w:left w:val="none" w:sz="0" w:space="0" w:color="auto"/>
                <w:bottom w:val="none" w:sz="0" w:space="0" w:color="auto"/>
                <w:right w:val="none" w:sz="0" w:space="0" w:color="auto"/>
              </w:divBdr>
              <w:divsChild>
                <w:div w:id="101780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229467">
      <w:bodyDiv w:val="1"/>
      <w:marLeft w:val="0"/>
      <w:marRight w:val="0"/>
      <w:marTop w:val="0"/>
      <w:marBottom w:val="0"/>
      <w:divBdr>
        <w:top w:val="none" w:sz="0" w:space="0" w:color="auto"/>
        <w:left w:val="none" w:sz="0" w:space="0" w:color="auto"/>
        <w:bottom w:val="none" w:sz="0" w:space="0" w:color="auto"/>
        <w:right w:val="none" w:sz="0" w:space="0" w:color="auto"/>
      </w:divBdr>
    </w:div>
    <w:div w:id="790514295">
      <w:bodyDiv w:val="1"/>
      <w:marLeft w:val="0"/>
      <w:marRight w:val="0"/>
      <w:marTop w:val="0"/>
      <w:marBottom w:val="0"/>
      <w:divBdr>
        <w:top w:val="none" w:sz="0" w:space="0" w:color="auto"/>
        <w:left w:val="none" w:sz="0" w:space="0" w:color="auto"/>
        <w:bottom w:val="none" w:sz="0" w:space="0" w:color="auto"/>
        <w:right w:val="none" w:sz="0" w:space="0" w:color="auto"/>
      </w:divBdr>
    </w:div>
    <w:div w:id="823352850">
      <w:bodyDiv w:val="1"/>
      <w:marLeft w:val="0"/>
      <w:marRight w:val="0"/>
      <w:marTop w:val="0"/>
      <w:marBottom w:val="0"/>
      <w:divBdr>
        <w:top w:val="none" w:sz="0" w:space="0" w:color="auto"/>
        <w:left w:val="none" w:sz="0" w:space="0" w:color="auto"/>
        <w:bottom w:val="none" w:sz="0" w:space="0" w:color="auto"/>
        <w:right w:val="none" w:sz="0" w:space="0" w:color="auto"/>
      </w:divBdr>
      <w:divsChild>
        <w:div w:id="287977693">
          <w:marLeft w:val="0"/>
          <w:marRight w:val="0"/>
          <w:marTop w:val="0"/>
          <w:marBottom w:val="0"/>
          <w:divBdr>
            <w:top w:val="none" w:sz="0" w:space="0" w:color="auto"/>
            <w:left w:val="none" w:sz="0" w:space="0" w:color="auto"/>
            <w:bottom w:val="none" w:sz="0" w:space="0" w:color="auto"/>
            <w:right w:val="none" w:sz="0" w:space="0" w:color="auto"/>
          </w:divBdr>
          <w:divsChild>
            <w:div w:id="778329508">
              <w:marLeft w:val="0"/>
              <w:marRight w:val="0"/>
              <w:marTop w:val="0"/>
              <w:marBottom w:val="0"/>
              <w:divBdr>
                <w:top w:val="none" w:sz="0" w:space="0" w:color="auto"/>
                <w:left w:val="none" w:sz="0" w:space="0" w:color="auto"/>
                <w:bottom w:val="none" w:sz="0" w:space="0" w:color="auto"/>
                <w:right w:val="none" w:sz="0" w:space="0" w:color="auto"/>
              </w:divBdr>
              <w:divsChild>
                <w:div w:id="2146776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096760">
      <w:bodyDiv w:val="1"/>
      <w:marLeft w:val="0"/>
      <w:marRight w:val="0"/>
      <w:marTop w:val="0"/>
      <w:marBottom w:val="0"/>
      <w:divBdr>
        <w:top w:val="none" w:sz="0" w:space="0" w:color="auto"/>
        <w:left w:val="none" w:sz="0" w:space="0" w:color="auto"/>
        <w:bottom w:val="none" w:sz="0" w:space="0" w:color="auto"/>
        <w:right w:val="none" w:sz="0" w:space="0" w:color="auto"/>
      </w:divBdr>
      <w:divsChild>
        <w:div w:id="262618364">
          <w:marLeft w:val="0"/>
          <w:marRight w:val="0"/>
          <w:marTop w:val="0"/>
          <w:marBottom w:val="0"/>
          <w:divBdr>
            <w:top w:val="none" w:sz="0" w:space="0" w:color="auto"/>
            <w:left w:val="none" w:sz="0" w:space="0" w:color="auto"/>
            <w:bottom w:val="none" w:sz="0" w:space="0" w:color="auto"/>
            <w:right w:val="none" w:sz="0" w:space="0" w:color="auto"/>
          </w:divBdr>
          <w:divsChild>
            <w:div w:id="441800630">
              <w:marLeft w:val="0"/>
              <w:marRight w:val="0"/>
              <w:marTop w:val="0"/>
              <w:marBottom w:val="0"/>
              <w:divBdr>
                <w:top w:val="none" w:sz="0" w:space="0" w:color="auto"/>
                <w:left w:val="none" w:sz="0" w:space="0" w:color="auto"/>
                <w:bottom w:val="none" w:sz="0" w:space="0" w:color="auto"/>
                <w:right w:val="none" w:sz="0" w:space="0" w:color="auto"/>
              </w:divBdr>
              <w:divsChild>
                <w:div w:id="156383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255238">
      <w:bodyDiv w:val="1"/>
      <w:marLeft w:val="0"/>
      <w:marRight w:val="0"/>
      <w:marTop w:val="0"/>
      <w:marBottom w:val="0"/>
      <w:divBdr>
        <w:top w:val="none" w:sz="0" w:space="0" w:color="auto"/>
        <w:left w:val="none" w:sz="0" w:space="0" w:color="auto"/>
        <w:bottom w:val="none" w:sz="0" w:space="0" w:color="auto"/>
        <w:right w:val="none" w:sz="0" w:space="0" w:color="auto"/>
      </w:divBdr>
      <w:divsChild>
        <w:div w:id="138689888">
          <w:marLeft w:val="0"/>
          <w:marRight w:val="0"/>
          <w:marTop w:val="0"/>
          <w:marBottom w:val="0"/>
          <w:divBdr>
            <w:top w:val="none" w:sz="0" w:space="0" w:color="auto"/>
            <w:left w:val="none" w:sz="0" w:space="0" w:color="auto"/>
            <w:bottom w:val="none" w:sz="0" w:space="0" w:color="auto"/>
            <w:right w:val="none" w:sz="0" w:space="0" w:color="auto"/>
          </w:divBdr>
          <w:divsChild>
            <w:div w:id="1324624479">
              <w:marLeft w:val="0"/>
              <w:marRight w:val="0"/>
              <w:marTop w:val="0"/>
              <w:marBottom w:val="0"/>
              <w:divBdr>
                <w:top w:val="none" w:sz="0" w:space="0" w:color="auto"/>
                <w:left w:val="none" w:sz="0" w:space="0" w:color="auto"/>
                <w:bottom w:val="none" w:sz="0" w:space="0" w:color="auto"/>
                <w:right w:val="none" w:sz="0" w:space="0" w:color="auto"/>
              </w:divBdr>
              <w:divsChild>
                <w:div w:id="294524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307649">
      <w:bodyDiv w:val="1"/>
      <w:marLeft w:val="0"/>
      <w:marRight w:val="0"/>
      <w:marTop w:val="0"/>
      <w:marBottom w:val="0"/>
      <w:divBdr>
        <w:top w:val="none" w:sz="0" w:space="0" w:color="auto"/>
        <w:left w:val="none" w:sz="0" w:space="0" w:color="auto"/>
        <w:bottom w:val="none" w:sz="0" w:space="0" w:color="auto"/>
        <w:right w:val="none" w:sz="0" w:space="0" w:color="auto"/>
      </w:divBdr>
    </w:div>
    <w:div w:id="988023599">
      <w:bodyDiv w:val="1"/>
      <w:marLeft w:val="0"/>
      <w:marRight w:val="0"/>
      <w:marTop w:val="0"/>
      <w:marBottom w:val="0"/>
      <w:divBdr>
        <w:top w:val="none" w:sz="0" w:space="0" w:color="auto"/>
        <w:left w:val="none" w:sz="0" w:space="0" w:color="auto"/>
        <w:bottom w:val="none" w:sz="0" w:space="0" w:color="auto"/>
        <w:right w:val="none" w:sz="0" w:space="0" w:color="auto"/>
      </w:divBdr>
      <w:divsChild>
        <w:div w:id="1946227875">
          <w:marLeft w:val="0"/>
          <w:marRight w:val="0"/>
          <w:marTop w:val="0"/>
          <w:marBottom w:val="0"/>
          <w:divBdr>
            <w:top w:val="none" w:sz="0" w:space="0" w:color="auto"/>
            <w:left w:val="none" w:sz="0" w:space="0" w:color="auto"/>
            <w:bottom w:val="none" w:sz="0" w:space="0" w:color="auto"/>
            <w:right w:val="none" w:sz="0" w:space="0" w:color="auto"/>
          </w:divBdr>
          <w:divsChild>
            <w:div w:id="450591615">
              <w:marLeft w:val="0"/>
              <w:marRight w:val="0"/>
              <w:marTop w:val="0"/>
              <w:marBottom w:val="0"/>
              <w:divBdr>
                <w:top w:val="none" w:sz="0" w:space="0" w:color="auto"/>
                <w:left w:val="none" w:sz="0" w:space="0" w:color="auto"/>
                <w:bottom w:val="none" w:sz="0" w:space="0" w:color="auto"/>
                <w:right w:val="none" w:sz="0" w:space="0" w:color="auto"/>
              </w:divBdr>
              <w:divsChild>
                <w:div w:id="149541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807327">
      <w:bodyDiv w:val="1"/>
      <w:marLeft w:val="0"/>
      <w:marRight w:val="0"/>
      <w:marTop w:val="0"/>
      <w:marBottom w:val="0"/>
      <w:divBdr>
        <w:top w:val="none" w:sz="0" w:space="0" w:color="auto"/>
        <w:left w:val="none" w:sz="0" w:space="0" w:color="auto"/>
        <w:bottom w:val="none" w:sz="0" w:space="0" w:color="auto"/>
        <w:right w:val="none" w:sz="0" w:space="0" w:color="auto"/>
      </w:divBdr>
      <w:divsChild>
        <w:div w:id="1335573750">
          <w:marLeft w:val="0"/>
          <w:marRight w:val="0"/>
          <w:marTop w:val="0"/>
          <w:marBottom w:val="0"/>
          <w:divBdr>
            <w:top w:val="none" w:sz="0" w:space="0" w:color="auto"/>
            <w:left w:val="none" w:sz="0" w:space="0" w:color="auto"/>
            <w:bottom w:val="none" w:sz="0" w:space="0" w:color="auto"/>
            <w:right w:val="none" w:sz="0" w:space="0" w:color="auto"/>
          </w:divBdr>
          <w:divsChild>
            <w:div w:id="1116482775">
              <w:marLeft w:val="0"/>
              <w:marRight w:val="0"/>
              <w:marTop w:val="0"/>
              <w:marBottom w:val="0"/>
              <w:divBdr>
                <w:top w:val="none" w:sz="0" w:space="0" w:color="auto"/>
                <w:left w:val="none" w:sz="0" w:space="0" w:color="auto"/>
                <w:bottom w:val="none" w:sz="0" w:space="0" w:color="auto"/>
                <w:right w:val="none" w:sz="0" w:space="0" w:color="auto"/>
              </w:divBdr>
              <w:divsChild>
                <w:div w:id="18189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174137">
      <w:bodyDiv w:val="1"/>
      <w:marLeft w:val="0"/>
      <w:marRight w:val="0"/>
      <w:marTop w:val="0"/>
      <w:marBottom w:val="0"/>
      <w:divBdr>
        <w:top w:val="none" w:sz="0" w:space="0" w:color="auto"/>
        <w:left w:val="none" w:sz="0" w:space="0" w:color="auto"/>
        <w:bottom w:val="none" w:sz="0" w:space="0" w:color="auto"/>
        <w:right w:val="none" w:sz="0" w:space="0" w:color="auto"/>
      </w:divBdr>
    </w:div>
    <w:div w:id="1108701148">
      <w:bodyDiv w:val="1"/>
      <w:marLeft w:val="0"/>
      <w:marRight w:val="0"/>
      <w:marTop w:val="0"/>
      <w:marBottom w:val="0"/>
      <w:divBdr>
        <w:top w:val="none" w:sz="0" w:space="0" w:color="auto"/>
        <w:left w:val="none" w:sz="0" w:space="0" w:color="auto"/>
        <w:bottom w:val="none" w:sz="0" w:space="0" w:color="auto"/>
        <w:right w:val="none" w:sz="0" w:space="0" w:color="auto"/>
      </w:divBdr>
    </w:div>
    <w:div w:id="1134375058">
      <w:bodyDiv w:val="1"/>
      <w:marLeft w:val="0"/>
      <w:marRight w:val="0"/>
      <w:marTop w:val="0"/>
      <w:marBottom w:val="0"/>
      <w:divBdr>
        <w:top w:val="none" w:sz="0" w:space="0" w:color="auto"/>
        <w:left w:val="none" w:sz="0" w:space="0" w:color="auto"/>
        <w:bottom w:val="none" w:sz="0" w:space="0" w:color="auto"/>
        <w:right w:val="none" w:sz="0" w:space="0" w:color="auto"/>
      </w:divBdr>
      <w:divsChild>
        <w:div w:id="777605938">
          <w:marLeft w:val="0"/>
          <w:marRight w:val="0"/>
          <w:marTop w:val="0"/>
          <w:marBottom w:val="0"/>
          <w:divBdr>
            <w:top w:val="none" w:sz="0" w:space="0" w:color="auto"/>
            <w:left w:val="none" w:sz="0" w:space="0" w:color="auto"/>
            <w:bottom w:val="none" w:sz="0" w:space="0" w:color="auto"/>
            <w:right w:val="none" w:sz="0" w:space="0" w:color="auto"/>
          </w:divBdr>
          <w:divsChild>
            <w:div w:id="1763067847">
              <w:marLeft w:val="0"/>
              <w:marRight w:val="0"/>
              <w:marTop w:val="0"/>
              <w:marBottom w:val="0"/>
              <w:divBdr>
                <w:top w:val="none" w:sz="0" w:space="0" w:color="auto"/>
                <w:left w:val="none" w:sz="0" w:space="0" w:color="auto"/>
                <w:bottom w:val="none" w:sz="0" w:space="0" w:color="auto"/>
                <w:right w:val="none" w:sz="0" w:space="0" w:color="auto"/>
              </w:divBdr>
              <w:divsChild>
                <w:div w:id="30346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057139">
      <w:bodyDiv w:val="1"/>
      <w:marLeft w:val="0"/>
      <w:marRight w:val="0"/>
      <w:marTop w:val="0"/>
      <w:marBottom w:val="0"/>
      <w:divBdr>
        <w:top w:val="none" w:sz="0" w:space="0" w:color="auto"/>
        <w:left w:val="none" w:sz="0" w:space="0" w:color="auto"/>
        <w:bottom w:val="none" w:sz="0" w:space="0" w:color="auto"/>
        <w:right w:val="none" w:sz="0" w:space="0" w:color="auto"/>
      </w:divBdr>
      <w:divsChild>
        <w:div w:id="975989559">
          <w:marLeft w:val="0"/>
          <w:marRight w:val="0"/>
          <w:marTop w:val="0"/>
          <w:marBottom w:val="0"/>
          <w:divBdr>
            <w:top w:val="none" w:sz="0" w:space="0" w:color="auto"/>
            <w:left w:val="none" w:sz="0" w:space="0" w:color="auto"/>
            <w:bottom w:val="none" w:sz="0" w:space="0" w:color="auto"/>
            <w:right w:val="none" w:sz="0" w:space="0" w:color="auto"/>
          </w:divBdr>
          <w:divsChild>
            <w:div w:id="1448819194">
              <w:marLeft w:val="0"/>
              <w:marRight w:val="0"/>
              <w:marTop w:val="0"/>
              <w:marBottom w:val="0"/>
              <w:divBdr>
                <w:top w:val="none" w:sz="0" w:space="0" w:color="auto"/>
                <w:left w:val="none" w:sz="0" w:space="0" w:color="auto"/>
                <w:bottom w:val="none" w:sz="0" w:space="0" w:color="auto"/>
                <w:right w:val="none" w:sz="0" w:space="0" w:color="auto"/>
              </w:divBdr>
              <w:divsChild>
                <w:div w:id="151927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050854">
      <w:bodyDiv w:val="1"/>
      <w:marLeft w:val="0"/>
      <w:marRight w:val="0"/>
      <w:marTop w:val="0"/>
      <w:marBottom w:val="0"/>
      <w:divBdr>
        <w:top w:val="none" w:sz="0" w:space="0" w:color="auto"/>
        <w:left w:val="none" w:sz="0" w:space="0" w:color="auto"/>
        <w:bottom w:val="none" w:sz="0" w:space="0" w:color="auto"/>
        <w:right w:val="none" w:sz="0" w:space="0" w:color="auto"/>
      </w:divBdr>
    </w:div>
    <w:div w:id="1313943301">
      <w:bodyDiv w:val="1"/>
      <w:marLeft w:val="0"/>
      <w:marRight w:val="0"/>
      <w:marTop w:val="0"/>
      <w:marBottom w:val="0"/>
      <w:divBdr>
        <w:top w:val="none" w:sz="0" w:space="0" w:color="auto"/>
        <w:left w:val="none" w:sz="0" w:space="0" w:color="auto"/>
        <w:bottom w:val="none" w:sz="0" w:space="0" w:color="auto"/>
        <w:right w:val="none" w:sz="0" w:space="0" w:color="auto"/>
      </w:divBdr>
      <w:divsChild>
        <w:div w:id="53311311">
          <w:marLeft w:val="0"/>
          <w:marRight w:val="0"/>
          <w:marTop w:val="0"/>
          <w:marBottom w:val="0"/>
          <w:divBdr>
            <w:top w:val="none" w:sz="0" w:space="0" w:color="auto"/>
            <w:left w:val="none" w:sz="0" w:space="0" w:color="auto"/>
            <w:bottom w:val="none" w:sz="0" w:space="0" w:color="auto"/>
            <w:right w:val="none" w:sz="0" w:space="0" w:color="auto"/>
          </w:divBdr>
          <w:divsChild>
            <w:div w:id="1829979274">
              <w:marLeft w:val="0"/>
              <w:marRight w:val="0"/>
              <w:marTop w:val="0"/>
              <w:marBottom w:val="0"/>
              <w:divBdr>
                <w:top w:val="none" w:sz="0" w:space="0" w:color="auto"/>
                <w:left w:val="none" w:sz="0" w:space="0" w:color="auto"/>
                <w:bottom w:val="none" w:sz="0" w:space="0" w:color="auto"/>
                <w:right w:val="none" w:sz="0" w:space="0" w:color="auto"/>
              </w:divBdr>
              <w:divsChild>
                <w:div w:id="114781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126717">
      <w:bodyDiv w:val="1"/>
      <w:marLeft w:val="0"/>
      <w:marRight w:val="0"/>
      <w:marTop w:val="0"/>
      <w:marBottom w:val="0"/>
      <w:divBdr>
        <w:top w:val="none" w:sz="0" w:space="0" w:color="auto"/>
        <w:left w:val="none" w:sz="0" w:space="0" w:color="auto"/>
        <w:bottom w:val="none" w:sz="0" w:space="0" w:color="auto"/>
        <w:right w:val="none" w:sz="0" w:space="0" w:color="auto"/>
      </w:divBdr>
    </w:div>
    <w:div w:id="1361591245">
      <w:bodyDiv w:val="1"/>
      <w:marLeft w:val="0"/>
      <w:marRight w:val="0"/>
      <w:marTop w:val="0"/>
      <w:marBottom w:val="0"/>
      <w:divBdr>
        <w:top w:val="none" w:sz="0" w:space="0" w:color="auto"/>
        <w:left w:val="none" w:sz="0" w:space="0" w:color="auto"/>
        <w:bottom w:val="none" w:sz="0" w:space="0" w:color="auto"/>
        <w:right w:val="none" w:sz="0" w:space="0" w:color="auto"/>
      </w:divBdr>
      <w:divsChild>
        <w:div w:id="2014840538">
          <w:marLeft w:val="0"/>
          <w:marRight w:val="0"/>
          <w:marTop w:val="0"/>
          <w:marBottom w:val="0"/>
          <w:divBdr>
            <w:top w:val="none" w:sz="0" w:space="0" w:color="auto"/>
            <w:left w:val="none" w:sz="0" w:space="0" w:color="auto"/>
            <w:bottom w:val="none" w:sz="0" w:space="0" w:color="auto"/>
            <w:right w:val="none" w:sz="0" w:space="0" w:color="auto"/>
          </w:divBdr>
          <w:divsChild>
            <w:div w:id="979765969">
              <w:marLeft w:val="0"/>
              <w:marRight w:val="0"/>
              <w:marTop w:val="0"/>
              <w:marBottom w:val="0"/>
              <w:divBdr>
                <w:top w:val="none" w:sz="0" w:space="0" w:color="auto"/>
                <w:left w:val="none" w:sz="0" w:space="0" w:color="auto"/>
                <w:bottom w:val="none" w:sz="0" w:space="0" w:color="auto"/>
                <w:right w:val="none" w:sz="0" w:space="0" w:color="auto"/>
              </w:divBdr>
              <w:divsChild>
                <w:div w:id="2133013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176848">
      <w:bodyDiv w:val="1"/>
      <w:marLeft w:val="0"/>
      <w:marRight w:val="0"/>
      <w:marTop w:val="0"/>
      <w:marBottom w:val="0"/>
      <w:divBdr>
        <w:top w:val="none" w:sz="0" w:space="0" w:color="auto"/>
        <w:left w:val="none" w:sz="0" w:space="0" w:color="auto"/>
        <w:bottom w:val="none" w:sz="0" w:space="0" w:color="auto"/>
        <w:right w:val="none" w:sz="0" w:space="0" w:color="auto"/>
      </w:divBdr>
    </w:div>
    <w:div w:id="1514955482">
      <w:bodyDiv w:val="1"/>
      <w:marLeft w:val="0"/>
      <w:marRight w:val="0"/>
      <w:marTop w:val="0"/>
      <w:marBottom w:val="0"/>
      <w:divBdr>
        <w:top w:val="none" w:sz="0" w:space="0" w:color="auto"/>
        <w:left w:val="none" w:sz="0" w:space="0" w:color="auto"/>
        <w:bottom w:val="none" w:sz="0" w:space="0" w:color="auto"/>
        <w:right w:val="none" w:sz="0" w:space="0" w:color="auto"/>
      </w:divBdr>
    </w:div>
    <w:div w:id="1635677670">
      <w:bodyDiv w:val="1"/>
      <w:marLeft w:val="0"/>
      <w:marRight w:val="0"/>
      <w:marTop w:val="0"/>
      <w:marBottom w:val="0"/>
      <w:divBdr>
        <w:top w:val="none" w:sz="0" w:space="0" w:color="auto"/>
        <w:left w:val="none" w:sz="0" w:space="0" w:color="auto"/>
        <w:bottom w:val="none" w:sz="0" w:space="0" w:color="auto"/>
        <w:right w:val="none" w:sz="0" w:space="0" w:color="auto"/>
      </w:divBdr>
      <w:divsChild>
        <w:div w:id="1758290249">
          <w:marLeft w:val="0"/>
          <w:marRight w:val="0"/>
          <w:marTop w:val="0"/>
          <w:marBottom w:val="0"/>
          <w:divBdr>
            <w:top w:val="none" w:sz="0" w:space="0" w:color="auto"/>
            <w:left w:val="none" w:sz="0" w:space="0" w:color="auto"/>
            <w:bottom w:val="none" w:sz="0" w:space="0" w:color="auto"/>
            <w:right w:val="none" w:sz="0" w:space="0" w:color="auto"/>
          </w:divBdr>
          <w:divsChild>
            <w:div w:id="1533417630">
              <w:marLeft w:val="0"/>
              <w:marRight w:val="0"/>
              <w:marTop w:val="0"/>
              <w:marBottom w:val="0"/>
              <w:divBdr>
                <w:top w:val="none" w:sz="0" w:space="0" w:color="auto"/>
                <w:left w:val="none" w:sz="0" w:space="0" w:color="auto"/>
                <w:bottom w:val="none" w:sz="0" w:space="0" w:color="auto"/>
                <w:right w:val="none" w:sz="0" w:space="0" w:color="auto"/>
              </w:divBdr>
              <w:divsChild>
                <w:div w:id="973675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248899">
      <w:bodyDiv w:val="1"/>
      <w:marLeft w:val="0"/>
      <w:marRight w:val="0"/>
      <w:marTop w:val="0"/>
      <w:marBottom w:val="0"/>
      <w:divBdr>
        <w:top w:val="none" w:sz="0" w:space="0" w:color="auto"/>
        <w:left w:val="none" w:sz="0" w:space="0" w:color="auto"/>
        <w:bottom w:val="none" w:sz="0" w:space="0" w:color="auto"/>
        <w:right w:val="none" w:sz="0" w:space="0" w:color="auto"/>
      </w:divBdr>
    </w:div>
    <w:div w:id="1712219718">
      <w:bodyDiv w:val="1"/>
      <w:marLeft w:val="0"/>
      <w:marRight w:val="0"/>
      <w:marTop w:val="0"/>
      <w:marBottom w:val="0"/>
      <w:divBdr>
        <w:top w:val="none" w:sz="0" w:space="0" w:color="auto"/>
        <w:left w:val="none" w:sz="0" w:space="0" w:color="auto"/>
        <w:bottom w:val="none" w:sz="0" w:space="0" w:color="auto"/>
        <w:right w:val="none" w:sz="0" w:space="0" w:color="auto"/>
      </w:divBdr>
    </w:div>
    <w:div w:id="1718117498">
      <w:bodyDiv w:val="1"/>
      <w:marLeft w:val="0"/>
      <w:marRight w:val="0"/>
      <w:marTop w:val="0"/>
      <w:marBottom w:val="0"/>
      <w:divBdr>
        <w:top w:val="none" w:sz="0" w:space="0" w:color="auto"/>
        <w:left w:val="none" w:sz="0" w:space="0" w:color="auto"/>
        <w:bottom w:val="none" w:sz="0" w:space="0" w:color="auto"/>
        <w:right w:val="none" w:sz="0" w:space="0" w:color="auto"/>
      </w:divBdr>
      <w:divsChild>
        <w:div w:id="740519649">
          <w:marLeft w:val="0"/>
          <w:marRight w:val="0"/>
          <w:marTop w:val="0"/>
          <w:marBottom w:val="0"/>
          <w:divBdr>
            <w:top w:val="none" w:sz="0" w:space="0" w:color="auto"/>
            <w:left w:val="none" w:sz="0" w:space="0" w:color="auto"/>
            <w:bottom w:val="none" w:sz="0" w:space="0" w:color="auto"/>
            <w:right w:val="none" w:sz="0" w:space="0" w:color="auto"/>
          </w:divBdr>
          <w:divsChild>
            <w:div w:id="1512135637">
              <w:marLeft w:val="0"/>
              <w:marRight w:val="0"/>
              <w:marTop w:val="0"/>
              <w:marBottom w:val="0"/>
              <w:divBdr>
                <w:top w:val="none" w:sz="0" w:space="0" w:color="auto"/>
                <w:left w:val="none" w:sz="0" w:space="0" w:color="auto"/>
                <w:bottom w:val="none" w:sz="0" w:space="0" w:color="auto"/>
                <w:right w:val="none" w:sz="0" w:space="0" w:color="auto"/>
              </w:divBdr>
              <w:divsChild>
                <w:div w:id="197814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435939">
      <w:bodyDiv w:val="1"/>
      <w:marLeft w:val="0"/>
      <w:marRight w:val="0"/>
      <w:marTop w:val="0"/>
      <w:marBottom w:val="0"/>
      <w:divBdr>
        <w:top w:val="none" w:sz="0" w:space="0" w:color="auto"/>
        <w:left w:val="none" w:sz="0" w:space="0" w:color="auto"/>
        <w:bottom w:val="none" w:sz="0" w:space="0" w:color="auto"/>
        <w:right w:val="none" w:sz="0" w:space="0" w:color="auto"/>
      </w:divBdr>
    </w:div>
    <w:div w:id="1733384950">
      <w:bodyDiv w:val="1"/>
      <w:marLeft w:val="0"/>
      <w:marRight w:val="0"/>
      <w:marTop w:val="0"/>
      <w:marBottom w:val="0"/>
      <w:divBdr>
        <w:top w:val="none" w:sz="0" w:space="0" w:color="auto"/>
        <w:left w:val="none" w:sz="0" w:space="0" w:color="auto"/>
        <w:bottom w:val="none" w:sz="0" w:space="0" w:color="auto"/>
        <w:right w:val="none" w:sz="0" w:space="0" w:color="auto"/>
      </w:divBdr>
    </w:div>
    <w:div w:id="1748764484">
      <w:bodyDiv w:val="1"/>
      <w:marLeft w:val="0"/>
      <w:marRight w:val="0"/>
      <w:marTop w:val="0"/>
      <w:marBottom w:val="0"/>
      <w:divBdr>
        <w:top w:val="none" w:sz="0" w:space="0" w:color="auto"/>
        <w:left w:val="none" w:sz="0" w:space="0" w:color="auto"/>
        <w:bottom w:val="none" w:sz="0" w:space="0" w:color="auto"/>
        <w:right w:val="none" w:sz="0" w:space="0" w:color="auto"/>
      </w:divBdr>
      <w:divsChild>
        <w:div w:id="1431975579">
          <w:marLeft w:val="0"/>
          <w:marRight w:val="0"/>
          <w:marTop w:val="0"/>
          <w:marBottom w:val="0"/>
          <w:divBdr>
            <w:top w:val="none" w:sz="0" w:space="0" w:color="auto"/>
            <w:left w:val="none" w:sz="0" w:space="0" w:color="auto"/>
            <w:bottom w:val="none" w:sz="0" w:space="0" w:color="auto"/>
            <w:right w:val="none" w:sz="0" w:space="0" w:color="auto"/>
          </w:divBdr>
          <w:divsChild>
            <w:div w:id="972060949">
              <w:marLeft w:val="0"/>
              <w:marRight w:val="0"/>
              <w:marTop w:val="0"/>
              <w:marBottom w:val="0"/>
              <w:divBdr>
                <w:top w:val="none" w:sz="0" w:space="0" w:color="auto"/>
                <w:left w:val="none" w:sz="0" w:space="0" w:color="auto"/>
                <w:bottom w:val="none" w:sz="0" w:space="0" w:color="auto"/>
                <w:right w:val="none" w:sz="0" w:space="0" w:color="auto"/>
              </w:divBdr>
              <w:divsChild>
                <w:div w:id="100952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013420">
      <w:bodyDiv w:val="1"/>
      <w:marLeft w:val="0"/>
      <w:marRight w:val="0"/>
      <w:marTop w:val="0"/>
      <w:marBottom w:val="0"/>
      <w:divBdr>
        <w:top w:val="none" w:sz="0" w:space="0" w:color="auto"/>
        <w:left w:val="none" w:sz="0" w:space="0" w:color="auto"/>
        <w:bottom w:val="none" w:sz="0" w:space="0" w:color="auto"/>
        <w:right w:val="none" w:sz="0" w:space="0" w:color="auto"/>
      </w:divBdr>
    </w:div>
    <w:div w:id="1899903155">
      <w:bodyDiv w:val="1"/>
      <w:marLeft w:val="0"/>
      <w:marRight w:val="0"/>
      <w:marTop w:val="0"/>
      <w:marBottom w:val="0"/>
      <w:divBdr>
        <w:top w:val="none" w:sz="0" w:space="0" w:color="auto"/>
        <w:left w:val="none" w:sz="0" w:space="0" w:color="auto"/>
        <w:bottom w:val="none" w:sz="0" w:space="0" w:color="auto"/>
        <w:right w:val="none" w:sz="0" w:space="0" w:color="auto"/>
      </w:divBdr>
    </w:div>
    <w:div w:id="2123261307">
      <w:bodyDiv w:val="1"/>
      <w:marLeft w:val="0"/>
      <w:marRight w:val="0"/>
      <w:marTop w:val="0"/>
      <w:marBottom w:val="0"/>
      <w:divBdr>
        <w:top w:val="none" w:sz="0" w:space="0" w:color="auto"/>
        <w:left w:val="none" w:sz="0" w:space="0" w:color="auto"/>
        <w:bottom w:val="none" w:sz="0" w:space="0" w:color="auto"/>
        <w:right w:val="none" w:sz="0" w:space="0" w:color="auto"/>
      </w:divBdr>
      <w:divsChild>
        <w:div w:id="68120510">
          <w:marLeft w:val="0"/>
          <w:marRight w:val="0"/>
          <w:marTop w:val="0"/>
          <w:marBottom w:val="0"/>
          <w:divBdr>
            <w:top w:val="none" w:sz="0" w:space="0" w:color="auto"/>
            <w:left w:val="none" w:sz="0" w:space="0" w:color="auto"/>
            <w:bottom w:val="none" w:sz="0" w:space="0" w:color="auto"/>
            <w:right w:val="none" w:sz="0" w:space="0" w:color="auto"/>
          </w:divBdr>
          <w:divsChild>
            <w:div w:id="746074379">
              <w:marLeft w:val="0"/>
              <w:marRight w:val="0"/>
              <w:marTop w:val="0"/>
              <w:marBottom w:val="0"/>
              <w:divBdr>
                <w:top w:val="none" w:sz="0" w:space="0" w:color="auto"/>
                <w:left w:val="none" w:sz="0" w:space="0" w:color="auto"/>
                <w:bottom w:val="none" w:sz="0" w:space="0" w:color="auto"/>
                <w:right w:val="none" w:sz="0" w:space="0" w:color="auto"/>
              </w:divBdr>
              <w:divsChild>
                <w:div w:id="42673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7764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hyperlink" Target="http://ro.wikipedia.org/w/index.php?title=Szikszay_Lajos&amp;action=edit&amp;redlink=1" TargetMode="External"/><Relationship Id="rId21" Type="http://schemas.openxmlformats.org/officeDocument/2006/relationships/image" Target="media/image15.emf"/><Relationship Id="rId42" Type="http://schemas.openxmlformats.org/officeDocument/2006/relationships/footer" Target="footer6.xml"/><Relationship Id="rId47" Type="http://schemas.openxmlformats.org/officeDocument/2006/relationships/footer" Target="footer8.xml"/><Relationship Id="rId63" Type="http://schemas.openxmlformats.org/officeDocument/2006/relationships/image" Target="media/image37.wmf"/><Relationship Id="rId68" Type="http://schemas.openxmlformats.org/officeDocument/2006/relationships/image" Target="media/image40.jpeg"/><Relationship Id="rId84" Type="http://schemas.openxmlformats.org/officeDocument/2006/relationships/hyperlink" Target="http://ro.wikipedia.org/wiki/Centrul_artistic_Baia_Mare_-_Muzeul_de_Art%C4%83" TargetMode="External"/><Relationship Id="rId89" Type="http://schemas.openxmlformats.org/officeDocument/2006/relationships/hyperlink" Target="http://ro.wikipedia.org/wiki/Centrul_istoric_Sighetu_Marma%C8%9Biei" TargetMode="External"/><Relationship Id="rId112" Type="http://schemas.openxmlformats.org/officeDocument/2006/relationships/hyperlink" Target="http://ro.wikipedia.org/wiki/Szendrey_J%C3%BAlia" TargetMode="External"/><Relationship Id="rId133" Type="http://schemas.openxmlformats.org/officeDocument/2006/relationships/hyperlink" Target="http://ro.wikipedia.org/wiki/Casa_%E2%80%9ECiprian_Porumbescu%E2%80%9D_din_Suceava" TargetMode="External"/><Relationship Id="rId138" Type="http://schemas.openxmlformats.org/officeDocument/2006/relationships/header" Target="header11.xml"/><Relationship Id="rId154" Type="http://schemas.openxmlformats.org/officeDocument/2006/relationships/fontTable" Target="fontTable.xml"/><Relationship Id="rId16" Type="http://schemas.openxmlformats.org/officeDocument/2006/relationships/image" Target="media/image10.jpeg"/><Relationship Id="rId107" Type="http://schemas.openxmlformats.org/officeDocument/2006/relationships/hyperlink" Target="http://ro.wikipedia.org/w/index.php?title=Joseph_Bitthauser&amp;action=edit&amp;redlink=1" TargetMode="External"/><Relationship Id="rId11" Type="http://schemas.openxmlformats.org/officeDocument/2006/relationships/header" Target="header1.xml"/><Relationship Id="rId32" Type="http://schemas.openxmlformats.org/officeDocument/2006/relationships/footer" Target="footer5.xml"/><Relationship Id="rId37" Type="http://schemas.openxmlformats.org/officeDocument/2006/relationships/image" Target="media/image25.emf"/><Relationship Id="rId53" Type="http://schemas.openxmlformats.org/officeDocument/2006/relationships/image" Target="media/image31.jpeg"/><Relationship Id="rId58" Type="http://schemas.openxmlformats.org/officeDocument/2006/relationships/header" Target="header10.xml"/><Relationship Id="rId74" Type="http://schemas.openxmlformats.org/officeDocument/2006/relationships/image" Target="media/image43.jpeg"/><Relationship Id="rId79" Type="http://schemas.openxmlformats.org/officeDocument/2006/relationships/hyperlink" Target="http://www.botosani.djc.ro/ObiectiveDetalii.aspx?ID=193" TargetMode="External"/><Relationship Id="rId102" Type="http://schemas.openxmlformats.org/officeDocument/2006/relationships/hyperlink" Target="http://ro.wikipedia.org/w/index.php?title=Ferencz_Dittler&amp;action=edit&amp;redlink=1" TargetMode="External"/><Relationship Id="rId123" Type="http://schemas.openxmlformats.org/officeDocument/2006/relationships/hyperlink" Target="http://ro.wikipedia.org/wiki/1895" TargetMode="External"/><Relationship Id="rId128" Type="http://schemas.openxmlformats.org/officeDocument/2006/relationships/hyperlink" Target="http://ro.wikipedia.org/wiki/Casa_memorial%C4%83_%E2%80%9ESimeon_Florea_Marian%E2%80%9D_din_Suceava" TargetMode="External"/><Relationship Id="rId144" Type="http://schemas.openxmlformats.org/officeDocument/2006/relationships/hyperlink" Target="http://eng.menr.gov.ua/index.php/normbaza" TargetMode="External"/><Relationship Id="rId149" Type="http://schemas.openxmlformats.org/officeDocument/2006/relationships/hyperlink" Target="http://whc.unesco.org/en/statesparties/ua" TargetMode="External"/><Relationship Id="rId5" Type="http://schemas.openxmlformats.org/officeDocument/2006/relationships/webSettings" Target="webSettings.xml"/><Relationship Id="rId90" Type="http://schemas.openxmlformats.org/officeDocument/2006/relationships/hyperlink" Target="http://ro.wikipedia.org/wiki/Turnul_%C8%98tefan_din_Baia_Mare" TargetMode="External"/><Relationship Id="rId95" Type="http://schemas.openxmlformats.org/officeDocument/2006/relationships/hyperlink" Target="http://ro.wikipedia.org/wiki/S%C4%83p%C3%A2n%C8%9Ba" TargetMode="External"/><Relationship Id="rId22" Type="http://schemas.openxmlformats.org/officeDocument/2006/relationships/image" Target="media/image16.emf"/><Relationship Id="rId27" Type="http://schemas.openxmlformats.org/officeDocument/2006/relationships/header" Target="header2.xml"/><Relationship Id="rId43" Type="http://schemas.openxmlformats.org/officeDocument/2006/relationships/image" Target="media/image29.jpeg"/><Relationship Id="rId48" Type="http://schemas.openxmlformats.org/officeDocument/2006/relationships/image" Target="media/image30.jpeg"/><Relationship Id="rId64" Type="http://schemas.openxmlformats.org/officeDocument/2006/relationships/oleObject" Target="embeddings/oleObject1.bin"/><Relationship Id="rId69" Type="http://schemas.openxmlformats.org/officeDocument/2006/relationships/image" Target="media/image41.jpeg"/><Relationship Id="rId113" Type="http://schemas.openxmlformats.org/officeDocument/2006/relationships/hyperlink" Target="http://ro.wikipedia.org/wiki/Teatrul_de_Nord_%28Satu_Mare%29" TargetMode="External"/><Relationship Id="rId118" Type="http://schemas.openxmlformats.org/officeDocument/2006/relationships/hyperlink" Target="http://ro.wikipedia.org/w/index.php?title=Spanraft_%C8%99i_Hirsch&amp;action=edit&amp;redlink=1" TargetMode="External"/><Relationship Id="rId134" Type="http://schemas.openxmlformats.org/officeDocument/2006/relationships/hyperlink" Target="http://en.wikipedia.org/wiki/Ukrainian_Cultural_Heritage_Village" TargetMode="External"/><Relationship Id="rId139" Type="http://schemas.openxmlformats.org/officeDocument/2006/relationships/footer" Target="footer13.xml"/><Relationship Id="rId80" Type="http://schemas.openxmlformats.org/officeDocument/2006/relationships/hyperlink" Target="http://www.botosani.djc.ro/ObiectiveDetalii.aspx?ID=289" TargetMode="External"/><Relationship Id="rId85" Type="http://schemas.openxmlformats.org/officeDocument/2006/relationships/hyperlink" Target="http://ro.wikipedia.org/wiki/Muzeul_Florean" TargetMode="External"/><Relationship Id="rId150" Type="http://schemas.openxmlformats.org/officeDocument/2006/relationships/hyperlink" Target="http://www.history.alberta.ca/ukrainianvillage/" TargetMode="External"/><Relationship Id="rId155" Type="http://schemas.openxmlformats.org/officeDocument/2006/relationships/theme" Target="theme/theme1.xml"/><Relationship Id="rId12" Type="http://schemas.openxmlformats.org/officeDocument/2006/relationships/footer" Target="footer1.xml"/><Relationship Id="rId17" Type="http://schemas.openxmlformats.org/officeDocument/2006/relationships/image" Target="media/image11.jpeg"/><Relationship Id="rId25" Type="http://schemas.openxmlformats.org/officeDocument/2006/relationships/hyperlink" Target="http://www.kmu.gov.ua/control/en/publish/article?art_id=91651" TargetMode="External"/><Relationship Id="rId33" Type="http://schemas.openxmlformats.org/officeDocument/2006/relationships/image" Target="media/image21.jpeg"/><Relationship Id="rId38" Type="http://schemas.openxmlformats.org/officeDocument/2006/relationships/image" Target="media/image26.emf"/><Relationship Id="rId46" Type="http://schemas.openxmlformats.org/officeDocument/2006/relationships/header" Target="header6.xml"/><Relationship Id="rId59" Type="http://schemas.openxmlformats.org/officeDocument/2006/relationships/footer" Target="footer12.xml"/><Relationship Id="rId67" Type="http://schemas.openxmlformats.org/officeDocument/2006/relationships/image" Target="media/image39.jpeg"/><Relationship Id="rId103" Type="http://schemas.openxmlformats.org/officeDocument/2006/relationships/hyperlink" Target="http://ro.wikipedia.org/w/index.php?title=Lajos_Vajnay&amp;action=edit&amp;redlink=1" TargetMode="External"/><Relationship Id="rId108" Type="http://schemas.openxmlformats.org/officeDocument/2006/relationships/hyperlink" Target="http://ro.wikipedia.org/wiki/1804" TargetMode="External"/><Relationship Id="rId116" Type="http://schemas.openxmlformats.org/officeDocument/2006/relationships/hyperlink" Target="http://ro.wikipedia.org/wiki/1892" TargetMode="External"/><Relationship Id="rId124" Type="http://schemas.openxmlformats.org/officeDocument/2006/relationships/hyperlink" Target="http://ro.wikipedia.org/wiki/1900" TargetMode="External"/><Relationship Id="rId129" Type="http://schemas.openxmlformats.org/officeDocument/2006/relationships/hyperlink" Target="http://ro.wikipedia.org/wiki/Casa_memorial%C4%83_Nicolae_Labi%C8%99" TargetMode="External"/><Relationship Id="rId137" Type="http://schemas.openxmlformats.org/officeDocument/2006/relationships/hyperlink" Target="http://culture.pl/en/article/polish-and-ukrainian-tserkvas-make-unesco-list" TargetMode="External"/><Relationship Id="rId20" Type="http://schemas.openxmlformats.org/officeDocument/2006/relationships/image" Target="media/image14.emf"/><Relationship Id="rId41" Type="http://schemas.openxmlformats.org/officeDocument/2006/relationships/header" Target="header4.xml"/><Relationship Id="rId54" Type="http://schemas.openxmlformats.org/officeDocument/2006/relationships/image" Target="media/image32.png"/><Relationship Id="rId62" Type="http://schemas.openxmlformats.org/officeDocument/2006/relationships/image" Target="media/image36.jpeg"/><Relationship Id="rId70" Type="http://schemas.openxmlformats.org/officeDocument/2006/relationships/hyperlink" Target="http://ypef.eu/files/booklet/ang/ukraine.pdf" TargetMode="External"/><Relationship Id="rId75" Type="http://schemas.openxmlformats.org/officeDocument/2006/relationships/hyperlink" Target="http://www.botosani.djc.ro/ObiectiveDetalii.aspx?ID=288" TargetMode="External"/><Relationship Id="rId83" Type="http://schemas.openxmlformats.org/officeDocument/2006/relationships/hyperlink" Target="http://ro.wikipedia.org/wiki/Muzeul_de_Etnografie_%C8%99i_Art%C4%83_Popular%C4%83_Baia_Mare" TargetMode="External"/><Relationship Id="rId88" Type="http://schemas.openxmlformats.org/officeDocument/2006/relationships/hyperlink" Target="http://ro.wikipedia.org/wiki/Centrul_istoric_Baia_Mare" TargetMode="External"/><Relationship Id="rId91" Type="http://schemas.openxmlformats.org/officeDocument/2006/relationships/hyperlink" Target="http://ro.wikipedia.org/wiki/Biserici_de_lemn_din_Maramure%C8%99" TargetMode="External"/><Relationship Id="rId96" Type="http://schemas.openxmlformats.org/officeDocument/2006/relationships/hyperlink" Target="http://ro.wikipedia.org/wiki/M%C4%83n%C4%83stirea_B%C3%A2rsana" TargetMode="External"/><Relationship Id="rId111" Type="http://schemas.openxmlformats.org/officeDocument/2006/relationships/hyperlink" Target="http://ro.wikipedia.org/wiki/S%C3%A1ndor_Pet%C5%91fi" TargetMode="External"/><Relationship Id="rId132" Type="http://schemas.openxmlformats.org/officeDocument/2006/relationships/hyperlink" Target="http://ro.wikipedia.org/wiki/Casa_memorial%C4%83_%E2%80%9ESimeon_Florea_Marian%E2%80%9D_din_Suceava" TargetMode="External"/><Relationship Id="rId140" Type="http://schemas.openxmlformats.org/officeDocument/2006/relationships/header" Target="header12.xml"/><Relationship Id="rId145" Type="http://schemas.openxmlformats.org/officeDocument/2006/relationships/hyperlink" Target="http://www.kmu.gov.ua/control/en/publish/article?art_id=91651" TargetMode="External"/><Relationship Id="rId153" Type="http://schemas.openxmlformats.org/officeDocument/2006/relationships/footer" Target="footer1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emf"/><Relationship Id="rId28" Type="http://schemas.openxmlformats.org/officeDocument/2006/relationships/footer" Target="footer3.xml"/><Relationship Id="rId36" Type="http://schemas.openxmlformats.org/officeDocument/2006/relationships/image" Target="media/image24.emf"/><Relationship Id="rId49" Type="http://schemas.openxmlformats.org/officeDocument/2006/relationships/header" Target="header7.xml"/><Relationship Id="rId57" Type="http://schemas.openxmlformats.org/officeDocument/2006/relationships/footer" Target="footer11.xml"/><Relationship Id="rId106" Type="http://schemas.openxmlformats.org/officeDocument/2006/relationships/hyperlink" Target="http://ro.wikipedia.org/w/index.php?title=J%C3%A1mbor_Lajos&amp;action=edit&amp;redlink=1" TargetMode="External"/><Relationship Id="rId114" Type="http://schemas.openxmlformats.org/officeDocument/2006/relationships/hyperlink" Target="http://ro.wikipedia.org/wiki/1889" TargetMode="External"/><Relationship Id="rId119" Type="http://schemas.openxmlformats.org/officeDocument/2006/relationships/hyperlink" Target="http://ro.wikipedia.org/wiki/Biserica_Reformat%C4%83_cu_lan%C8%9Buri_din_Satu-Mare" TargetMode="External"/><Relationship Id="rId127" Type="http://schemas.openxmlformats.org/officeDocument/2006/relationships/hyperlink" Target="http://ro.wikipedia.org/wiki/Hanul_Domnesc_din_Suceava" TargetMode="External"/><Relationship Id="rId10" Type="http://schemas.openxmlformats.org/officeDocument/2006/relationships/image" Target="media/image4.jpeg"/><Relationship Id="rId31" Type="http://schemas.openxmlformats.org/officeDocument/2006/relationships/header" Target="header3.xml"/><Relationship Id="rId44" Type="http://schemas.openxmlformats.org/officeDocument/2006/relationships/header" Target="header5.xml"/><Relationship Id="rId52" Type="http://schemas.openxmlformats.org/officeDocument/2006/relationships/footer" Target="footer10.xml"/><Relationship Id="rId60" Type="http://schemas.openxmlformats.org/officeDocument/2006/relationships/image" Target="media/image34.jpeg"/><Relationship Id="rId65" Type="http://schemas.openxmlformats.org/officeDocument/2006/relationships/image" Target="media/image38.wmf"/><Relationship Id="rId73" Type="http://schemas.openxmlformats.org/officeDocument/2006/relationships/image" Target="media/image42.emf"/><Relationship Id="rId78" Type="http://schemas.openxmlformats.org/officeDocument/2006/relationships/hyperlink" Target="http://www.botosani.djc.ro/ObiectiveDetalii.aspx?ID=292" TargetMode="External"/><Relationship Id="rId81" Type="http://schemas.openxmlformats.org/officeDocument/2006/relationships/hyperlink" Target="http://www.botosani.djc.ro/ObiectiveDetalii.aspx?ID=290" TargetMode="External"/><Relationship Id="rId86" Type="http://schemas.openxmlformats.org/officeDocument/2006/relationships/hyperlink" Target="http://ro.wikipedia.org/wiki/Muzeul_de_Mineralogie_Baia_Mare" TargetMode="External"/><Relationship Id="rId94" Type="http://schemas.openxmlformats.org/officeDocument/2006/relationships/hyperlink" Target="http://ro.wikipedia.org/wiki/Cimitirul_Vesel" TargetMode="External"/><Relationship Id="rId99" Type="http://schemas.openxmlformats.org/officeDocument/2006/relationships/hyperlink" Target="http://ro.wikipedia.org/wiki/M%C4%83n%C4%83stirea_Sf%C3%A2nta_Ana" TargetMode="External"/><Relationship Id="rId101" Type="http://schemas.openxmlformats.org/officeDocument/2006/relationships/hyperlink" Target="http://ro.wikipedia.org/wiki/1904" TargetMode="External"/><Relationship Id="rId122" Type="http://schemas.openxmlformats.org/officeDocument/2006/relationships/hyperlink" Target="http://ro.wikipedia.org/wiki/Franz_Des_Loges" TargetMode="External"/><Relationship Id="rId130" Type="http://schemas.openxmlformats.org/officeDocument/2006/relationships/hyperlink" Target="http://ro.wikipedia.org/wiki/Casa_memorial%C4%83_Eusebiu_Camilar" TargetMode="External"/><Relationship Id="rId135" Type="http://schemas.openxmlformats.org/officeDocument/2006/relationships/hyperlink" Target="http://whc.unesco.org/en/statesparties/ua" TargetMode="External"/><Relationship Id="rId143" Type="http://schemas.openxmlformats.org/officeDocument/2006/relationships/footer" Target="footer15.xml"/><Relationship Id="rId148" Type="http://schemas.openxmlformats.org/officeDocument/2006/relationships/hyperlink" Target="http://en.wikipedia.org/wiki/Ukrainian_Cultural_Heritage_Village" TargetMode="External"/><Relationship Id="rId151" Type="http://schemas.openxmlformats.org/officeDocument/2006/relationships/hyperlink" Target="http://culture.pl/en/article/polish-and-ukrainian-tserkvas-make-unesco-list" TargetMode="Externa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footer" Target="footer2.xml"/><Relationship Id="rId18" Type="http://schemas.openxmlformats.org/officeDocument/2006/relationships/image" Target="media/image12.jpeg"/><Relationship Id="rId39" Type="http://schemas.openxmlformats.org/officeDocument/2006/relationships/image" Target="media/image27.emf"/><Relationship Id="rId109" Type="http://schemas.openxmlformats.org/officeDocument/2006/relationships/hyperlink" Target="http://ro.wikipedia.org/wiki/1840" TargetMode="External"/><Relationship Id="rId34" Type="http://schemas.openxmlformats.org/officeDocument/2006/relationships/image" Target="media/image22.emf"/><Relationship Id="rId50" Type="http://schemas.openxmlformats.org/officeDocument/2006/relationships/footer" Target="footer9.xml"/><Relationship Id="rId55" Type="http://schemas.openxmlformats.org/officeDocument/2006/relationships/image" Target="media/image33.png"/><Relationship Id="rId76" Type="http://schemas.openxmlformats.org/officeDocument/2006/relationships/hyperlink" Target="http://www.botosani.djc.ro/ObiectiveDetalii.aspx?ID=291" TargetMode="External"/><Relationship Id="rId97" Type="http://schemas.openxmlformats.org/officeDocument/2006/relationships/hyperlink" Target="http://ro.wikipedia.org/w/index.php?title=M%C4%83n%C4%83stirea_Peri-S%C4%83p%C3%A2n%C8%9Ba&amp;action=edit&amp;redlink=1" TargetMode="External"/><Relationship Id="rId104" Type="http://schemas.openxmlformats.org/officeDocument/2006/relationships/hyperlink" Target="http://ro.wikipedia.org/wiki/1902" TargetMode="External"/><Relationship Id="rId120" Type="http://schemas.openxmlformats.org/officeDocument/2006/relationships/hyperlink" Target="http://ro.wikipedia.org/wiki/Catedrala_Greco-Catolic%C4%83_%E2%80%9ESf._Arhangheli_Mihail_%C8%99i_Gavril%E2%80%9D_din_Satu_Mare" TargetMode="External"/><Relationship Id="rId125" Type="http://schemas.openxmlformats.org/officeDocument/2006/relationships/hyperlink" Target="http://ro.wikipedia.org/wiki/Curtea_Domneasc%C4%83_din_Suceava" TargetMode="External"/><Relationship Id="rId141" Type="http://schemas.openxmlformats.org/officeDocument/2006/relationships/footer" Target="footer14.xml"/><Relationship Id="rId146" Type="http://schemas.openxmlformats.org/officeDocument/2006/relationships/hyperlink" Target="http://ypef.eu/files/booklet/ang/ukraine.pdf" TargetMode="External"/><Relationship Id="rId7" Type="http://schemas.openxmlformats.org/officeDocument/2006/relationships/endnotes" Target="endnotes.xml"/><Relationship Id="rId71" Type="http://schemas.openxmlformats.org/officeDocument/2006/relationships/hyperlink" Target="http://www.brucebyersconsulting.com/wp-content/uploads/2011/07/Ukraine-Biodiversity-Analysis-Report-1-2011.pdf" TargetMode="External"/><Relationship Id="rId92" Type="http://schemas.openxmlformats.org/officeDocument/2006/relationships/hyperlink" Target="http://ro.wikipedia.org/wiki/Biserici_de_lemn_din_L%C4%83pu%C8%99" TargetMode="External"/><Relationship Id="rId2" Type="http://schemas.openxmlformats.org/officeDocument/2006/relationships/numbering" Target="numbering.xml"/><Relationship Id="rId29" Type="http://schemas.openxmlformats.org/officeDocument/2006/relationships/hyperlink" Target="http://www.mmediu.ro/articol/date-gis/434" TargetMode="External"/><Relationship Id="rId24" Type="http://schemas.openxmlformats.org/officeDocument/2006/relationships/hyperlink" Target="http://eng.menr.gov.ua/index.php/normbaza" TargetMode="External"/><Relationship Id="rId40" Type="http://schemas.openxmlformats.org/officeDocument/2006/relationships/image" Target="media/image28.emf"/><Relationship Id="rId45" Type="http://schemas.openxmlformats.org/officeDocument/2006/relationships/footer" Target="footer7.xml"/><Relationship Id="rId66" Type="http://schemas.openxmlformats.org/officeDocument/2006/relationships/oleObject" Target="embeddings/oleObject2.bin"/><Relationship Id="rId87" Type="http://schemas.openxmlformats.org/officeDocument/2006/relationships/hyperlink" Target="http://ro.wikipedia.org/wiki/Muzeul_Memorial_Sighetu_Marma%C8%9Biei" TargetMode="External"/><Relationship Id="rId110" Type="http://schemas.openxmlformats.org/officeDocument/2006/relationships/hyperlink" Target="http://ro.wikipedia.org/w/index.php?title=Grup_%C8%98colar_Teologic_Romano-Catolic_%E2%80%9EH%C3%A1m_J%C3%A1nos%E2%80%9D&amp;action=edit&amp;redlink=1" TargetMode="External"/><Relationship Id="rId115" Type="http://schemas.openxmlformats.org/officeDocument/2006/relationships/hyperlink" Target="http://ro.wikipedia.org/wiki/1892" TargetMode="External"/><Relationship Id="rId131" Type="http://schemas.openxmlformats.org/officeDocument/2006/relationships/hyperlink" Target="http://ro.wikipedia.org/wiki/Casa_memorial%C4%83_Ciprian_Porumbescu" TargetMode="External"/><Relationship Id="rId136" Type="http://schemas.openxmlformats.org/officeDocument/2006/relationships/hyperlink" Target="http://www.history.alberta.ca/ukrainianvillage/" TargetMode="External"/><Relationship Id="rId61" Type="http://schemas.openxmlformats.org/officeDocument/2006/relationships/image" Target="media/image35.jpeg"/><Relationship Id="rId82" Type="http://schemas.openxmlformats.org/officeDocument/2006/relationships/hyperlink" Target="http://www.botosani.djc.ro/ObiectiveDetalii.aspx?ID=293" TargetMode="External"/><Relationship Id="rId152" Type="http://schemas.openxmlformats.org/officeDocument/2006/relationships/header" Target="header14.xml"/><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footer" Target="footer4.xml"/><Relationship Id="rId35" Type="http://schemas.openxmlformats.org/officeDocument/2006/relationships/image" Target="media/image23.emf"/><Relationship Id="rId56" Type="http://schemas.openxmlformats.org/officeDocument/2006/relationships/header" Target="header9.xml"/><Relationship Id="rId77" Type="http://schemas.openxmlformats.org/officeDocument/2006/relationships/hyperlink" Target="http://www.botosani.djc.ro/ObiectiveDetalii.aspx?ID=287" TargetMode="External"/><Relationship Id="rId100" Type="http://schemas.openxmlformats.org/officeDocument/2006/relationships/hyperlink" Target="http://ro.wikipedia.org/wiki/Turnul_Pompierilor_din_Satu_Mare" TargetMode="External"/><Relationship Id="rId105" Type="http://schemas.openxmlformats.org/officeDocument/2006/relationships/hyperlink" Target="http://ro.wikipedia.org/w/index.php?title=B%C3%A1lint_Zolt%C3%A1n&amp;action=edit&amp;redlink=1" TargetMode="External"/><Relationship Id="rId126" Type="http://schemas.openxmlformats.org/officeDocument/2006/relationships/hyperlink" Target="http://ro.wikipedia.org/wiki/Muzeul_Jude%C8%9Bean_din_Suceava" TargetMode="External"/><Relationship Id="rId147" Type="http://schemas.openxmlformats.org/officeDocument/2006/relationships/hyperlink" Target="http://www.brucebyersconsulting.com/wp-content/uploads/2011/07/Ukraine-Biodiversity-Analysis-Report-1-2011.pdf" TargetMode="External"/><Relationship Id="rId8" Type="http://schemas.openxmlformats.org/officeDocument/2006/relationships/image" Target="media/image2.emf"/><Relationship Id="rId51" Type="http://schemas.openxmlformats.org/officeDocument/2006/relationships/header" Target="header8.xml"/><Relationship Id="rId72" Type="http://schemas.openxmlformats.org/officeDocument/2006/relationships/hyperlink" Target="http://ro.wikipedia.org/wiki/Peninsul%C4%83" TargetMode="External"/><Relationship Id="rId93" Type="http://schemas.openxmlformats.org/officeDocument/2006/relationships/hyperlink" Target="http://ro.wikipedia.org/wiki/Biserici_de_lemn_din_Chioar" TargetMode="External"/><Relationship Id="rId98" Type="http://schemas.openxmlformats.org/officeDocument/2006/relationships/hyperlink" Target="http://ro.wikipedia.org/w/index.php?title=M%C4%83n%C4%83stirea_de_la_Moisei&amp;action=edit&amp;redlink=1" TargetMode="External"/><Relationship Id="rId121" Type="http://schemas.openxmlformats.org/officeDocument/2006/relationships/hyperlink" Target="http://ro.wikipedia.org/wiki/Statuia_Lupa_Capitolina_din_Satu_Mare" TargetMode="External"/><Relationship Id="rId142" Type="http://schemas.openxmlformats.org/officeDocument/2006/relationships/header" Target="header13.xml"/><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png"/><Relationship Id="rId1" Type="http://schemas.openxmlformats.org/officeDocument/2006/relationships/image" Target="media/image5.jpeg"/></Relationships>
</file>

<file path=word/_rels/header10.xml.rels><?xml version="1.0" encoding="UTF-8" standalone="yes"?>
<Relationships xmlns="http://schemas.openxmlformats.org/package/2006/relationships"><Relationship Id="rId1" Type="http://schemas.openxmlformats.org/officeDocument/2006/relationships/image" Target="media/image20.png"/></Relationships>
</file>

<file path=word/_rels/header13.xml.rels><?xml version="1.0" encoding="UTF-8" standalone="yes"?>
<Relationships xmlns="http://schemas.openxmlformats.org/package/2006/relationships"><Relationship Id="rId1" Type="http://schemas.openxmlformats.org/officeDocument/2006/relationships/image" Target="media/image20.png"/></Relationships>
</file>

<file path=word/_rels/header14.xml.rels><?xml version="1.0" encoding="UTF-8" standalone="yes"?>
<Relationships xmlns="http://schemas.openxmlformats.org/package/2006/relationships"><Relationship Id="rId1" Type="http://schemas.openxmlformats.org/officeDocument/2006/relationships/image" Target="media/image19.png"/></Relationships>
</file>

<file path=word/_rels/header2.xml.rels><?xml version="1.0" encoding="UTF-8" standalone="yes"?>
<Relationships xmlns="http://schemas.openxmlformats.org/package/2006/relationships"><Relationship Id="rId1" Type="http://schemas.openxmlformats.org/officeDocument/2006/relationships/image" Target="media/image19.png"/></Relationships>
</file>

<file path=word/_rels/header3.xml.rels><?xml version="1.0" encoding="UTF-8" standalone="yes"?>
<Relationships xmlns="http://schemas.openxmlformats.org/package/2006/relationships"><Relationship Id="rId1" Type="http://schemas.openxmlformats.org/officeDocument/2006/relationships/image" Target="media/image20.png"/></Relationships>
</file>

<file path=word/_rels/header4.xml.rels><?xml version="1.0" encoding="UTF-8" standalone="yes"?>
<Relationships xmlns="http://schemas.openxmlformats.org/package/2006/relationships"><Relationship Id="rId1" Type="http://schemas.openxmlformats.org/officeDocument/2006/relationships/image" Target="media/image20.png"/></Relationships>
</file>

<file path=word/_rels/header5.xml.rels><?xml version="1.0" encoding="UTF-8" standalone="yes"?>
<Relationships xmlns="http://schemas.openxmlformats.org/package/2006/relationships"><Relationship Id="rId1" Type="http://schemas.openxmlformats.org/officeDocument/2006/relationships/image" Target="media/image19.png"/></Relationships>
</file>

<file path=word/_rels/header6.xml.rels><?xml version="1.0" encoding="UTF-8" standalone="yes"?>
<Relationships xmlns="http://schemas.openxmlformats.org/package/2006/relationships"><Relationship Id="rId1" Type="http://schemas.openxmlformats.org/officeDocument/2006/relationships/image" Target="media/image20.png"/></Relationships>
</file>

<file path=word/_rels/header7.xml.rels><?xml version="1.0" encoding="UTF-8" standalone="yes"?>
<Relationships xmlns="http://schemas.openxmlformats.org/package/2006/relationships"><Relationship Id="rId1" Type="http://schemas.openxmlformats.org/officeDocument/2006/relationships/image" Target="media/image19.png"/></Relationships>
</file>

<file path=word/_rels/header8.xml.rels><?xml version="1.0" encoding="UTF-8" standalone="yes"?>
<Relationships xmlns="http://schemas.openxmlformats.org/package/2006/relationships"><Relationship Id="rId1" Type="http://schemas.openxmlformats.org/officeDocument/2006/relationships/image" Target="media/image20.png"/></Relationships>
</file>

<file path=word/_rels/header9.xml.rels><?xml version="1.0" encoding="UTF-8" standalone="yes"?>
<Relationships xmlns="http://schemas.openxmlformats.org/package/2006/relationships"><Relationship Id="rId1" Type="http://schemas.openxmlformats.org/officeDocument/2006/relationships/image" Target="media/image1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0927EC-7067-4FAD-85AD-489E8DC6F6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163</Pages>
  <Words>44287</Words>
  <Characters>252436</Characters>
  <Application>Microsoft Office Word</Application>
  <DocSecurity>0</DocSecurity>
  <Lines>2103</Lines>
  <Paragraphs>592</Paragraphs>
  <ScaleCrop>false</ScaleCrop>
  <HeadingPairs>
    <vt:vector size="6" baseType="variant">
      <vt:variant>
        <vt:lpstr>Title</vt:lpstr>
      </vt:variant>
      <vt:variant>
        <vt:i4>1</vt:i4>
      </vt:variant>
      <vt:variant>
        <vt:lpstr>Название</vt:lpstr>
      </vt:variant>
      <vt:variant>
        <vt:i4>1</vt:i4>
      </vt:variant>
      <vt:variant>
        <vt:lpstr>Titlu</vt:lpstr>
      </vt:variant>
      <vt:variant>
        <vt:i4>1</vt:i4>
      </vt:variant>
    </vt:vector>
  </HeadingPairs>
  <TitlesOfParts>
    <vt:vector size="3" baseType="lpstr">
      <vt:lpstr>Pagina de semnături</vt:lpstr>
      <vt:lpstr>Pagina de semnături</vt:lpstr>
      <vt:lpstr>Pagina de semnături</vt:lpstr>
    </vt:vector>
  </TitlesOfParts>
  <Company/>
  <LinksUpToDate>false</LinksUpToDate>
  <CharactersWithSpaces>296131</CharactersWithSpaces>
  <SharedDoc>false</SharedDoc>
  <HLinks>
    <vt:vector size="624" baseType="variant">
      <vt:variant>
        <vt:i4>8192045</vt:i4>
      </vt:variant>
      <vt:variant>
        <vt:i4>390</vt:i4>
      </vt:variant>
      <vt:variant>
        <vt:i4>0</vt:i4>
      </vt:variant>
      <vt:variant>
        <vt:i4>5</vt:i4>
      </vt:variant>
      <vt:variant>
        <vt:lpwstr>http://culture.pl/en/article/polish-and-ukrainian-tserkvas-make-unesco-list</vt:lpwstr>
      </vt:variant>
      <vt:variant>
        <vt:lpwstr/>
      </vt:variant>
      <vt:variant>
        <vt:i4>6357032</vt:i4>
      </vt:variant>
      <vt:variant>
        <vt:i4>387</vt:i4>
      </vt:variant>
      <vt:variant>
        <vt:i4>0</vt:i4>
      </vt:variant>
      <vt:variant>
        <vt:i4>5</vt:i4>
      </vt:variant>
      <vt:variant>
        <vt:lpwstr>http://www.history.alberta.ca/ukrainianvillage/</vt:lpwstr>
      </vt:variant>
      <vt:variant>
        <vt:lpwstr/>
      </vt:variant>
      <vt:variant>
        <vt:i4>4915283</vt:i4>
      </vt:variant>
      <vt:variant>
        <vt:i4>384</vt:i4>
      </vt:variant>
      <vt:variant>
        <vt:i4>0</vt:i4>
      </vt:variant>
      <vt:variant>
        <vt:i4>5</vt:i4>
      </vt:variant>
      <vt:variant>
        <vt:lpwstr>http://whc.unesco.org/en/statesparties/ua</vt:lpwstr>
      </vt:variant>
      <vt:variant>
        <vt:lpwstr/>
      </vt:variant>
      <vt:variant>
        <vt:i4>2359364</vt:i4>
      </vt:variant>
      <vt:variant>
        <vt:i4>381</vt:i4>
      </vt:variant>
      <vt:variant>
        <vt:i4>0</vt:i4>
      </vt:variant>
      <vt:variant>
        <vt:i4>5</vt:i4>
      </vt:variant>
      <vt:variant>
        <vt:lpwstr>http://en.wikipedia.org/wiki/Ukrainian_Cultural_Heritage_Village</vt:lpwstr>
      </vt:variant>
      <vt:variant>
        <vt:lpwstr/>
      </vt:variant>
      <vt:variant>
        <vt:i4>6750308</vt:i4>
      </vt:variant>
      <vt:variant>
        <vt:i4>378</vt:i4>
      </vt:variant>
      <vt:variant>
        <vt:i4>0</vt:i4>
      </vt:variant>
      <vt:variant>
        <vt:i4>5</vt:i4>
      </vt:variant>
      <vt:variant>
        <vt:lpwstr>http://www.brucebyersconsulting.com/wp-content/uploads/2011/07/Ukraine-Biodiversity-Analysis-Report-1-2011.pdf</vt:lpwstr>
      </vt:variant>
      <vt:variant>
        <vt:lpwstr/>
      </vt:variant>
      <vt:variant>
        <vt:i4>1769559</vt:i4>
      </vt:variant>
      <vt:variant>
        <vt:i4>375</vt:i4>
      </vt:variant>
      <vt:variant>
        <vt:i4>0</vt:i4>
      </vt:variant>
      <vt:variant>
        <vt:i4>5</vt:i4>
      </vt:variant>
      <vt:variant>
        <vt:lpwstr>http://ypef.eu/files/booklet/ang/ukraine.pdf</vt:lpwstr>
      </vt:variant>
      <vt:variant>
        <vt:lpwstr/>
      </vt:variant>
      <vt:variant>
        <vt:i4>917537</vt:i4>
      </vt:variant>
      <vt:variant>
        <vt:i4>372</vt:i4>
      </vt:variant>
      <vt:variant>
        <vt:i4>0</vt:i4>
      </vt:variant>
      <vt:variant>
        <vt:i4>5</vt:i4>
      </vt:variant>
      <vt:variant>
        <vt:lpwstr>http://www.kmu.gov.ua/control/en/publish/article?art_id=91651</vt:lpwstr>
      </vt:variant>
      <vt:variant>
        <vt:lpwstr/>
      </vt:variant>
      <vt:variant>
        <vt:i4>5570580</vt:i4>
      </vt:variant>
      <vt:variant>
        <vt:i4>369</vt:i4>
      </vt:variant>
      <vt:variant>
        <vt:i4>0</vt:i4>
      </vt:variant>
      <vt:variant>
        <vt:i4>5</vt:i4>
      </vt:variant>
      <vt:variant>
        <vt:lpwstr>http://eng.menr.gov.ua/index.php/normbaza</vt:lpwstr>
      </vt:variant>
      <vt:variant>
        <vt:lpwstr/>
      </vt:variant>
      <vt:variant>
        <vt:i4>8192045</vt:i4>
      </vt:variant>
      <vt:variant>
        <vt:i4>366</vt:i4>
      </vt:variant>
      <vt:variant>
        <vt:i4>0</vt:i4>
      </vt:variant>
      <vt:variant>
        <vt:i4>5</vt:i4>
      </vt:variant>
      <vt:variant>
        <vt:lpwstr>http://culture.pl/en/article/polish-and-ukrainian-tserkvas-make-unesco-list</vt:lpwstr>
      </vt:variant>
      <vt:variant>
        <vt:lpwstr/>
      </vt:variant>
      <vt:variant>
        <vt:i4>6357032</vt:i4>
      </vt:variant>
      <vt:variant>
        <vt:i4>363</vt:i4>
      </vt:variant>
      <vt:variant>
        <vt:i4>0</vt:i4>
      </vt:variant>
      <vt:variant>
        <vt:i4>5</vt:i4>
      </vt:variant>
      <vt:variant>
        <vt:lpwstr>http://www.history.alberta.ca/ukrainianvillage/</vt:lpwstr>
      </vt:variant>
      <vt:variant>
        <vt:lpwstr/>
      </vt:variant>
      <vt:variant>
        <vt:i4>4915283</vt:i4>
      </vt:variant>
      <vt:variant>
        <vt:i4>360</vt:i4>
      </vt:variant>
      <vt:variant>
        <vt:i4>0</vt:i4>
      </vt:variant>
      <vt:variant>
        <vt:i4>5</vt:i4>
      </vt:variant>
      <vt:variant>
        <vt:lpwstr>http://whc.unesco.org/en/statesparties/ua</vt:lpwstr>
      </vt:variant>
      <vt:variant>
        <vt:lpwstr/>
      </vt:variant>
      <vt:variant>
        <vt:i4>2359364</vt:i4>
      </vt:variant>
      <vt:variant>
        <vt:i4>357</vt:i4>
      </vt:variant>
      <vt:variant>
        <vt:i4>0</vt:i4>
      </vt:variant>
      <vt:variant>
        <vt:i4>5</vt:i4>
      </vt:variant>
      <vt:variant>
        <vt:lpwstr>http://en.wikipedia.org/wiki/Ukrainian_Cultural_Heritage_Village</vt:lpwstr>
      </vt:variant>
      <vt:variant>
        <vt:lpwstr/>
      </vt:variant>
      <vt:variant>
        <vt:i4>458822</vt:i4>
      </vt:variant>
      <vt:variant>
        <vt:i4>354</vt:i4>
      </vt:variant>
      <vt:variant>
        <vt:i4>0</vt:i4>
      </vt:variant>
      <vt:variant>
        <vt:i4>5</vt:i4>
      </vt:variant>
      <vt:variant>
        <vt:lpwstr>http://ro.wikipedia.org/wiki/Casa_%E2%80%9ECiprian_Porumbescu%E2%80%9D_din_Suceava</vt:lpwstr>
      </vt:variant>
      <vt:variant>
        <vt:lpwstr/>
      </vt:variant>
      <vt:variant>
        <vt:i4>2293794</vt:i4>
      </vt:variant>
      <vt:variant>
        <vt:i4>351</vt:i4>
      </vt:variant>
      <vt:variant>
        <vt:i4>0</vt:i4>
      </vt:variant>
      <vt:variant>
        <vt:i4>5</vt:i4>
      </vt:variant>
      <vt:variant>
        <vt:lpwstr>http://ro.wikipedia.org/wiki/Casa_memorial%C4%83_%E2%80%9ESimeon_Florea_Marian%E2%80%9D_din_Suceava</vt:lpwstr>
      </vt:variant>
      <vt:variant>
        <vt:lpwstr/>
      </vt:variant>
      <vt:variant>
        <vt:i4>4194431</vt:i4>
      </vt:variant>
      <vt:variant>
        <vt:i4>348</vt:i4>
      </vt:variant>
      <vt:variant>
        <vt:i4>0</vt:i4>
      </vt:variant>
      <vt:variant>
        <vt:i4>5</vt:i4>
      </vt:variant>
      <vt:variant>
        <vt:lpwstr>http://ro.wikipedia.org/wiki/Casa_memorial%C4%83_Ciprian_Porumbescu</vt:lpwstr>
      </vt:variant>
      <vt:variant>
        <vt:lpwstr/>
      </vt:variant>
      <vt:variant>
        <vt:i4>2883614</vt:i4>
      </vt:variant>
      <vt:variant>
        <vt:i4>345</vt:i4>
      </vt:variant>
      <vt:variant>
        <vt:i4>0</vt:i4>
      </vt:variant>
      <vt:variant>
        <vt:i4>5</vt:i4>
      </vt:variant>
      <vt:variant>
        <vt:lpwstr>http://ro.wikipedia.org/wiki/Casa_memorial%C4%83_Eusebiu_Camilar</vt:lpwstr>
      </vt:variant>
      <vt:variant>
        <vt:lpwstr/>
      </vt:variant>
      <vt:variant>
        <vt:i4>1245223</vt:i4>
      </vt:variant>
      <vt:variant>
        <vt:i4>342</vt:i4>
      </vt:variant>
      <vt:variant>
        <vt:i4>0</vt:i4>
      </vt:variant>
      <vt:variant>
        <vt:i4>5</vt:i4>
      </vt:variant>
      <vt:variant>
        <vt:lpwstr>http://ro.wikipedia.org/wiki/Casa_memorial%C4%83_Nicolae_Labi%C8%99</vt:lpwstr>
      </vt:variant>
      <vt:variant>
        <vt:lpwstr/>
      </vt:variant>
      <vt:variant>
        <vt:i4>2293794</vt:i4>
      </vt:variant>
      <vt:variant>
        <vt:i4>339</vt:i4>
      </vt:variant>
      <vt:variant>
        <vt:i4>0</vt:i4>
      </vt:variant>
      <vt:variant>
        <vt:i4>5</vt:i4>
      </vt:variant>
      <vt:variant>
        <vt:lpwstr>http://ro.wikipedia.org/wiki/Casa_memorial%C4%83_%E2%80%9ESimeon_Florea_Marian%E2%80%9D_din_Suceava</vt:lpwstr>
      </vt:variant>
      <vt:variant>
        <vt:lpwstr/>
      </vt:variant>
      <vt:variant>
        <vt:i4>7798786</vt:i4>
      </vt:variant>
      <vt:variant>
        <vt:i4>336</vt:i4>
      </vt:variant>
      <vt:variant>
        <vt:i4>0</vt:i4>
      </vt:variant>
      <vt:variant>
        <vt:i4>5</vt:i4>
      </vt:variant>
      <vt:variant>
        <vt:lpwstr>http://ro.wikipedia.org/wiki/Hanul_Domnesc_din_Suceava</vt:lpwstr>
      </vt:variant>
      <vt:variant>
        <vt:lpwstr/>
      </vt:variant>
      <vt:variant>
        <vt:i4>7274514</vt:i4>
      </vt:variant>
      <vt:variant>
        <vt:i4>333</vt:i4>
      </vt:variant>
      <vt:variant>
        <vt:i4>0</vt:i4>
      </vt:variant>
      <vt:variant>
        <vt:i4>5</vt:i4>
      </vt:variant>
      <vt:variant>
        <vt:lpwstr>http://ro.wikipedia.org/wiki/Muzeul_Jude%C8%9Bean_din_Suceava</vt:lpwstr>
      </vt:variant>
      <vt:variant>
        <vt:lpwstr/>
      </vt:variant>
      <vt:variant>
        <vt:i4>5177453</vt:i4>
      </vt:variant>
      <vt:variant>
        <vt:i4>330</vt:i4>
      </vt:variant>
      <vt:variant>
        <vt:i4>0</vt:i4>
      </vt:variant>
      <vt:variant>
        <vt:i4>5</vt:i4>
      </vt:variant>
      <vt:variant>
        <vt:lpwstr>http://ro.wikipedia.org/wiki/Curtea_Domneasc%C4%83_din_Suceava</vt:lpwstr>
      </vt:variant>
      <vt:variant>
        <vt:lpwstr/>
      </vt:variant>
      <vt:variant>
        <vt:i4>589837</vt:i4>
      </vt:variant>
      <vt:variant>
        <vt:i4>327</vt:i4>
      </vt:variant>
      <vt:variant>
        <vt:i4>0</vt:i4>
      </vt:variant>
      <vt:variant>
        <vt:i4>5</vt:i4>
      </vt:variant>
      <vt:variant>
        <vt:lpwstr>http://ro.wikipedia.org/wiki/1900</vt:lpwstr>
      </vt:variant>
      <vt:variant>
        <vt:lpwstr/>
      </vt:variant>
      <vt:variant>
        <vt:i4>12</vt:i4>
      </vt:variant>
      <vt:variant>
        <vt:i4>324</vt:i4>
      </vt:variant>
      <vt:variant>
        <vt:i4>0</vt:i4>
      </vt:variant>
      <vt:variant>
        <vt:i4>5</vt:i4>
      </vt:variant>
      <vt:variant>
        <vt:lpwstr>http://ro.wikipedia.org/wiki/1895</vt:lpwstr>
      </vt:variant>
      <vt:variant>
        <vt:lpwstr/>
      </vt:variant>
      <vt:variant>
        <vt:i4>1704007</vt:i4>
      </vt:variant>
      <vt:variant>
        <vt:i4>321</vt:i4>
      </vt:variant>
      <vt:variant>
        <vt:i4>0</vt:i4>
      </vt:variant>
      <vt:variant>
        <vt:i4>5</vt:i4>
      </vt:variant>
      <vt:variant>
        <vt:lpwstr>http://ro.wikipedia.org/wiki/Franz_Des_Loges</vt:lpwstr>
      </vt:variant>
      <vt:variant>
        <vt:lpwstr/>
      </vt:variant>
      <vt:variant>
        <vt:i4>7602193</vt:i4>
      </vt:variant>
      <vt:variant>
        <vt:i4>318</vt:i4>
      </vt:variant>
      <vt:variant>
        <vt:i4>0</vt:i4>
      </vt:variant>
      <vt:variant>
        <vt:i4>5</vt:i4>
      </vt:variant>
      <vt:variant>
        <vt:lpwstr>http://ro.wikipedia.org/wiki/Statuia_Lupa_Capitolina_din_Satu_Mare</vt:lpwstr>
      </vt:variant>
      <vt:variant>
        <vt:lpwstr/>
      </vt:variant>
      <vt:variant>
        <vt:i4>1179768</vt:i4>
      </vt:variant>
      <vt:variant>
        <vt:i4>315</vt:i4>
      </vt:variant>
      <vt:variant>
        <vt:i4>0</vt:i4>
      </vt:variant>
      <vt:variant>
        <vt:i4>5</vt:i4>
      </vt:variant>
      <vt:variant>
        <vt:lpwstr>http://ro.wikipedia.org/wiki/Catedrala_Greco-Catolic%C4%83_%E2%80%9ESf._Arhangheli_Mihail_%C8%99i_Gavril%E2%80%9D_din_Satu_Mare</vt:lpwstr>
      </vt:variant>
      <vt:variant>
        <vt:lpwstr/>
      </vt:variant>
      <vt:variant>
        <vt:i4>7340034</vt:i4>
      </vt:variant>
      <vt:variant>
        <vt:i4>312</vt:i4>
      </vt:variant>
      <vt:variant>
        <vt:i4>0</vt:i4>
      </vt:variant>
      <vt:variant>
        <vt:i4>5</vt:i4>
      </vt:variant>
      <vt:variant>
        <vt:lpwstr>http://ro.wikipedia.org/wiki/Biserica_Reformat%C4%83_cu_lan%C8%9Buri_din_Satu-Mare</vt:lpwstr>
      </vt:variant>
      <vt:variant>
        <vt:lpwstr/>
      </vt:variant>
      <vt:variant>
        <vt:i4>6291496</vt:i4>
      </vt:variant>
      <vt:variant>
        <vt:i4>309</vt:i4>
      </vt:variant>
      <vt:variant>
        <vt:i4>0</vt:i4>
      </vt:variant>
      <vt:variant>
        <vt:i4>5</vt:i4>
      </vt:variant>
      <vt:variant>
        <vt:lpwstr>http://ro.wikipedia.org/w/index.php?title=Spanraft_%C8%99i_Hirsch&amp;action=edit&amp;redlink=1</vt:lpwstr>
      </vt:variant>
      <vt:variant>
        <vt:lpwstr/>
      </vt:variant>
      <vt:variant>
        <vt:i4>7864331</vt:i4>
      </vt:variant>
      <vt:variant>
        <vt:i4>306</vt:i4>
      </vt:variant>
      <vt:variant>
        <vt:i4>0</vt:i4>
      </vt:variant>
      <vt:variant>
        <vt:i4>5</vt:i4>
      </vt:variant>
      <vt:variant>
        <vt:lpwstr>http://ro.wikipedia.org/w/index.php?title=Szikszay_Lajos&amp;action=edit&amp;redlink=1</vt:lpwstr>
      </vt:variant>
      <vt:variant>
        <vt:lpwstr/>
      </vt:variant>
      <vt:variant>
        <vt:i4>12</vt:i4>
      </vt:variant>
      <vt:variant>
        <vt:i4>303</vt:i4>
      </vt:variant>
      <vt:variant>
        <vt:i4>0</vt:i4>
      </vt:variant>
      <vt:variant>
        <vt:i4>5</vt:i4>
      </vt:variant>
      <vt:variant>
        <vt:lpwstr>http://ro.wikipedia.org/wiki/1892</vt:lpwstr>
      </vt:variant>
      <vt:variant>
        <vt:lpwstr/>
      </vt:variant>
      <vt:variant>
        <vt:i4>12</vt:i4>
      </vt:variant>
      <vt:variant>
        <vt:i4>300</vt:i4>
      </vt:variant>
      <vt:variant>
        <vt:i4>0</vt:i4>
      </vt:variant>
      <vt:variant>
        <vt:i4>5</vt:i4>
      </vt:variant>
      <vt:variant>
        <vt:lpwstr>http://ro.wikipedia.org/wiki/1892</vt:lpwstr>
      </vt:variant>
      <vt:variant>
        <vt:lpwstr/>
      </vt:variant>
      <vt:variant>
        <vt:i4>65548</vt:i4>
      </vt:variant>
      <vt:variant>
        <vt:i4>297</vt:i4>
      </vt:variant>
      <vt:variant>
        <vt:i4>0</vt:i4>
      </vt:variant>
      <vt:variant>
        <vt:i4>5</vt:i4>
      </vt:variant>
      <vt:variant>
        <vt:lpwstr>http://ro.wikipedia.org/wiki/1889</vt:lpwstr>
      </vt:variant>
      <vt:variant>
        <vt:lpwstr/>
      </vt:variant>
      <vt:variant>
        <vt:i4>3735669</vt:i4>
      </vt:variant>
      <vt:variant>
        <vt:i4>294</vt:i4>
      </vt:variant>
      <vt:variant>
        <vt:i4>0</vt:i4>
      </vt:variant>
      <vt:variant>
        <vt:i4>5</vt:i4>
      </vt:variant>
      <vt:variant>
        <vt:lpwstr>http://ro.wikipedia.org/wiki/Teatrul_de_Nord_%28Satu_Mare%29</vt:lpwstr>
      </vt:variant>
      <vt:variant>
        <vt:lpwstr/>
      </vt:variant>
      <vt:variant>
        <vt:i4>3735567</vt:i4>
      </vt:variant>
      <vt:variant>
        <vt:i4>291</vt:i4>
      </vt:variant>
      <vt:variant>
        <vt:i4>0</vt:i4>
      </vt:variant>
      <vt:variant>
        <vt:i4>5</vt:i4>
      </vt:variant>
      <vt:variant>
        <vt:lpwstr>http://ro.wikipedia.org/wiki/Szendrey_J%C3%BAlia</vt:lpwstr>
      </vt:variant>
      <vt:variant>
        <vt:lpwstr/>
      </vt:variant>
      <vt:variant>
        <vt:i4>55</vt:i4>
      </vt:variant>
      <vt:variant>
        <vt:i4>288</vt:i4>
      </vt:variant>
      <vt:variant>
        <vt:i4>0</vt:i4>
      </vt:variant>
      <vt:variant>
        <vt:i4>5</vt:i4>
      </vt:variant>
      <vt:variant>
        <vt:lpwstr>http://ro.wikipedia.org/wiki/S%C3%A1ndor_Pet%C5%91fi</vt:lpwstr>
      </vt:variant>
      <vt:variant>
        <vt:lpwstr/>
      </vt:variant>
      <vt:variant>
        <vt:i4>1441907</vt:i4>
      </vt:variant>
      <vt:variant>
        <vt:i4>285</vt:i4>
      </vt:variant>
      <vt:variant>
        <vt:i4>0</vt:i4>
      </vt:variant>
      <vt:variant>
        <vt:i4>5</vt:i4>
      </vt:variant>
      <vt:variant>
        <vt:lpwstr>http://ro.wikipedia.org/w/index.php?title=Grup_%C8%98colar_Teologic_Romano-Catolic_%E2%80%9EH%C3%A1m_J%C3%A1nos%E2%80%9D&amp;action=edit&amp;redlink=1</vt:lpwstr>
      </vt:variant>
      <vt:variant>
        <vt:lpwstr/>
      </vt:variant>
      <vt:variant>
        <vt:i4>851980</vt:i4>
      </vt:variant>
      <vt:variant>
        <vt:i4>282</vt:i4>
      </vt:variant>
      <vt:variant>
        <vt:i4>0</vt:i4>
      </vt:variant>
      <vt:variant>
        <vt:i4>5</vt:i4>
      </vt:variant>
      <vt:variant>
        <vt:lpwstr>http://ro.wikipedia.org/wiki/1840</vt:lpwstr>
      </vt:variant>
      <vt:variant>
        <vt:lpwstr/>
      </vt:variant>
      <vt:variant>
        <vt:i4>589836</vt:i4>
      </vt:variant>
      <vt:variant>
        <vt:i4>279</vt:i4>
      </vt:variant>
      <vt:variant>
        <vt:i4>0</vt:i4>
      </vt:variant>
      <vt:variant>
        <vt:i4>5</vt:i4>
      </vt:variant>
      <vt:variant>
        <vt:lpwstr>http://ro.wikipedia.org/wiki/1804</vt:lpwstr>
      </vt:variant>
      <vt:variant>
        <vt:lpwstr/>
      </vt:variant>
      <vt:variant>
        <vt:i4>5439592</vt:i4>
      </vt:variant>
      <vt:variant>
        <vt:i4>276</vt:i4>
      </vt:variant>
      <vt:variant>
        <vt:i4>0</vt:i4>
      </vt:variant>
      <vt:variant>
        <vt:i4>5</vt:i4>
      </vt:variant>
      <vt:variant>
        <vt:lpwstr>http://ro.wikipedia.org/w/index.php?title=Joseph_Bitthauser&amp;action=edit&amp;redlink=1</vt:lpwstr>
      </vt:variant>
      <vt:variant>
        <vt:lpwstr/>
      </vt:variant>
      <vt:variant>
        <vt:i4>8061019</vt:i4>
      </vt:variant>
      <vt:variant>
        <vt:i4>273</vt:i4>
      </vt:variant>
      <vt:variant>
        <vt:i4>0</vt:i4>
      </vt:variant>
      <vt:variant>
        <vt:i4>5</vt:i4>
      </vt:variant>
      <vt:variant>
        <vt:lpwstr>http://ro.wikipedia.org/w/index.php?title=J%C3%A1mbor_Lajos&amp;action=edit&amp;redlink=1</vt:lpwstr>
      </vt:variant>
      <vt:variant>
        <vt:lpwstr/>
      </vt:variant>
      <vt:variant>
        <vt:i4>1638436</vt:i4>
      </vt:variant>
      <vt:variant>
        <vt:i4>270</vt:i4>
      </vt:variant>
      <vt:variant>
        <vt:i4>0</vt:i4>
      </vt:variant>
      <vt:variant>
        <vt:i4>5</vt:i4>
      </vt:variant>
      <vt:variant>
        <vt:lpwstr>http://ro.wikipedia.org/w/index.php?title=B%C3%A1lint_Zolt%C3%A1n&amp;action=edit&amp;redlink=1</vt:lpwstr>
      </vt:variant>
      <vt:variant>
        <vt:lpwstr/>
      </vt:variant>
      <vt:variant>
        <vt:i4>589837</vt:i4>
      </vt:variant>
      <vt:variant>
        <vt:i4>267</vt:i4>
      </vt:variant>
      <vt:variant>
        <vt:i4>0</vt:i4>
      </vt:variant>
      <vt:variant>
        <vt:i4>5</vt:i4>
      </vt:variant>
      <vt:variant>
        <vt:lpwstr>http://ro.wikipedia.org/wiki/1902</vt:lpwstr>
      </vt:variant>
      <vt:variant>
        <vt:lpwstr/>
      </vt:variant>
      <vt:variant>
        <vt:i4>3670106</vt:i4>
      </vt:variant>
      <vt:variant>
        <vt:i4>264</vt:i4>
      </vt:variant>
      <vt:variant>
        <vt:i4>0</vt:i4>
      </vt:variant>
      <vt:variant>
        <vt:i4>5</vt:i4>
      </vt:variant>
      <vt:variant>
        <vt:lpwstr>http://ro.wikipedia.org/w/index.php?title=Lajos_Vajnay&amp;action=edit&amp;redlink=1</vt:lpwstr>
      </vt:variant>
      <vt:variant>
        <vt:lpwstr/>
      </vt:variant>
      <vt:variant>
        <vt:i4>1769517</vt:i4>
      </vt:variant>
      <vt:variant>
        <vt:i4>261</vt:i4>
      </vt:variant>
      <vt:variant>
        <vt:i4>0</vt:i4>
      </vt:variant>
      <vt:variant>
        <vt:i4>5</vt:i4>
      </vt:variant>
      <vt:variant>
        <vt:lpwstr>http://ro.wikipedia.org/w/index.php?title=Ferencz_Dittler&amp;action=edit&amp;redlink=1</vt:lpwstr>
      </vt:variant>
      <vt:variant>
        <vt:lpwstr/>
      </vt:variant>
      <vt:variant>
        <vt:i4>589837</vt:i4>
      </vt:variant>
      <vt:variant>
        <vt:i4>258</vt:i4>
      </vt:variant>
      <vt:variant>
        <vt:i4>0</vt:i4>
      </vt:variant>
      <vt:variant>
        <vt:i4>5</vt:i4>
      </vt:variant>
      <vt:variant>
        <vt:lpwstr>http://ro.wikipedia.org/wiki/1904</vt:lpwstr>
      </vt:variant>
      <vt:variant>
        <vt:lpwstr/>
      </vt:variant>
      <vt:variant>
        <vt:i4>3801192</vt:i4>
      </vt:variant>
      <vt:variant>
        <vt:i4>255</vt:i4>
      </vt:variant>
      <vt:variant>
        <vt:i4>0</vt:i4>
      </vt:variant>
      <vt:variant>
        <vt:i4>5</vt:i4>
      </vt:variant>
      <vt:variant>
        <vt:lpwstr>http://ro.wikipedia.org/wiki/Turnul_Pompierilor_din_Satu_Mare</vt:lpwstr>
      </vt:variant>
      <vt:variant>
        <vt:lpwstr/>
      </vt:variant>
      <vt:variant>
        <vt:i4>5111819</vt:i4>
      </vt:variant>
      <vt:variant>
        <vt:i4>252</vt:i4>
      </vt:variant>
      <vt:variant>
        <vt:i4>0</vt:i4>
      </vt:variant>
      <vt:variant>
        <vt:i4>5</vt:i4>
      </vt:variant>
      <vt:variant>
        <vt:lpwstr>http://ro.wikipedia.org/wiki/M%C4%83n%C4%83stirea_Sf%C3%A2nta_Ana</vt:lpwstr>
      </vt:variant>
      <vt:variant>
        <vt:lpwstr/>
      </vt:variant>
      <vt:variant>
        <vt:i4>3211281</vt:i4>
      </vt:variant>
      <vt:variant>
        <vt:i4>249</vt:i4>
      </vt:variant>
      <vt:variant>
        <vt:i4>0</vt:i4>
      </vt:variant>
      <vt:variant>
        <vt:i4>5</vt:i4>
      </vt:variant>
      <vt:variant>
        <vt:lpwstr>http://ro.wikipedia.org/w/index.php?title=M%C4%83n%C4%83stirea_de_la_Moisei&amp;action=edit&amp;redlink=1</vt:lpwstr>
      </vt:variant>
      <vt:variant>
        <vt:lpwstr/>
      </vt:variant>
      <vt:variant>
        <vt:i4>852084</vt:i4>
      </vt:variant>
      <vt:variant>
        <vt:i4>246</vt:i4>
      </vt:variant>
      <vt:variant>
        <vt:i4>0</vt:i4>
      </vt:variant>
      <vt:variant>
        <vt:i4>5</vt:i4>
      </vt:variant>
      <vt:variant>
        <vt:lpwstr>http://ro.wikipedia.org/w/index.php?title=M%C4%83n%C4%83stirea_Peri-S%C4%83p%C3%A2n%C8%9Ba&amp;action=edit&amp;redlink=1</vt:lpwstr>
      </vt:variant>
      <vt:variant>
        <vt:lpwstr/>
      </vt:variant>
      <vt:variant>
        <vt:i4>1835114</vt:i4>
      </vt:variant>
      <vt:variant>
        <vt:i4>243</vt:i4>
      </vt:variant>
      <vt:variant>
        <vt:i4>0</vt:i4>
      </vt:variant>
      <vt:variant>
        <vt:i4>5</vt:i4>
      </vt:variant>
      <vt:variant>
        <vt:lpwstr>http://ro.wikipedia.org/wiki/M%C4%83n%C4%83stirea_B%C3%A2rsana</vt:lpwstr>
      </vt:variant>
      <vt:variant>
        <vt:lpwstr/>
      </vt:variant>
      <vt:variant>
        <vt:i4>3342397</vt:i4>
      </vt:variant>
      <vt:variant>
        <vt:i4>240</vt:i4>
      </vt:variant>
      <vt:variant>
        <vt:i4>0</vt:i4>
      </vt:variant>
      <vt:variant>
        <vt:i4>5</vt:i4>
      </vt:variant>
      <vt:variant>
        <vt:lpwstr>http://ro.wikipedia.org/wiki/S%C4%83p%C3%A2n%C8%9Ba</vt:lpwstr>
      </vt:variant>
      <vt:variant>
        <vt:lpwstr/>
      </vt:variant>
      <vt:variant>
        <vt:i4>327799</vt:i4>
      </vt:variant>
      <vt:variant>
        <vt:i4>237</vt:i4>
      </vt:variant>
      <vt:variant>
        <vt:i4>0</vt:i4>
      </vt:variant>
      <vt:variant>
        <vt:i4>5</vt:i4>
      </vt:variant>
      <vt:variant>
        <vt:lpwstr>http://ro.wikipedia.org/wiki/Cimitirul_Vesel</vt:lpwstr>
      </vt:variant>
      <vt:variant>
        <vt:lpwstr/>
      </vt:variant>
      <vt:variant>
        <vt:i4>3080297</vt:i4>
      </vt:variant>
      <vt:variant>
        <vt:i4>234</vt:i4>
      </vt:variant>
      <vt:variant>
        <vt:i4>0</vt:i4>
      </vt:variant>
      <vt:variant>
        <vt:i4>5</vt:i4>
      </vt:variant>
      <vt:variant>
        <vt:lpwstr>http://ro.wikipedia.org/wiki/Biserici_de_lemn_din_Chioar</vt:lpwstr>
      </vt:variant>
      <vt:variant>
        <vt:lpwstr/>
      </vt:variant>
      <vt:variant>
        <vt:i4>2555944</vt:i4>
      </vt:variant>
      <vt:variant>
        <vt:i4>231</vt:i4>
      </vt:variant>
      <vt:variant>
        <vt:i4>0</vt:i4>
      </vt:variant>
      <vt:variant>
        <vt:i4>5</vt:i4>
      </vt:variant>
      <vt:variant>
        <vt:lpwstr>http://ro.wikipedia.org/wiki/Biserici_de_lemn_din_L%C4%83pu%C8%99</vt:lpwstr>
      </vt:variant>
      <vt:variant>
        <vt:lpwstr/>
      </vt:variant>
      <vt:variant>
        <vt:i4>3473446</vt:i4>
      </vt:variant>
      <vt:variant>
        <vt:i4>228</vt:i4>
      </vt:variant>
      <vt:variant>
        <vt:i4>0</vt:i4>
      </vt:variant>
      <vt:variant>
        <vt:i4>5</vt:i4>
      </vt:variant>
      <vt:variant>
        <vt:lpwstr>http://ro.wikipedia.org/wiki/Biserici_de_lemn_din_Maramure%C8%99</vt:lpwstr>
      </vt:variant>
      <vt:variant>
        <vt:lpwstr/>
      </vt:variant>
      <vt:variant>
        <vt:i4>2621476</vt:i4>
      </vt:variant>
      <vt:variant>
        <vt:i4>225</vt:i4>
      </vt:variant>
      <vt:variant>
        <vt:i4>0</vt:i4>
      </vt:variant>
      <vt:variant>
        <vt:i4>5</vt:i4>
      </vt:variant>
      <vt:variant>
        <vt:lpwstr>http://ro.wikipedia.org/wiki/Turnul_%C8%98tefan_din_Baia_Mare</vt:lpwstr>
      </vt:variant>
      <vt:variant>
        <vt:lpwstr/>
      </vt:variant>
      <vt:variant>
        <vt:i4>2883662</vt:i4>
      </vt:variant>
      <vt:variant>
        <vt:i4>222</vt:i4>
      </vt:variant>
      <vt:variant>
        <vt:i4>0</vt:i4>
      </vt:variant>
      <vt:variant>
        <vt:i4>5</vt:i4>
      </vt:variant>
      <vt:variant>
        <vt:lpwstr>http://ro.wikipedia.org/wiki/Centrul_istoric_Sighetu_Marma%C8%9Biei</vt:lpwstr>
      </vt:variant>
      <vt:variant>
        <vt:lpwstr/>
      </vt:variant>
      <vt:variant>
        <vt:i4>4653114</vt:i4>
      </vt:variant>
      <vt:variant>
        <vt:i4>219</vt:i4>
      </vt:variant>
      <vt:variant>
        <vt:i4>0</vt:i4>
      </vt:variant>
      <vt:variant>
        <vt:i4>5</vt:i4>
      </vt:variant>
      <vt:variant>
        <vt:lpwstr>http://ro.wikipedia.org/wiki/Centrul_istoric_Baia_Mare</vt:lpwstr>
      </vt:variant>
      <vt:variant>
        <vt:lpwstr/>
      </vt:variant>
      <vt:variant>
        <vt:i4>65647</vt:i4>
      </vt:variant>
      <vt:variant>
        <vt:i4>216</vt:i4>
      </vt:variant>
      <vt:variant>
        <vt:i4>0</vt:i4>
      </vt:variant>
      <vt:variant>
        <vt:i4>5</vt:i4>
      </vt:variant>
      <vt:variant>
        <vt:lpwstr>http://ro.wikipedia.org/wiki/Muzeul_Memorial_Sighetu_Marma%C8%9Biei</vt:lpwstr>
      </vt:variant>
      <vt:variant>
        <vt:lpwstr/>
      </vt:variant>
      <vt:variant>
        <vt:i4>2031704</vt:i4>
      </vt:variant>
      <vt:variant>
        <vt:i4>213</vt:i4>
      </vt:variant>
      <vt:variant>
        <vt:i4>0</vt:i4>
      </vt:variant>
      <vt:variant>
        <vt:i4>5</vt:i4>
      </vt:variant>
      <vt:variant>
        <vt:lpwstr>http://ro.wikipedia.org/wiki/Muzeul_de_Mineralogie_Baia_Mare</vt:lpwstr>
      </vt:variant>
      <vt:variant>
        <vt:lpwstr/>
      </vt:variant>
      <vt:variant>
        <vt:i4>4849700</vt:i4>
      </vt:variant>
      <vt:variant>
        <vt:i4>210</vt:i4>
      </vt:variant>
      <vt:variant>
        <vt:i4>0</vt:i4>
      </vt:variant>
      <vt:variant>
        <vt:i4>5</vt:i4>
      </vt:variant>
      <vt:variant>
        <vt:lpwstr>http://ro.wikipedia.org/wiki/Muzeul_Florean</vt:lpwstr>
      </vt:variant>
      <vt:variant>
        <vt:lpwstr/>
      </vt:variant>
      <vt:variant>
        <vt:i4>4718709</vt:i4>
      </vt:variant>
      <vt:variant>
        <vt:i4>207</vt:i4>
      </vt:variant>
      <vt:variant>
        <vt:i4>0</vt:i4>
      </vt:variant>
      <vt:variant>
        <vt:i4>5</vt:i4>
      </vt:variant>
      <vt:variant>
        <vt:lpwstr>http://ro.wikipedia.org/wiki/Centrul_artistic_Baia_Mare_-_Muzeul_de_Art%C4%83</vt:lpwstr>
      </vt:variant>
      <vt:variant>
        <vt:lpwstr/>
      </vt:variant>
      <vt:variant>
        <vt:i4>6094954</vt:i4>
      </vt:variant>
      <vt:variant>
        <vt:i4>204</vt:i4>
      </vt:variant>
      <vt:variant>
        <vt:i4>0</vt:i4>
      </vt:variant>
      <vt:variant>
        <vt:i4>5</vt:i4>
      </vt:variant>
      <vt:variant>
        <vt:lpwstr>http://ro.wikipedia.org/wiki/Muzeul_de_Etnografie_%C8%99i_Art%C4%83_Popular%C4%83_Baia_Mare</vt:lpwstr>
      </vt:variant>
      <vt:variant>
        <vt:lpwstr/>
      </vt:variant>
      <vt:variant>
        <vt:i4>6881386</vt:i4>
      </vt:variant>
      <vt:variant>
        <vt:i4>201</vt:i4>
      </vt:variant>
      <vt:variant>
        <vt:i4>0</vt:i4>
      </vt:variant>
      <vt:variant>
        <vt:i4>5</vt:i4>
      </vt:variant>
      <vt:variant>
        <vt:lpwstr>http://www.botosani.djc.ro/ObiectiveDetalii.aspx?ID=293</vt:lpwstr>
      </vt:variant>
      <vt:variant>
        <vt:lpwstr/>
      </vt:variant>
      <vt:variant>
        <vt:i4>6881386</vt:i4>
      </vt:variant>
      <vt:variant>
        <vt:i4>198</vt:i4>
      </vt:variant>
      <vt:variant>
        <vt:i4>0</vt:i4>
      </vt:variant>
      <vt:variant>
        <vt:i4>5</vt:i4>
      </vt:variant>
      <vt:variant>
        <vt:lpwstr>http://www.botosani.djc.ro/ObiectiveDetalii.aspx?ID=290</vt:lpwstr>
      </vt:variant>
      <vt:variant>
        <vt:lpwstr/>
      </vt:variant>
      <vt:variant>
        <vt:i4>6815850</vt:i4>
      </vt:variant>
      <vt:variant>
        <vt:i4>195</vt:i4>
      </vt:variant>
      <vt:variant>
        <vt:i4>0</vt:i4>
      </vt:variant>
      <vt:variant>
        <vt:i4>5</vt:i4>
      </vt:variant>
      <vt:variant>
        <vt:lpwstr>http://www.botosani.djc.ro/ObiectiveDetalii.aspx?ID=289</vt:lpwstr>
      </vt:variant>
      <vt:variant>
        <vt:lpwstr/>
      </vt:variant>
      <vt:variant>
        <vt:i4>6881385</vt:i4>
      </vt:variant>
      <vt:variant>
        <vt:i4>192</vt:i4>
      </vt:variant>
      <vt:variant>
        <vt:i4>0</vt:i4>
      </vt:variant>
      <vt:variant>
        <vt:i4>5</vt:i4>
      </vt:variant>
      <vt:variant>
        <vt:lpwstr>http://www.botosani.djc.ro/ObiectiveDetalii.aspx?ID=193</vt:lpwstr>
      </vt:variant>
      <vt:variant>
        <vt:lpwstr/>
      </vt:variant>
      <vt:variant>
        <vt:i4>6881386</vt:i4>
      </vt:variant>
      <vt:variant>
        <vt:i4>189</vt:i4>
      </vt:variant>
      <vt:variant>
        <vt:i4>0</vt:i4>
      </vt:variant>
      <vt:variant>
        <vt:i4>5</vt:i4>
      </vt:variant>
      <vt:variant>
        <vt:lpwstr>http://www.botosani.djc.ro/ObiectiveDetalii.aspx?ID=292</vt:lpwstr>
      </vt:variant>
      <vt:variant>
        <vt:lpwstr/>
      </vt:variant>
      <vt:variant>
        <vt:i4>6815850</vt:i4>
      </vt:variant>
      <vt:variant>
        <vt:i4>186</vt:i4>
      </vt:variant>
      <vt:variant>
        <vt:i4>0</vt:i4>
      </vt:variant>
      <vt:variant>
        <vt:i4>5</vt:i4>
      </vt:variant>
      <vt:variant>
        <vt:lpwstr>http://www.botosani.djc.ro/ObiectiveDetalii.aspx?ID=287</vt:lpwstr>
      </vt:variant>
      <vt:variant>
        <vt:lpwstr/>
      </vt:variant>
      <vt:variant>
        <vt:i4>6881386</vt:i4>
      </vt:variant>
      <vt:variant>
        <vt:i4>183</vt:i4>
      </vt:variant>
      <vt:variant>
        <vt:i4>0</vt:i4>
      </vt:variant>
      <vt:variant>
        <vt:i4>5</vt:i4>
      </vt:variant>
      <vt:variant>
        <vt:lpwstr>http://www.botosani.djc.ro/ObiectiveDetalii.aspx?ID=291</vt:lpwstr>
      </vt:variant>
      <vt:variant>
        <vt:lpwstr/>
      </vt:variant>
      <vt:variant>
        <vt:i4>6815850</vt:i4>
      </vt:variant>
      <vt:variant>
        <vt:i4>180</vt:i4>
      </vt:variant>
      <vt:variant>
        <vt:i4>0</vt:i4>
      </vt:variant>
      <vt:variant>
        <vt:i4>5</vt:i4>
      </vt:variant>
      <vt:variant>
        <vt:lpwstr>http://www.botosani.djc.ro/ObiectiveDetalii.aspx?ID=288</vt:lpwstr>
      </vt:variant>
      <vt:variant>
        <vt:lpwstr/>
      </vt:variant>
      <vt:variant>
        <vt:i4>2359393</vt:i4>
      </vt:variant>
      <vt:variant>
        <vt:i4>177</vt:i4>
      </vt:variant>
      <vt:variant>
        <vt:i4>0</vt:i4>
      </vt:variant>
      <vt:variant>
        <vt:i4>5</vt:i4>
      </vt:variant>
      <vt:variant>
        <vt:lpwstr>http://ro.wikipedia.org/wiki/Peninsul%C4%83</vt:lpwstr>
      </vt:variant>
      <vt:variant>
        <vt:lpwstr/>
      </vt:variant>
      <vt:variant>
        <vt:i4>6750308</vt:i4>
      </vt:variant>
      <vt:variant>
        <vt:i4>174</vt:i4>
      </vt:variant>
      <vt:variant>
        <vt:i4>0</vt:i4>
      </vt:variant>
      <vt:variant>
        <vt:i4>5</vt:i4>
      </vt:variant>
      <vt:variant>
        <vt:lpwstr>http://www.brucebyersconsulting.com/wp-content/uploads/2011/07/Ukraine-Biodiversity-Analysis-Report-1-2011.pdf</vt:lpwstr>
      </vt:variant>
      <vt:variant>
        <vt:lpwstr/>
      </vt:variant>
      <vt:variant>
        <vt:i4>1769559</vt:i4>
      </vt:variant>
      <vt:variant>
        <vt:i4>171</vt:i4>
      </vt:variant>
      <vt:variant>
        <vt:i4>0</vt:i4>
      </vt:variant>
      <vt:variant>
        <vt:i4>5</vt:i4>
      </vt:variant>
      <vt:variant>
        <vt:lpwstr>http://ypef.eu/files/booklet/ang/ukraine.pdf</vt:lpwstr>
      </vt:variant>
      <vt:variant>
        <vt:lpwstr/>
      </vt:variant>
      <vt:variant>
        <vt:i4>5832718</vt:i4>
      </vt:variant>
      <vt:variant>
        <vt:i4>168</vt:i4>
      </vt:variant>
      <vt:variant>
        <vt:i4>0</vt:i4>
      </vt:variant>
      <vt:variant>
        <vt:i4>5</vt:i4>
      </vt:variant>
      <vt:variant>
        <vt:lpwstr>http://www.mmediu.ro/articol/date-gis/434</vt:lpwstr>
      </vt:variant>
      <vt:variant>
        <vt:lpwstr/>
      </vt:variant>
      <vt:variant>
        <vt:i4>917537</vt:i4>
      </vt:variant>
      <vt:variant>
        <vt:i4>165</vt:i4>
      </vt:variant>
      <vt:variant>
        <vt:i4>0</vt:i4>
      </vt:variant>
      <vt:variant>
        <vt:i4>5</vt:i4>
      </vt:variant>
      <vt:variant>
        <vt:lpwstr>http://www.kmu.gov.ua/control/en/publish/article?art_id=91651</vt:lpwstr>
      </vt:variant>
      <vt:variant>
        <vt:lpwstr/>
      </vt:variant>
      <vt:variant>
        <vt:i4>5570580</vt:i4>
      </vt:variant>
      <vt:variant>
        <vt:i4>162</vt:i4>
      </vt:variant>
      <vt:variant>
        <vt:i4>0</vt:i4>
      </vt:variant>
      <vt:variant>
        <vt:i4>5</vt:i4>
      </vt:variant>
      <vt:variant>
        <vt:lpwstr>http://eng.menr.gov.ua/index.php/normbaza</vt:lpwstr>
      </vt:variant>
      <vt:variant>
        <vt:lpwstr/>
      </vt:variant>
      <vt:variant>
        <vt:i4>7143543</vt:i4>
      </vt:variant>
      <vt:variant>
        <vt:i4>159</vt:i4>
      </vt:variant>
      <vt:variant>
        <vt:i4>0</vt:i4>
      </vt:variant>
      <vt:variant>
        <vt:i4>5</vt:i4>
      </vt:variant>
      <vt:variant>
        <vt:lpwstr>http://www.ro-ua-md.net/wp-content/uploads/2014/09/REGULATION-EU-No-2362014.pdf</vt:lpwstr>
      </vt:variant>
      <vt:variant>
        <vt:lpwstr/>
      </vt:variant>
      <vt:variant>
        <vt:i4>1638450</vt:i4>
      </vt:variant>
      <vt:variant>
        <vt:i4>152</vt:i4>
      </vt:variant>
      <vt:variant>
        <vt:i4>0</vt:i4>
      </vt:variant>
      <vt:variant>
        <vt:i4>5</vt:i4>
      </vt:variant>
      <vt:variant>
        <vt:lpwstr/>
      </vt:variant>
      <vt:variant>
        <vt:lpwstr>_Toc419199678</vt:lpwstr>
      </vt:variant>
      <vt:variant>
        <vt:i4>1638450</vt:i4>
      </vt:variant>
      <vt:variant>
        <vt:i4>146</vt:i4>
      </vt:variant>
      <vt:variant>
        <vt:i4>0</vt:i4>
      </vt:variant>
      <vt:variant>
        <vt:i4>5</vt:i4>
      </vt:variant>
      <vt:variant>
        <vt:lpwstr/>
      </vt:variant>
      <vt:variant>
        <vt:lpwstr>_Toc419199677</vt:lpwstr>
      </vt:variant>
      <vt:variant>
        <vt:i4>1638450</vt:i4>
      </vt:variant>
      <vt:variant>
        <vt:i4>140</vt:i4>
      </vt:variant>
      <vt:variant>
        <vt:i4>0</vt:i4>
      </vt:variant>
      <vt:variant>
        <vt:i4>5</vt:i4>
      </vt:variant>
      <vt:variant>
        <vt:lpwstr/>
      </vt:variant>
      <vt:variant>
        <vt:lpwstr>_Toc419199676</vt:lpwstr>
      </vt:variant>
      <vt:variant>
        <vt:i4>1638450</vt:i4>
      </vt:variant>
      <vt:variant>
        <vt:i4>134</vt:i4>
      </vt:variant>
      <vt:variant>
        <vt:i4>0</vt:i4>
      </vt:variant>
      <vt:variant>
        <vt:i4>5</vt:i4>
      </vt:variant>
      <vt:variant>
        <vt:lpwstr/>
      </vt:variant>
      <vt:variant>
        <vt:lpwstr>_Toc419199675</vt:lpwstr>
      </vt:variant>
      <vt:variant>
        <vt:i4>1638450</vt:i4>
      </vt:variant>
      <vt:variant>
        <vt:i4>128</vt:i4>
      </vt:variant>
      <vt:variant>
        <vt:i4>0</vt:i4>
      </vt:variant>
      <vt:variant>
        <vt:i4>5</vt:i4>
      </vt:variant>
      <vt:variant>
        <vt:lpwstr/>
      </vt:variant>
      <vt:variant>
        <vt:lpwstr>_Toc419199674</vt:lpwstr>
      </vt:variant>
      <vt:variant>
        <vt:i4>1638450</vt:i4>
      </vt:variant>
      <vt:variant>
        <vt:i4>122</vt:i4>
      </vt:variant>
      <vt:variant>
        <vt:i4>0</vt:i4>
      </vt:variant>
      <vt:variant>
        <vt:i4>5</vt:i4>
      </vt:variant>
      <vt:variant>
        <vt:lpwstr/>
      </vt:variant>
      <vt:variant>
        <vt:lpwstr>_Toc419199673</vt:lpwstr>
      </vt:variant>
      <vt:variant>
        <vt:i4>1638450</vt:i4>
      </vt:variant>
      <vt:variant>
        <vt:i4>116</vt:i4>
      </vt:variant>
      <vt:variant>
        <vt:i4>0</vt:i4>
      </vt:variant>
      <vt:variant>
        <vt:i4>5</vt:i4>
      </vt:variant>
      <vt:variant>
        <vt:lpwstr/>
      </vt:variant>
      <vt:variant>
        <vt:lpwstr>_Toc419199672</vt:lpwstr>
      </vt:variant>
      <vt:variant>
        <vt:i4>1638450</vt:i4>
      </vt:variant>
      <vt:variant>
        <vt:i4>110</vt:i4>
      </vt:variant>
      <vt:variant>
        <vt:i4>0</vt:i4>
      </vt:variant>
      <vt:variant>
        <vt:i4>5</vt:i4>
      </vt:variant>
      <vt:variant>
        <vt:lpwstr/>
      </vt:variant>
      <vt:variant>
        <vt:lpwstr>_Toc419199671</vt:lpwstr>
      </vt:variant>
      <vt:variant>
        <vt:i4>1638450</vt:i4>
      </vt:variant>
      <vt:variant>
        <vt:i4>104</vt:i4>
      </vt:variant>
      <vt:variant>
        <vt:i4>0</vt:i4>
      </vt:variant>
      <vt:variant>
        <vt:i4>5</vt:i4>
      </vt:variant>
      <vt:variant>
        <vt:lpwstr/>
      </vt:variant>
      <vt:variant>
        <vt:lpwstr>_Toc419199670</vt:lpwstr>
      </vt:variant>
      <vt:variant>
        <vt:i4>1572914</vt:i4>
      </vt:variant>
      <vt:variant>
        <vt:i4>98</vt:i4>
      </vt:variant>
      <vt:variant>
        <vt:i4>0</vt:i4>
      </vt:variant>
      <vt:variant>
        <vt:i4>5</vt:i4>
      </vt:variant>
      <vt:variant>
        <vt:lpwstr/>
      </vt:variant>
      <vt:variant>
        <vt:lpwstr>_Toc419199669</vt:lpwstr>
      </vt:variant>
      <vt:variant>
        <vt:i4>1572914</vt:i4>
      </vt:variant>
      <vt:variant>
        <vt:i4>92</vt:i4>
      </vt:variant>
      <vt:variant>
        <vt:i4>0</vt:i4>
      </vt:variant>
      <vt:variant>
        <vt:i4>5</vt:i4>
      </vt:variant>
      <vt:variant>
        <vt:lpwstr/>
      </vt:variant>
      <vt:variant>
        <vt:lpwstr>_Toc419199668</vt:lpwstr>
      </vt:variant>
      <vt:variant>
        <vt:i4>1572914</vt:i4>
      </vt:variant>
      <vt:variant>
        <vt:i4>86</vt:i4>
      </vt:variant>
      <vt:variant>
        <vt:i4>0</vt:i4>
      </vt:variant>
      <vt:variant>
        <vt:i4>5</vt:i4>
      </vt:variant>
      <vt:variant>
        <vt:lpwstr/>
      </vt:variant>
      <vt:variant>
        <vt:lpwstr>_Toc419199667</vt:lpwstr>
      </vt:variant>
      <vt:variant>
        <vt:i4>1572914</vt:i4>
      </vt:variant>
      <vt:variant>
        <vt:i4>80</vt:i4>
      </vt:variant>
      <vt:variant>
        <vt:i4>0</vt:i4>
      </vt:variant>
      <vt:variant>
        <vt:i4>5</vt:i4>
      </vt:variant>
      <vt:variant>
        <vt:lpwstr/>
      </vt:variant>
      <vt:variant>
        <vt:lpwstr>_Toc419199666</vt:lpwstr>
      </vt:variant>
      <vt:variant>
        <vt:i4>1572914</vt:i4>
      </vt:variant>
      <vt:variant>
        <vt:i4>74</vt:i4>
      </vt:variant>
      <vt:variant>
        <vt:i4>0</vt:i4>
      </vt:variant>
      <vt:variant>
        <vt:i4>5</vt:i4>
      </vt:variant>
      <vt:variant>
        <vt:lpwstr/>
      </vt:variant>
      <vt:variant>
        <vt:lpwstr>_Toc419199665</vt:lpwstr>
      </vt:variant>
      <vt:variant>
        <vt:i4>1572914</vt:i4>
      </vt:variant>
      <vt:variant>
        <vt:i4>68</vt:i4>
      </vt:variant>
      <vt:variant>
        <vt:i4>0</vt:i4>
      </vt:variant>
      <vt:variant>
        <vt:i4>5</vt:i4>
      </vt:variant>
      <vt:variant>
        <vt:lpwstr/>
      </vt:variant>
      <vt:variant>
        <vt:lpwstr>_Toc419199664</vt:lpwstr>
      </vt:variant>
      <vt:variant>
        <vt:i4>1572914</vt:i4>
      </vt:variant>
      <vt:variant>
        <vt:i4>62</vt:i4>
      </vt:variant>
      <vt:variant>
        <vt:i4>0</vt:i4>
      </vt:variant>
      <vt:variant>
        <vt:i4>5</vt:i4>
      </vt:variant>
      <vt:variant>
        <vt:lpwstr/>
      </vt:variant>
      <vt:variant>
        <vt:lpwstr>_Toc419199663</vt:lpwstr>
      </vt:variant>
      <vt:variant>
        <vt:i4>1572914</vt:i4>
      </vt:variant>
      <vt:variant>
        <vt:i4>56</vt:i4>
      </vt:variant>
      <vt:variant>
        <vt:i4>0</vt:i4>
      </vt:variant>
      <vt:variant>
        <vt:i4>5</vt:i4>
      </vt:variant>
      <vt:variant>
        <vt:lpwstr/>
      </vt:variant>
      <vt:variant>
        <vt:lpwstr>_Toc419199662</vt:lpwstr>
      </vt:variant>
      <vt:variant>
        <vt:i4>1572914</vt:i4>
      </vt:variant>
      <vt:variant>
        <vt:i4>50</vt:i4>
      </vt:variant>
      <vt:variant>
        <vt:i4>0</vt:i4>
      </vt:variant>
      <vt:variant>
        <vt:i4>5</vt:i4>
      </vt:variant>
      <vt:variant>
        <vt:lpwstr/>
      </vt:variant>
      <vt:variant>
        <vt:lpwstr>_Toc419199661</vt:lpwstr>
      </vt:variant>
      <vt:variant>
        <vt:i4>1572914</vt:i4>
      </vt:variant>
      <vt:variant>
        <vt:i4>44</vt:i4>
      </vt:variant>
      <vt:variant>
        <vt:i4>0</vt:i4>
      </vt:variant>
      <vt:variant>
        <vt:i4>5</vt:i4>
      </vt:variant>
      <vt:variant>
        <vt:lpwstr/>
      </vt:variant>
      <vt:variant>
        <vt:lpwstr>_Toc419199660</vt:lpwstr>
      </vt:variant>
      <vt:variant>
        <vt:i4>1769522</vt:i4>
      </vt:variant>
      <vt:variant>
        <vt:i4>38</vt:i4>
      </vt:variant>
      <vt:variant>
        <vt:i4>0</vt:i4>
      </vt:variant>
      <vt:variant>
        <vt:i4>5</vt:i4>
      </vt:variant>
      <vt:variant>
        <vt:lpwstr/>
      </vt:variant>
      <vt:variant>
        <vt:lpwstr>_Toc419199659</vt:lpwstr>
      </vt:variant>
      <vt:variant>
        <vt:i4>1769522</vt:i4>
      </vt:variant>
      <vt:variant>
        <vt:i4>32</vt:i4>
      </vt:variant>
      <vt:variant>
        <vt:i4>0</vt:i4>
      </vt:variant>
      <vt:variant>
        <vt:i4>5</vt:i4>
      </vt:variant>
      <vt:variant>
        <vt:lpwstr/>
      </vt:variant>
      <vt:variant>
        <vt:lpwstr>_Toc419199658</vt:lpwstr>
      </vt:variant>
      <vt:variant>
        <vt:i4>1769522</vt:i4>
      </vt:variant>
      <vt:variant>
        <vt:i4>26</vt:i4>
      </vt:variant>
      <vt:variant>
        <vt:i4>0</vt:i4>
      </vt:variant>
      <vt:variant>
        <vt:i4>5</vt:i4>
      </vt:variant>
      <vt:variant>
        <vt:lpwstr/>
      </vt:variant>
      <vt:variant>
        <vt:lpwstr>_Toc419199657</vt:lpwstr>
      </vt:variant>
      <vt:variant>
        <vt:i4>1769522</vt:i4>
      </vt:variant>
      <vt:variant>
        <vt:i4>20</vt:i4>
      </vt:variant>
      <vt:variant>
        <vt:i4>0</vt:i4>
      </vt:variant>
      <vt:variant>
        <vt:i4>5</vt:i4>
      </vt:variant>
      <vt:variant>
        <vt:lpwstr/>
      </vt:variant>
      <vt:variant>
        <vt:lpwstr>_Toc419199656</vt:lpwstr>
      </vt:variant>
      <vt:variant>
        <vt:i4>1769522</vt:i4>
      </vt:variant>
      <vt:variant>
        <vt:i4>14</vt:i4>
      </vt:variant>
      <vt:variant>
        <vt:i4>0</vt:i4>
      </vt:variant>
      <vt:variant>
        <vt:i4>5</vt:i4>
      </vt:variant>
      <vt:variant>
        <vt:lpwstr/>
      </vt:variant>
      <vt:variant>
        <vt:lpwstr>_Toc419199655</vt:lpwstr>
      </vt:variant>
      <vt:variant>
        <vt:i4>1769522</vt:i4>
      </vt:variant>
      <vt:variant>
        <vt:i4>8</vt:i4>
      </vt:variant>
      <vt:variant>
        <vt:i4>0</vt:i4>
      </vt:variant>
      <vt:variant>
        <vt:i4>5</vt:i4>
      </vt:variant>
      <vt:variant>
        <vt:lpwstr/>
      </vt:variant>
      <vt:variant>
        <vt:lpwstr>_Toc419199654</vt:lpwstr>
      </vt:variant>
      <vt:variant>
        <vt:i4>1769522</vt:i4>
      </vt:variant>
      <vt:variant>
        <vt:i4>2</vt:i4>
      </vt:variant>
      <vt:variant>
        <vt:i4>0</vt:i4>
      </vt:variant>
      <vt:variant>
        <vt:i4>5</vt:i4>
      </vt:variant>
      <vt:variant>
        <vt:lpwstr/>
      </vt:variant>
      <vt:variant>
        <vt:lpwstr>_Toc419199653</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Pagina de semnături</dc:title>
  <dc:creator>ispe-20488_MM</dc:creator>
  <cp:lastModifiedBy>Adriana Nicula</cp:lastModifiedBy>
  <cp:revision>4</cp:revision>
  <cp:lastPrinted>2015-05-04T14:49:00Z</cp:lastPrinted>
  <dcterms:created xsi:type="dcterms:W3CDTF">2015-05-18T10:59:00Z</dcterms:created>
  <dcterms:modified xsi:type="dcterms:W3CDTF">2015-05-19T09:01:00Z</dcterms:modified>
</cp:coreProperties>
</file>