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A" w:rsidRPr="00F47B76" w:rsidRDefault="0026519A" w:rsidP="0026519A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proofErr w:type="spellStart"/>
      <w:r w:rsidRPr="00F47B76">
        <w:rPr>
          <w:rFonts w:ascii="Trebuchet MS" w:hAnsi="Trebuchet MS"/>
          <w:b/>
          <w:sz w:val="24"/>
          <w:szCs w:val="24"/>
        </w:rPr>
        <w:t>Contract</w:t>
      </w:r>
      <w:r>
        <w:rPr>
          <w:rFonts w:ascii="Trebuchet MS" w:hAnsi="Trebuchet MS"/>
          <w:b/>
          <w:sz w:val="24"/>
          <w:szCs w:val="24"/>
        </w:rPr>
        <w:t>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semnate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pentru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Proiecte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A61DF6">
        <w:rPr>
          <w:rFonts w:ascii="Trebuchet MS" w:hAnsi="Trebuchet MS"/>
          <w:b/>
          <w:sz w:val="24"/>
          <w:szCs w:val="24"/>
        </w:rPr>
        <w:t>majore</w:t>
      </w:r>
      <w:proofErr w:type="spellEnd"/>
      <w:r w:rsidR="00A61DF6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A61DF6">
        <w:rPr>
          <w:rFonts w:ascii="Trebuchet MS" w:hAnsi="Trebuchet MS"/>
          <w:b/>
          <w:sz w:val="24"/>
          <w:szCs w:val="24"/>
        </w:rPr>
        <w:t>investi</w:t>
      </w:r>
      <w:r w:rsidR="00161367">
        <w:rPr>
          <w:rFonts w:ascii="Trebuchet MS" w:hAnsi="Trebuchet MS"/>
          <w:b/>
          <w:sz w:val="24"/>
          <w:szCs w:val="24"/>
        </w:rPr>
        <w:t>ti</w:t>
      </w:r>
      <w:r w:rsidR="00A61DF6">
        <w:rPr>
          <w:rFonts w:ascii="Trebuchet MS" w:hAnsi="Trebuchet MS"/>
          <w:b/>
          <w:sz w:val="24"/>
          <w:szCs w:val="24"/>
        </w:rPr>
        <w:t>i</w:t>
      </w:r>
      <w:proofErr w:type="spellEnd"/>
      <w:r w:rsidRPr="00F47B76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Programul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Operaţional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Comun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România-Ucraina-Republica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Moldova</w:t>
      </w:r>
      <w:r w:rsidRPr="00F47B76">
        <w:rPr>
          <w:rFonts w:ascii="Trebuchet MS" w:hAnsi="Trebuchet MS"/>
          <w:b/>
          <w:sz w:val="24"/>
          <w:szCs w:val="24"/>
        </w:rPr>
        <w:t xml:space="preserve"> 2007-2013:</w:t>
      </w:r>
      <w:bookmarkStart w:id="0" w:name="_GoBack"/>
      <w:bookmarkEnd w:id="0"/>
    </w:p>
    <w:p w:rsidR="0026519A" w:rsidRPr="00F372AC" w:rsidRDefault="0026519A" w:rsidP="0026519A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43"/>
        <w:gridCol w:w="720"/>
        <w:gridCol w:w="1260"/>
        <w:gridCol w:w="1800"/>
        <w:gridCol w:w="2160"/>
        <w:gridCol w:w="990"/>
        <w:gridCol w:w="1080"/>
        <w:gridCol w:w="1440"/>
        <w:gridCol w:w="1800"/>
      </w:tblGrid>
      <w:tr w:rsidR="0026519A" w:rsidRPr="00F372AC" w:rsidTr="004327DF">
        <w:trPr>
          <w:trHeight w:val="1250"/>
        </w:trPr>
        <w:tc>
          <w:tcPr>
            <w:tcW w:w="675" w:type="dxa"/>
            <w:textDirection w:val="btLr"/>
          </w:tcPr>
          <w:p w:rsidR="0026519A" w:rsidRPr="00F372AC" w:rsidRDefault="0026519A" w:rsidP="004327DF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Nr. </w:t>
            </w:r>
            <w:r w:rsidRPr="00F372AC">
              <w:rPr>
                <w:rFonts w:ascii="Trebuchet MS" w:hAnsi="Trebuchet MS" w:cs="Arial"/>
                <w:sz w:val="20"/>
                <w:szCs w:val="20"/>
              </w:rPr>
              <w:t xml:space="preserve">Contract </w:t>
            </w:r>
          </w:p>
        </w:tc>
        <w:tc>
          <w:tcPr>
            <w:tcW w:w="2043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372AC">
              <w:rPr>
                <w:rFonts w:ascii="Trebuchet MS" w:hAnsi="Trebuchet MS" w:cs="Arial"/>
                <w:sz w:val="20"/>
                <w:szCs w:val="20"/>
              </w:rPr>
              <w:t>Beneficiar</w:t>
            </w:r>
            <w:proofErr w:type="spellEnd"/>
            <w:r w:rsidRPr="00F372AC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20" w:type="dxa"/>
            <w:textDirection w:val="btLr"/>
          </w:tcPr>
          <w:p w:rsidR="0026519A" w:rsidRPr="00F372AC" w:rsidRDefault="0026519A" w:rsidP="004327DF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372AC">
              <w:rPr>
                <w:rFonts w:ascii="Trebuchet MS" w:hAnsi="Trebuchet MS" w:cs="Arial"/>
                <w:sz w:val="20"/>
                <w:szCs w:val="20"/>
              </w:rPr>
              <w:t>Na</w:t>
            </w:r>
            <w:r>
              <w:rPr>
                <w:rFonts w:ascii="Trebuchet MS" w:hAnsi="Trebuchet MS" w:cs="Arial"/>
                <w:sz w:val="20"/>
                <w:szCs w:val="20"/>
              </w:rPr>
              <w:t>ţionalitatea</w:t>
            </w:r>
            <w:proofErr w:type="spellEnd"/>
          </w:p>
          <w:p w:rsidR="0026519A" w:rsidRPr="00F372AC" w:rsidRDefault="0026519A" w:rsidP="004327DF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(cod </w:t>
            </w:r>
            <w:r w:rsidRPr="00F372AC">
              <w:rPr>
                <w:rFonts w:ascii="Trebuchet MS" w:hAnsi="Trebuchet MS" w:cs="Arial"/>
                <w:sz w:val="20"/>
                <w:szCs w:val="20"/>
              </w:rPr>
              <w:t>ISO)</w:t>
            </w:r>
          </w:p>
        </w:tc>
        <w:tc>
          <w:tcPr>
            <w:tcW w:w="126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372AC">
              <w:rPr>
                <w:rFonts w:ascii="Trebuchet MS" w:hAnsi="Trebuchet MS" w:cs="Arial"/>
                <w:sz w:val="20"/>
                <w:szCs w:val="20"/>
              </w:rPr>
              <w:t>Priorit</w:t>
            </w:r>
            <w:r>
              <w:rPr>
                <w:rFonts w:ascii="Trebuchet MS" w:hAnsi="Trebuchet MS" w:cs="Arial"/>
                <w:sz w:val="20"/>
                <w:szCs w:val="20"/>
              </w:rPr>
              <w:t>atea</w:t>
            </w:r>
            <w:proofErr w:type="spellEnd"/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Ţara</w:t>
            </w:r>
            <w:proofErr w:type="spellEnd"/>
            <w:r w:rsidRPr="00F372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F372AC">
              <w:rPr>
                <w:rFonts w:ascii="Trebuchet MS" w:hAnsi="Trebuchet MS" w:cs="Arial"/>
                <w:sz w:val="20"/>
                <w:szCs w:val="20"/>
              </w:rPr>
              <w:t>regi</w:t>
            </w:r>
            <w:r>
              <w:rPr>
                <w:rFonts w:ascii="Trebuchet MS" w:hAnsi="Trebuchet MS" w:cs="Arial"/>
                <w:sz w:val="20"/>
                <w:szCs w:val="20"/>
              </w:rPr>
              <w:t>unea</w:t>
            </w:r>
            <w:proofErr w:type="spellEnd"/>
          </w:p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care se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desfăşoară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intervenţia</w:t>
            </w:r>
            <w:proofErr w:type="spellEnd"/>
            <w:r w:rsidRPr="00F372AC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cod </w:t>
            </w:r>
            <w:r w:rsidRPr="00F372AC">
              <w:rPr>
                <w:rFonts w:ascii="Trebuchet MS" w:hAnsi="Trebuchet MS" w:cs="Arial"/>
                <w:sz w:val="20"/>
                <w:szCs w:val="20"/>
              </w:rPr>
              <w:t>ISO)</w:t>
            </w:r>
          </w:p>
        </w:tc>
        <w:tc>
          <w:tcPr>
            <w:tcW w:w="216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intervenţiei</w:t>
            </w:r>
            <w:proofErr w:type="spellEnd"/>
          </w:p>
        </w:tc>
        <w:tc>
          <w:tcPr>
            <w:tcW w:w="99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Localizarea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intervenţiei</w:t>
            </w:r>
            <w:proofErr w:type="spellEnd"/>
          </w:p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519A" w:rsidRPr="00F372AC" w:rsidRDefault="0026519A" w:rsidP="004327DF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Durata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intervenţiei</w:t>
            </w:r>
            <w:proofErr w:type="spellEnd"/>
            <w:r w:rsidRPr="00F372AC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luni</w:t>
            </w:r>
            <w:proofErr w:type="spellEnd"/>
            <w:r w:rsidRPr="00F372AC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Valoarea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finanţării</w:t>
            </w:r>
            <w:proofErr w:type="spellEnd"/>
          </w:p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>(&lt;EUR&gt;)</w:t>
            </w:r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372AC">
              <w:rPr>
                <w:rFonts w:ascii="Trebuchet MS" w:hAnsi="Trebuchet MS" w:cs="Arial"/>
                <w:sz w:val="20"/>
                <w:szCs w:val="20"/>
              </w:rPr>
              <w:t xml:space="preserve">%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valoarea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totală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eligibilă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intervenţiei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finanţat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către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UE</w:t>
            </w:r>
          </w:p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6519A" w:rsidRPr="00F372AC" w:rsidTr="004327DF">
        <w:trPr>
          <w:trHeight w:val="1250"/>
        </w:trPr>
        <w:tc>
          <w:tcPr>
            <w:tcW w:w="675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988</w:t>
            </w:r>
          </w:p>
        </w:tc>
        <w:tc>
          <w:tcPr>
            <w:tcW w:w="2043" w:type="dxa"/>
          </w:tcPr>
          <w:p w:rsidR="0026519A" w:rsidRDefault="0026519A" w:rsidP="004327D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Serviciul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Vamal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Republicii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Moldova </w:t>
            </w:r>
          </w:p>
          <w:p w:rsidR="0026519A" w:rsidRDefault="0026519A" w:rsidP="004327D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26519A" w:rsidRPr="00CA4A89" w:rsidRDefault="0026519A" w:rsidP="004327DF">
            <w:pPr>
              <w:spacing w:after="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Str. </w:t>
            </w:r>
            <w:proofErr w:type="spellStart"/>
            <w:r>
              <w:rPr>
                <w:rFonts w:ascii="Trebuchet MS" w:hAnsi="Trebuchet MS" w:cs="Arial"/>
                <w:i/>
                <w:sz w:val="20"/>
                <w:szCs w:val="20"/>
              </w:rPr>
              <w:t>Columna</w:t>
            </w:r>
            <w:proofErr w:type="gram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nr</w:t>
            </w:r>
            <w:proofErr w:type="spellEnd"/>
            <w:proofErr w:type="gramEnd"/>
            <w:r>
              <w:rPr>
                <w:rFonts w:ascii="Trebuchet MS" w:hAnsi="Trebuchet MS" w:cs="Arial"/>
                <w:i/>
                <w:sz w:val="20"/>
                <w:szCs w:val="20"/>
              </w:rPr>
              <w:t>.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36  MD-2001,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Chi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ș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in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ă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u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i/>
                <w:sz w:val="20"/>
                <w:szCs w:val="20"/>
              </w:rPr>
              <w:t>Republica</w:t>
            </w:r>
            <w:proofErr w:type="spellEnd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Moldova</w:t>
            </w:r>
          </w:p>
        </w:tc>
        <w:tc>
          <w:tcPr>
            <w:tcW w:w="72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2160" w:type="dxa"/>
          </w:tcPr>
          <w:p w:rsidR="0026519A" w:rsidRPr="00F372AC" w:rsidRDefault="0026519A" w:rsidP="004327DF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IMPEFO –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Î</w:t>
            </w:r>
            <w:r w:rsidRPr="004E2FB3">
              <w:rPr>
                <w:rFonts w:ascii="Trebuchet MS" w:hAnsi="Trebuchet MS" w:cs="Arial"/>
                <w:sz w:val="20"/>
                <w:szCs w:val="20"/>
              </w:rPr>
              <w:t>m</w:t>
            </w:r>
            <w:r>
              <w:rPr>
                <w:rFonts w:ascii="Trebuchet MS" w:hAnsi="Trebuchet MS" w:cs="Arial"/>
                <w:sz w:val="20"/>
                <w:szCs w:val="20"/>
              </w:rPr>
              <w:t>bunătăţirea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cooperării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trans-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frontaliere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dintre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Republica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Moldova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România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domeniul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produselor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petroliere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99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1080" w:type="dxa"/>
          </w:tcPr>
          <w:p w:rsidR="0026519A" w:rsidRPr="00F372AC" w:rsidRDefault="0026519A" w:rsidP="004327DF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26519A" w:rsidRPr="00F372AC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3,094,194.60</w:t>
            </w:r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0" w:line="240" w:lineRule="auto"/>
              <w:ind w:right="72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  <w:tr w:rsidR="0026519A" w:rsidRPr="00F372AC" w:rsidTr="004327DF">
        <w:trPr>
          <w:trHeight w:val="1250"/>
        </w:trPr>
        <w:tc>
          <w:tcPr>
            <w:tcW w:w="675" w:type="dxa"/>
          </w:tcPr>
          <w:p w:rsidR="0026519A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989</w:t>
            </w:r>
          </w:p>
        </w:tc>
        <w:tc>
          <w:tcPr>
            <w:tcW w:w="2043" w:type="dxa"/>
          </w:tcPr>
          <w:p w:rsidR="0026519A" w:rsidRDefault="0026519A" w:rsidP="004327D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Ministerul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Afacerilor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Interne -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Inspectoratul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General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Situații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Urgență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26519A" w:rsidRDefault="0026519A" w:rsidP="004327D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26519A" w:rsidRPr="00CA4A89" w:rsidRDefault="0026519A" w:rsidP="004327DF">
            <w:pPr>
              <w:spacing w:after="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Str.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Banu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Dumitrache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nr.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46  023576,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Buc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urești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Rom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â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720" w:type="dxa"/>
          </w:tcPr>
          <w:p w:rsidR="0026519A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</w:t>
            </w:r>
          </w:p>
        </w:tc>
        <w:tc>
          <w:tcPr>
            <w:tcW w:w="1260" w:type="dxa"/>
          </w:tcPr>
          <w:p w:rsidR="0026519A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2160" w:type="dxa"/>
          </w:tcPr>
          <w:p w:rsidR="0026519A" w:rsidRPr="004E2FB3" w:rsidRDefault="0026519A" w:rsidP="004327DF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Îmbunătăţirea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capacităţii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răspuns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Serviciului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Mobil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Urgenţă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Resuscitare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Descarcerare</w:t>
            </w:r>
            <w:proofErr w:type="spellEnd"/>
            <w:r w:rsidRPr="004E2FB3">
              <w:rPr>
                <w:rFonts w:ascii="Trebuchet MS" w:hAnsi="Trebuchet MS" w:cs="Arial"/>
                <w:sz w:val="20"/>
                <w:szCs w:val="20"/>
              </w:rPr>
              <w:t xml:space="preserve"> (SMURD)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intermediul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unui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sistem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comun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integrat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monitorizarea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eficientă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atenuarea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consecinţelor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dezastrelor</w:t>
            </w:r>
            <w:proofErr w:type="spellEnd"/>
            <w:r w:rsidRPr="004E2FB3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populaţia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aflată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între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graniţele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comune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României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Ucrainei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Republicii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E2FB3">
              <w:rPr>
                <w:rFonts w:ascii="Trebuchet MS" w:hAnsi="Trebuchet MS" w:cs="Arial"/>
                <w:sz w:val="20"/>
                <w:szCs w:val="20"/>
              </w:rPr>
              <w:t>Moldova</w:t>
            </w:r>
          </w:p>
        </w:tc>
        <w:tc>
          <w:tcPr>
            <w:tcW w:w="99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1080" w:type="dxa"/>
          </w:tcPr>
          <w:p w:rsidR="0026519A" w:rsidRDefault="0026519A" w:rsidP="004327DF">
            <w:pPr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26519A" w:rsidRDefault="0026519A" w:rsidP="004327DF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6,008,363.41</w:t>
            </w:r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0" w:line="240" w:lineRule="auto"/>
              <w:ind w:right="72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  <w:tr w:rsidR="0026519A" w:rsidRPr="00F372AC" w:rsidTr="004327DF">
        <w:tc>
          <w:tcPr>
            <w:tcW w:w="675" w:type="dxa"/>
          </w:tcPr>
          <w:p w:rsidR="0026519A" w:rsidRPr="00F372AC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993</w:t>
            </w:r>
          </w:p>
        </w:tc>
        <w:tc>
          <w:tcPr>
            <w:tcW w:w="2043" w:type="dxa"/>
          </w:tcPr>
          <w:p w:rsidR="0026519A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Agenția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Națională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Resurse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Minerale</w:t>
            </w:r>
            <w:proofErr w:type="spellEnd"/>
          </w:p>
          <w:p w:rsidR="0026519A" w:rsidRPr="00CA4A89" w:rsidRDefault="0026519A" w:rsidP="004327DF">
            <w:pPr>
              <w:spacing w:after="6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Str. 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Mendeleev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, nr.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3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6-38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, 010366, </w:t>
            </w:r>
            <w:proofErr w:type="spellStart"/>
            <w:r>
              <w:rPr>
                <w:rFonts w:ascii="Trebuchet MS" w:hAnsi="Trebuchet MS" w:cs="Arial"/>
                <w:i/>
                <w:sz w:val="20"/>
                <w:szCs w:val="20"/>
              </w:rPr>
              <w:t>București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Rom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â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72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RO</w:t>
            </w:r>
          </w:p>
        </w:tc>
        <w:tc>
          <w:tcPr>
            <w:tcW w:w="126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RO, MD</w:t>
            </w:r>
          </w:p>
        </w:tc>
        <w:tc>
          <w:tcPr>
            <w:tcW w:w="2160" w:type="dxa"/>
          </w:tcPr>
          <w:p w:rsidR="0026519A" w:rsidRPr="00F372AC" w:rsidRDefault="0026519A" w:rsidP="004327DF">
            <w:pPr>
              <w:spacing w:after="60" w:line="240" w:lineRule="auto"/>
              <w:ind w:right="7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Conducta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gaz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interconectarea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sistemului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transport 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gazelor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naturale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România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sistemul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transport 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gazelor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naturale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Republica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Moldova din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direcţia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73628">
              <w:rPr>
                <w:rFonts w:ascii="Trebuchet MS" w:hAnsi="Trebuchet MS" w:cs="Arial"/>
                <w:sz w:val="20"/>
                <w:szCs w:val="20"/>
              </w:rPr>
              <w:t>Iaşi</w:t>
            </w:r>
            <w:proofErr w:type="spellEnd"/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373628">
              <w:rPr>
                <w:rFonts w:ascii="Trebuchet MS" w:hAnsi="Trebuchet MS" w:cs="Arial"/>
                <w:sz w:val="20"/>
                <w:szCs w:val="20"/>
              </w:rPr>
              <w:t>Rom</w:t>
            </w:r>
            <w:r>
              <w:rPr>
                <w:rFonts w:ascii="Trebuchet MS" w:hAnsi="Trebuchet MS" w:cs="Arial"/>
                <w:sz w:val="20"/>
                <w:szCs w:val="20"/>
              </w:rPr>
              <w:t>â</w:t>
            </w:r>
            <w:r w:rsidRPr="00373628">
              <w:rPr>
                <w:rFonts w:ascii="Trebuchet MS" w:hAnsi="Trebuchet MS" w:cs="Arial"/>
                <w:sz w:val="20"/>
                <w:szCs w:val="20"/>
              </w:rPr>
              <w:t>nia</w:t>
            </w:r>
            <w:proofErr w:type="spellEnd"/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) – </w:t>
            </w:r>
            <w:proofErr w:type="spellStart"/>
            <w:r w:rsidRPr="00373628">
              <w:rPr>
                <w:rFonts w:ascii="Trebuchet MS" w:hAnsi="Trebuchet MS" w:cs="Arial"/>
                <w:sz w:val="20"/>
                <w:szCs w:val="20"/>
              </w:rPr>
              <w:t>Ungheni</w:t>
            </w:r>
            <w:proofErr w:type="spellEnd"/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 (Moldova)”</w:t>
            </w:r>
          </w:p>
        </w:tc>
        <w:tc>
          <w:tcPr>
            <w:tcW w:w="99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RO, MD</w:t>
            </w:r>
          </w:p>
        </w:tc>
        <w:tc>
          <w:tcPr>
            <w:tcW w:w="108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7,000,000.00</w:t>
            </w:r>
          </w:p>
        </w:tc>
        <w:tc>
          <w:tcPr>
            <w:tcW w:w="1800" w:type="dxa"/>
          </w:tcPr>
          <w:p w:rsidR="0026519A" w:rsidRPr="00F372AC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26.42%</w:t>
            </w:r>
          </w:p>
        </w:tc>
      </w:tr>
      <w:tr w:rsidR="0026519A" w:rsidRPr="00F372AC" w:rsidTr="004327DF">
        <w:tc>
          <w:tcPr>
            <w:tcW w:w="675" w:type="dxa"/>
          </w:tcPr>
          <w:p w:rsidR="0026519A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995</w:t>
            </w:r>
          </w:p>
        </w:tc>
        <w:tc>
          <w:tcPr>
            <w:tcW w:w="2043" w:type="dxa"/>
          </w:tcPr>
          <w:p w:rsidR="0026519A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Departamentul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mediu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resurse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naturale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Administrației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Regionale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stat Odessa </w:t>
            </w:r>
          </w:p>
          <w:p w:rsidR="0026519A" w:rsidRPr="00CA4A89" w:rsidRDefault="0026519A" w:rsidP="004327DF">
            <w:pPr>
              <w:spacing w:after="6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Str.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Kanatna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nr.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83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65107, Odessa,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U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craina</w:t>
            </w:r>
            <w:proofErr w:type="spellEnd"/>
          </w:p>
        </w:tc>
        <w:tc>
          <w:tcPr>
            <w:tcW w:w="72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UA</w:t>
            </w:r>
          </w:p>
        </w:tc>
        <w:tc>
          <w:tcPr>
            <w:tcW w:w="126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UA, MD, RO</w:t>
            </w:r>
          </w:p>
        </w:tc>
        <w:tc>
          <w:tcPr>
            <w:tcW w:w="2160" w:type="dxa"/>
          </w:tcPr>
          <w:p w:rsidR="0026519A" w:rsidRPr="00373628" w:rsidRDefault="0026519A" w:rsidP="004327DF">
            <w:pPr>
              <w:spacing w:after="60" w:line="240" w:lineRule="auto"/>
              <w:ind w:right="7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73628">
              <w:rPr>
                <w:rFonts w:ascii="Trebuchet MS" w:hAnsi="Trebuchet MS" w:cs="Arial"/>
                <w:sz w:val="20"/>
                <w:szCs w:val="20"/>
              </w:rPr>
              <w:t>Invent</w:t>
            </w:r>
            <w:r>
              <w:rPr>
                <w:rFonts w:ascii="Trebuchet MS" w:hAnsi="Trebuchet MS" w:cs="Arial"/>
                <w:sz w:val="20"/>
                <w:szCs w:val="20"/>
              </w:rPr>
              <w:t>arierea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evaluarea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remedierea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surselor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poluare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antropogenică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Regiunea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Dunării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Jos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dintre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Ucraina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Româ</w:t>
            </w:r>
            <w:r w:rsidRPr="00373628">
              <w:rPr>
                <w:rFonts w:ascii="Trebuchet MS" w:hAnsi="Trebuchet MS" w:cs="Arial"/>
                <w:sz w:val="20"/>
                <w:szCs w:val="20"/>
              </w:rPr>
              <w:t>nia</w:t>
            </w:r>
            <w:proofErr w:type="spellEnd"/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73628">
              <w:rPr>
                <w:rFonts w:ascii="Trebuchet MS" w:hAnsi="Trebuchet MS" w:cs="Arial"/>
                <w:sz w:val="20"/>
                <w:szCs w:val="20"/>
              </w:rPr>
              <w:t>Republic</w:t>
            </w: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  <w:proofErr w:type="spellEnd"/>
            <w:r w:rsidRPr="00373628">
              <w:rPr>
                <w:rFonts w:ascii="Trebuchet MS" w:hAnsi="Trebuchet MS" w:cs="Arial"/>
                <w:sz w:val="20"/>
                <w:szCs w:val="20"/>
              </w:rPr>
              <w:t xml:space="preserve"> Moldova</w:t>
            </w:r>
          </w:p>
        </w:tc>
        <w:tc>
          <w:tcPr>
            <w:tcW w:w="99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UA, MD, RO</w:t>
            </w:r>
          </w:p>
        </w:tc>
        <w:tc>
          <w:tcPr>
            <w:tcW w:w="108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5,181,782.42</w:t>
            </w:r>
          </w:p>
        </w:tc>
        <w:tc>
          <w:tcPr>
            <w:tcW w:w="180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89,04%</w:t>
            </w:r>
          </w:p>
        </w:tc>
      </w:tr>
      <w:tr w:rsidR="0026519A" w:rsidRPr="00F372AC" w:rsidTr="004327DF">
        <w:tc>
          <w:tcPr>
            <w:tcW w:w="675" w:type="dxa"/>
          </w:tcPr>
          <w:p w:rsidR="0026519A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2739</w:t>
            </w:r>
          </w:p>
        </w:tc>
        <w:tc>
          <w:tcPr>
            <w:tcW w:w="2043" w:type="dxa"/>
          </w:tcPr>
          <w:p w:rsidR="0026519A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Ministerul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Economiei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Republica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Moldova </w:t>
            </w:r>
          </w:p>
          <w:p w:rsidR="0026519A" w:rsidRDefault="0026519A" w:rsidP="004327DF">
            <w:pPr>
              <w:spacing w:after="6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</w:p>
          <w:p w:rsidR="0026519A" w:rsidRPr="00CA4A89" w:rsidRDefault="0026519A" w:rsidP="004327DF">
            <w:pPr>
              <w:spacing w:after="60" w:line="240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str.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Pia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ț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a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Marii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Adun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ă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ri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Na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ț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ionale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nr.1,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Chi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ș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in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ă</w:t>
            </w:r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u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>Republic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a</w:t>
            </w:r>
            <w:proofErr w:type="spellEnd"/>
            <w:r w:rsidRPr="00CA4A89">
              <w:rPr>
                <w:rFonts w:ascii="Trebuchet MS" w:hAnsi="Trebuchet MS" w:cs="Arial"/>
                <w:i/>
                <w:sz w:val="20"/>
                <w:szCs w:val="20"/>
              </w:rPr>
              <w:t xml:space="preserve"> Moldova</w:t>
            </w:r>
          </w:p>
        </w:tc>
        <w:tc>
          <w:tcPr>
            <w:tcW w:w="72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MD, UA, RO</w:t>
            </w:r>
          </w:p>
        </w:tc>
        <w:tc>
          <w:tcPr>
            <w:tcW w:w="2160" w:type="dxa"/>
          </w:tcPr>
          <w:p w:rsidR="0026519A" w:rsidRPr="00373628" w:rsidRDefault="0026519A" w:rsidP="004327DF">
            <w:pPr>
              <w:spacing w:after="60" w:line="240" w:lineRule="auto"/>
              <w:ind w:right="72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Studiu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fezabilitate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interconectarea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sincronă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dintre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sistemele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alimentare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energie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electrică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din </w:t>
            </w:r>
            <w:proofErr w:type="spellStart"/>
            <w:r w:rsidRPr="004E2FB3">
              <w:rPr>
                <w:rFonts w:ascii="Trebuchet MS" w:hAnsi="Trebuchet MS" w:cs="Arial"/>
                <w:sz w:val="20"/>
                <w:szCs w:val="20"/>
              </w:rPr>
              <w:t>U</w:t>
            </w:r>
            <w:r>
              <w:rPr>
                <w:rFonts w:ascii="Trebuchet MS" w:hAnsi="Trebuchet MS" w:cs="Arial"/>
                <w:sz w:val="20"/>
                <w:szCs w:val="20"/>
              </w:rPr>
              <w:t>craina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Republica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Moldova cu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sistemul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continental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transport 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energiei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electrice</w:t>
            </w:r>
            <w:proofErr w:type="spellEnd"/>
            <w:r w:rsidRPr="004E2FB3">
              <w:rPr>
                <w:rFonts w:ascii="Trebuchet MS" w:hAnsi="Trebuchet MS" w:cs="Arial"/>
                <w:sz w:val="20"/>
                <w:szCs w:val="20"/>
              </w:rPr>
              <w:t xml:space="preserve"> ENTSO-E </w:t>
            </w:r>
          </w:p>
        </w:tc>
        <w:tc>
          <w:tcPr>
            <w:tcW w:w="99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MD, UA, RO</w:t>
            </w:r>
          </w:p>
        </w:tc>
        <w:tc>
          <w:tcPr>
            <w:tcW w:w="108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6,360,639.12</w:t>
            </w:r>
          </w:p>
        </w:tc>
        <w:tc>
          <w:tcPr>
            <w:tcW w:w="1800" w:type="dxa"/>
          </w:tcPr>
          <w:p w:rsidR="0026519A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  <w:tr w:rsidR="0026519A" w:rsidRPr="00F372AC" w:rsidTr="004327DF">
        <w:tc>
          <w:tcPr>
            <w:tcW w:w="675" w:type="dxa"/>
          </w:tcPr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981</w:t>
            </w:r>
          </w:p>
        </w:tc>
        <w:tc>
          <w:tcPr>
            <w:tcW w:w="2043" w:type="dxa"/>
          </w:tcPr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Ministerul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Transporturilor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Infrastructurii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Rom</w:t>
            </w:r>
            <w:r>
              <w:rPr>
                <w:rFonts w:ascii="Trebuchet MS" w:hAnsi="Trebuchet MS" w:cs="Arial"/>
                <w:sz w:val="20"/>
                <w:szCs w:val="20"/>
              </w:rPr>
              <w:t>â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t>nia</w:t>
            </w:r>
            <w:proofErr w:type="spellEnd"/>
          </w:p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Blvd. </w:t>
            </w:r>
            <w:proofErr w:type="spellStart"/>
            <w:r w:rsidRPr="00D82778">
              <w:rPr>
                <w:rFonts w:ascii="Trebuchet MS" w:hAnsi="Trebuchet MS" w:cs="Arial"/>
                <w:sz w:val="20"/>
              </w:rPr>
              <w:t>Dinicu</w:t>
            </w:r>
            <w:proofErr w:type="spellEnd"/>
            <w:r w:rsidRPr="00D82778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D82778">
              <w:rPr>
                <w:rFonts w:ascii="Trebuchet MS" w:hAnsi="Trebuchet MS" w:cs="Arial"/>
                <w:sz w:val="20"/>
              </w:rPr>
              <w:t>Golescu</w:t>
            </w:r>
            <w:proofErr w:type="spellEnd"/>
            <w:r w:rsidRPr="00D82778">
              <w:rPr>
                <w:rFonts w:ascii="Trebuchet MS" w:hAnsi="Trebuchet MS" w:cs="Arial"/>
                <w:sz w:val="20"/>
              </w:rPr>
              <w:t xml:space="preserve">, </w:t>
            </w:r>
            <w:r>
              <w:rPr>
                <w:rFonts w:ascii="Trebuchet MS" w:hAnsi="Trebuchet MS" w:cs="Arial"/>
                <w:sz w:val="20"/>
              </w:rPr>
              <w:t>nr.</w:t>
            </w:r>
            <w:r w:rsidRPr="00D82778">
              <w:rPr>
                <w:rFonts w:ascii="Trebuchet MS" w:hAnsi="Trebuchet MS" w:cs="Arial"/>
                <w:sz w:val="20"/>
              </w:rPr>
              <w:t xml:space="preserve"> 38,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 w:rsidRPr="00D82778">
              <w:rPr>
                <w:rFonts w:ascii="Trebuchet MS" w:hAnsi="Trebuchet MS" w:cs="Arial"/>
                <w:sz w:val="20"/>
              </w:rPr>
              <w:lastRenderedPageBreak/>
              <w:t xml:space="preserve">Sector 1, </w:t>
            </w:r>
            <w:proofErr w:type="spellStart"/>
            <w:r>
              <w:rPr>
                <w:rFonts w:ascii="Trebuchet MS" w:hAnsi="Trebuchet MS" w:cs="Arial"/>
                <w:sz w:val="20"/>
              </w:rPr>
              <w:t>București</w:t>
            </w:r>
            <w:proofErr w:type="spellEnd"/>
            <w:r w:rsidRPr="00D82778">
              <w:rPr>
                <w:rFonts w:ascii="Trebuchet MS" w:hAnsi="Trebuchet MS" w:cs="Arial"/>
                <w:sz w:val="20"/>
              </w:rPr>
              <w:t xml:space="preserve">, </w:t>
            </w:r>
            <w:proofErr w:type="spellStart"/>
            <w:r w:rsidRPr="00D82778">
              <w:rPr>
                <w:rFonts w:ascii="Trebuchet MS" w:hAnsi="Trebuchet MS" w:cs="Arial"/>
                <w:sz w:val="20"/>
              </w:rPr>
              <w:t>Rom</w:t>
            </w:r>
            <w:r>
              <w:rPr>
                <w:rFonts w:ascii="Trebuchet MS" w:hAnsi="Trebuchet MS" w:cs="Arial"/>
                <w:sz w:val="20"/>
              </w:rPr>
              <w:t>â</w:t>
            </w:r>
            <w:r w:rsidRPr="00D82778">
              <w:rPr>
                <w:rFonts w:ascii="Trebuchet MS" w:hAnsi="Trebuchet MS" w:cs="Arial"/>
                <w:sz w:val="20"/>
              </w:rPr>
              <w:t>nia</w:t>
            </w:r>
            <w:proofErr w:type="spellEnd"/>
          </w:p>
        </w:tc>
        <w:tc>
          <w:tcPr>
            <w:tcW w:w="72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RO</w:t>
            </w:r>
          </w:p>
        </w:tc>
        <w:tc>
          <w:tcPr>
            <w:tcW w:w="126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RO-UA-MD</w:t>
            </w:r>
          </w:p>
        </w:tc>
        <w:tc>
          <w:tcPr>
            <w:tcW w:w="2160" w:type="dxa"/>
          </w:tcPr>
          <w:p w:rsidR="0026519A" w:rsidRPr="00D82778" w:rsidRDefault="0026519A" w:rsidP="004327DF">
            <w:pPr>
              <w:spacing w:after="60" w:line="240" w:lineRule="auto"/>
              <w:ind w:right="-108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Infrastructură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trans-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frontalieră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infrastructură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com</w:t>
            </w:r>
            <w:r>
              <w:rPr>
                <w:rFonts w:ascii="Trebuchet MS" w:hAnsi="Trebuchet MS" w:cs="Arial"/>
                <w:sz w:val="20"/>
                <w:szCs w:val="20"/>
              </w:rPr>
              <w:t>unicaţii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dintre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România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Ucraina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Republic</w:t>
            </w:r>
            <w:r>
              <w:rPr>
                <w:rFonts w:ascii="Trebuchet MS" w:hAnsi="Trebuchet MS" w:cs="Arial"/>
                <w:sz w:val="20"/>
                <w:szCs w:val="20"/>
              </w:rPr>
              <w:t>a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 Moldova).</w:t>
            </w:r>
          </w:p>
        </w:tc>
        <w:tc>
          <w:tcPr>
            <w:tcW w:w="99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RO-UA-MD</w:t>
            </w:r>
          </w:p>
        </w:tc>
        <w:tc>
          <w:tcPr>
            <w:tcW w:w="108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4,700,000</w:t>
            </w:r>
          </w:p>
        </w:tc>
        <w:tc>
          <w:tcPr>
            <w:tcW w:w="180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89.95%</w:t>
            </w:r>
          </w:p>
        </w:tc>
      </w:tr>
      <w:tr w:rsidR="0026519A" w:rsidRPr="00F372AC" w:rsidTr="004327DF">
        <w:tc>
          <w:tcPr>
            <w:tcW w:w="675" w:type="dxa"/>
          </w:tcPr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lastRenderedPageBreak/>
              <w:t>985</w:t>
            </w:r>
          </w:p>
        </w:tc>
        <w:tc>
          <w:tcPr>
            <w:tcW w:w="2043" w:type="dxa"/>
          </w:tcPr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Ministerul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Finanțe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Ucrainei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Str.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>Lvivska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nr.</w:t>
            </w:r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6-8, K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iev</w:t>
            </w:r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>U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c</w:t>
            </w:r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>rain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  <w:lang w:val="en-GB"/>
              </w:rPr>
              <w:t>, 04655</w:t>
            </w:r>
          </w:p>
        </w:tc>
        <w:tc>
          <w:tcPr>
            <w:tcW w:w="72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UA</w:t>
            </w:r>
          </w:p>
        </w:tc>
        <w:tc>
          <w:tcPr>
            <w:tcW w:w="126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UA-RO</w:t>
            </w:r>
          </w:p>
        </w:tc>
        <w:tc>
          <w:tcPr>
            <w:tcW w:w="2160" w:type="dxa"/>
          </w:tcPr>
          <w:p w:rsidR="0026519A" w:rsidRPr="00D82778" w:rsidRDefault="0026519A" w:rsidP="004327DF">
            <w:pPr>
              <w:spacing w:after="60" w:line="240" w:lineRule="auto"/>
              <w:ind w:right="-108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De</w:t>
            </w:r>
            <w:r>
              <w:rPr>
                <w:rFonts w:ascii="Trebuchet MS" w:hAnsi="Trebuchet MS" w:cs="Arial"/>
                <w:sz w:val="20"/>
                <w:szCs w:val="20"/>
              </w:rPr>
              <w:t>zvoltarea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infrastructurii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frontaliere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dintre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Ucraina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România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UA-RO</w:t>
            </w:r>
          </w:p>
        </w:tc>
        <w:tc>
          <w:tcPr>
            <w:tcW w:w="108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3,500,000</w:t>
            </w:r>
          </w:p>
        </w:tc>
        <w:tc>
          <w:tcPr>
            <w:tcW w:w="180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89.90%</w:t>
            </w:r>
          </w:p>
        </w:tc>
      </w:tr>
      <w:tr w:rsidR="0026519A" w:rsidRPr="00F372AC" w:rsidTr="004327DF">
        <w:tc>
          <w:tcPr>
            <w:tcW w:w="675" w:type="dxa"/>
          </w:tcPr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966</w:t>
            </w:r>
          </w:p>
        </w:tc>
        <w:tc>
          <w:tcPr>
            <w:tcW w:w="2043" w:type="dxa"/>
          </w:tcPr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Ministerul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Mediului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și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Schimbărilor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Climatice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Rom</w:t>
            </w:r>
            <w:r>
              <w:rPr>
                <w:rFonts w:ascii="Trebuchet MS" w:hAnsi="Trebuchet MS" w:cs="Arial"/>
                <w:sz w:val="20"/>
                <w:szCs w:val="20"/>
              </w:rPr>
              <w:t>â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t>nia</w:t>
            </w:r>
            <w:proofErr w:type="spellEnd"/>
          </w:p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26519A" w:rsidRPr="00D82778" w:rsidRDefault="0026519A" w:rsidP="004327DF">
            <w:pPr>
              <w:spacing w:before="120" w:after="1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Blvd.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Libert</w:t>
            </w:r>
            <w:r>
              <w:rPr>
                <w:rFonts w:ascii="Trebuchet MS" w:hAnsi="Trebuchet MS" w:cs="Arial"/>
                <w:sz w:val="20"/>
                <w:szCs w:val="20"/>
              </w:rPr>
              <w:t>ăț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t>ii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>,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nr.</w:t>
            </w:r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12, sector 5,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București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  <w:lang w:val="fr-FR"/>
              </w:rPr>
              <w:t>Rom</w:t>
            </w:r>
            <w:r>
              <w:rPr>
                <w:rFonts w:ascii="Trebuchet MS" w:hAnsi="Trebuchet MS" w:cs="Arial"/>
                <w:sz w:val="20"/>
                <w:szCs w:val="20"/>
                <w:lang w:val="fr-FR"/>
              </w:rPr>
              <w:t>â</w:t>
            </w:r>
            <w:r w:rsidRPr="00D82778">
              <w:rPr>
                <w:rFonts w:ascii="Trebuchet MS" w:hAnsi="Trebuchet MS" w:cs="Arial"/>
                <w:sz w:val="20"/>
                <w:szCs w:val="20"/>
                <w:lang w:val="fr-FR"/>
              </w:rPr>
              <w:t>nia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 </w:t>
            </w:r>
          </w:p>
          <w:p w:rsidR="0026519A" w:rsidRPr="00D82778" w:rsidRDefault="0026519A" w:rsidP="004327DF">
            <w:pPr>
              <w:spacing w:after="6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</w:t>
            </w:r>
          </w:p>
        </w:tc>
        <w:tc>
          <w:tcPr>
            <w:tcW w:w="126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RO-UA-MD</w:t>
            </w:r>
          </w:p>
        </w:tc>
        <w:tc>
          <w:tcPr>
            <w:tcW w:w="2160" w:type="dxa"/>
          </w:tcPr>
          <w:p w:rsidR="0026519A" w:rsidRPr="00D82778" w:rsidRDefault="0026519A" w:rsidP="004327DF">
            <w:pPr>
              <w:spacing w:after="60" w:line="240" w:lineRule="auto"/>
              <w:ind w:right="72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D82778">
              <w:rPr>
                <w:rFonts w:ascii="Trebuchet MS" w:hAnsi="Trebuchet MS" w:cs="Arial"/>
                <w:sz w:val="20"/>
                <w:szCs w:val="20"/>
              </w:rPr>
              <w:t>Preven</w:t>
            </w:r>
            <w:r>
              <w:rPr>
                <w:rFonts w:ascii="Trebuchet MS" w:hAnsi="Trebuchet MS" w:cs="Arial"/>
                <w:sz w:val="20"/>
                <w:szCs w:val="20"/>
              </w:rPr>
              <w:t>irea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protecţia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împotriva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inundaţiilor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bazinele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fluviale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superioare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 xml:space="preserve">ale 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Siretului</w:t>
            </w:r>
            <w:proofErr w:type="spellEnd"/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Prutului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intermediul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unui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sistem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modern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monitorizare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staţii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automatizate</w:t>
            </w:r>
            <w:proofErr w:type="spellEnd"/>
            <w:r w:rsidRPr="00D82778">
              <w:rPr>
                <w:rFonts w:ascii="Trebuchet MS" w:hAnsi="Trebuchet MS" w:cs="Arial"/>
                <w:sz w:val="20"/>
                <w:szCs w:val="20"/>
              </w:rPr>
              <w:t xml:space="preserve"> – EAST AVERT.</w:t>
            </w:r>
          </w:p>
        </w:tc>
        <w:tc>
          <w:tcPr>
            <w:tcW w:w="99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RO-UA-MD</w:t>
            </w:r>
          </w:p>
        </w:tc>
        <w:tc>
          <w:tcPr>
            <w:tcW w:w="108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8,329,000</w:t>
            </w:r>
          </w:p>
        </w:tc>
        <w:tc>
          <w:tcPr>
            <w:tcW w:w="1800" w:type="dxa"/>
          </w:tcPr>
          <w:p w:rsidR="0026519A" w:rsidRPr="00D82778" w:rsidRDefault="0026519A" w:rsidP="004327DF">
            <w:pPr>
              <w:spacing w:after="6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82778">
              <w:rPr>
                <w:rFonts w:ascii="Trebuchet MS" w:hAnsi="Trebuchet MS" w:cs="Arial"/>
                <w:sz w:val="20"/>
                <w:szCs w:val="20"/>
              </w:rPr>
              <w:t>90%</w:t>
            </w:r>
          </w:p>
        </w:tc>
      </w:tr>
    </w:tbl>
    <w:p w:rsidR="0026519A" w:rsidRPr="00F372AC" w:rsidRDefault="0026519A" w:rsidP="0026519A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C0E58" w:rsidRDefault="002C0E58"/>
    <w:sectPr w:rsidR="002C0E58" w:rsidSect="00CF33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28"/>
    <w:rsid w:val="00161367"/>
    <w:rsid w:val="0026519A"/>
    <w:rsid w:val="002C0E58"/>
    <w:rsid w:val="00790558"/>
    <w:rsid w:val="00A61DF6"/>
    <w:rsid w:val="00F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Ovidiu</cp:lastModifiedBy>
  <cp:revision>4</cp:revision>
  <dcterms:created xsi:type="dcterms:W3CDTF">2014-09-23T11:09:00Z</dcterms:created>
  <dcterms:modified xsi:type="dcterms:W3CDTF">2014-09-23T12:08:00Z</dcterms:modified>
</cp:coreProperties>
</file>